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4A62EF" w:rsidP="00717184">
      <w:pPr>
        <w:spacing w:before="360"/>
        <w:ind w:left="360"/>
        <w:rPr>
          <w:b/>
        </w:rPr>
      </w:pPr>
      <w:r>
        <w:rPr>
          <w:b/>
        </w:rPr>
        <w:t>(Plenarsitzung am 10. April 2018)</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6E4BC2" w:rsidRPr="00CA7252">
        <w:tc>
          <w:tcPr>
            <w:tcW w:w="2500" w:type="pct"/>
            <w:tcBorders>
              <w:right w:val="single" w:sz="4" w:space="0" w:color="auto"/>
            </w:tcBorders>
          </w:tcPr>
          <w:p w:rsidR="006E4BC2" w:rsidRDefault="006E4BC2" w:rsidP="006E4BC2">
            <w:pPr>
              <w:pStyle w:val="LTVerzeichnisDerFragendenLinks"/>
            </w:pPr>
            <w:r>
              <w:t>Adelt, Klaus (SPD)</w:t>
            </w:r>
            <w:r>
              <w:tab/>
              <w:t>35</w:t>
            </w:r>
          </w:p>
        </w:tc>
        <w:tc>
          <w:tcPr>
            <w:tcW w:w="2500" w:type="pct"/>
            <w:tcBorders>
              <w:left w:val="single" w:sz="4" w:space="0" w:color="auto"/>
            </w:tcBorders>
          </w:tcPr>
          <w:p w:rsidR="006E4BC2" w:rsidRPr="00CA7252" w:rsidRDefault="006E4BC2" w:rsidP="00CA7252">
            <w:pPr>
              <w:pStyle w:val="LTVerzeichnisDerFragendenLinks"/>
              <w:rPr>
                <w:spacing w:val="-6"/>
              </w:rPr>
            </w:pPr>
            <w:r w:rsidRPr="00CA7252">
              <w:rPr>
                <w:spacing w:val="-6"/>
              </w:rPr>
              <w:t>Osgyan, Verena (BÜNDNIS 90/DIE GRÜNEN)</w:t>
            </w:r>
            <w:r w:rsidRPr="00CA7252">
              <w:rPr>
                <w:spacing w:val="-6"/>
              </w:rPr>
              <w:tab/>
              <w:t>30</w:t>
            </w:r>
          </w:p>
        </w:tc>
      </w:tr>
      <w:tr w:rsidR="006E4BC2" w:rsidRPr="005833DD">
        <w:tc>
          <w:tcPr>
            <w:tcW w:w="2500" w:type="pct"/>
            <w:tcBorders>
              <w:right w:val="single" w:sz="4" w:space="0" w:color="auto"/>
            </w:tcBorders>
          </w:tcPr>
          <w:p w:rsidR="006E4BC2" w:rsidRDefault="006E4BC2" w:rsidP="006E4BC2">
            <w:pPr>
              <w:pStyle w:val="LTVerzeichnisDerFragendenLinks"/>
            </w:pPr>
            <w:r>
              <w:t>Aiwanger, Hubert (FREIE WÄHLER)</w:t>
            </w:r>
            <w:r>
              <w:tab/>
              <w:t>1</w:t>
            </w:r>
          </w:p>
        </w:tc>
        <w:tc>
          <w:tcPr>
            <w:tcW w:w="2500" w:type="pct"/>
            <w:tcBorders>
              <w:left w:val="single" w:sz="4" w:space="0" w:color="auto"/>
            </w:tcBorders>
          </w:tcPr>
          <w:p w:rsidR="006E4BC2" w:rsidRPr="005833DD" w:rsidRDefault="006E4BC2" w:rsidP="006E4BC2">
            <w:pPr>
              <w:pStyle w:val="LTVerzeichnisDerFragendenRechts"/>
            </w:pPr>
            <w:r>
              <w:t>Petersen, Kathi (SPD)</w:t>
            </w:r>
            <w:r>
              <w:tab/>
              <w:t>26</w:t>
            </w:r>
          </w:p>
        </w:tc>
      </w:tr>
      <w:tr w:rsidR="006E4BC2" w:rsidRPr="005833DD">
        <w:tc>
          <w:tcPr>
            <w:tcW w:w="2500" w:type="pct"/>
            <w:tcBorders>
              <w:right w:val="single" w:sz="4" w:space="0" w:color="auto"/>
            </w:tcBorders>
          </w:tcPr>
          <w:p w:rsidR="006E4BC2" w:rsidRDefault="006E4BC2" w:rsidP="006E4BC2">
            <w:pPr>
              <w:pStyle w:val="LTVerzeichnisDerFragendenLinks"/>
            </w:pPr>
            <w:r>
              <w:t>Arnold, Horst (SPD)</w:t>
            </w:r>
            <w:r>
              <w:tab/>
              <w:t>21</w:t>
            </w:r>
          </w:p>
        </w:tc>
        <w:tc>
          <w:tcPr>
            <w:tcW w:w="2500" w:type="pct"/>
            <w:tcBorders>
              <w:left w:val="single" w:sz="4" w:space="0" w:color="auto"/>
            </w:tcBorders>
          </w:tcPr>
          <w:p w:rsidR="006E4BC2" w:rsidRPr="005833DD" w:rsidRDefault="006E4BC2" w:rsidP="006E4BC2">
            <w:pPr>
              <w:pStyle w:val="LTVerzeichnisDerFragendenRechts"/>
            </w:pPr>
            <w:r>
              <w:t>Prof. Dr. Piazolo, Michael (FREIE WÄHLER)</w:t>
            </w:r>
            <w:r>
              <w:tab/>
              <w:t>37</w:t>
            </w:r>
          </w:p>
        </w:tc>
      </w:tr>
      <w:tr w:rsidR="006E4BC2" w:rsidRPr="005833DD">
        <w:tc>
          <w:tcPr>
            <w:tcW w:w="2500" w:type="pct"/>
            <w:tcBorders>
              <w:right w:val="single" w:sz="4" w:space="0" w:color="auto"/>
            </w:tcBorders>
          </w:tcPr>
          <w:p w:rsidR="006E4BC2" w:rsidRDefault="006E4BC2" w:rsidP="006E4BC2">
            <w:pPr>
              <w:pStyle w:val="LTVerzeichnisDerFragendenLinks"/>
            </w:pPr>
            <w:r>
              <w:t>Aures, Inge (SPD)</w:t>
            </w:r>
            <w:r>
              <w:tab/>
              <w:t>2</w:t>
            </w:r>
          </w:p>
        </w:tc>
        <w:tc>
          <w:tcPr>
            <w:tcW w:w="2500" w:type="pct"/>
            <w:tcBorders>
              <w:left w:val="single" w:sz="4" w:space="0" w:color="auto"/>
            </w:tcBorders>
          </w:tcPr>
          <w:p w:rsidR="006E4BC2" w:rsidRPr="005833DD" w:rsidRDefault="006E4BC2" w:rsidP="006E4BC2">
            <w:pPr>
              <w:pStyle w:val="LTVerzeichnisDerFragendenRechts"/>
            </w:pPr>
            <w:r>
              <w:t>Rauscher, Doris (SPD)</w:t>
            </w:r>
            <w:r>
              <w:tab/>
              <w:t>11</w:t>
            </w:r>
          </w:p>
        </w:tc>
      </w:tr>
      <w:tr w:rsidR="006E4BC2" w:rsidRPr="005833DD">
        <w:tc>
          <w:tcPr>
            <w:tcW w:w="2500" w:type="pct"/>
            <w:tcBorders>
              <w:right w:val="single" w:sz="4" w:space="0" w:color="auto"/>
            </w:tcBorders>
          </w:tcPr>
          <w:p w:rsidR="006E4BC2" w:rsidRPr="00CA7252" w:rsidRDefault="006E4BC2" w:rsidP="006E4BC2">
            <w:pPr>
              <w:pStyle w:val="LTVerzeichnisDerFragendenLinks"/>
              <w:rPr>
                <w:spacing w:val="-12"/>
              </w:rPr>
            </w:pPr>
            <w:r w:rsidRPr="00CA7252">
              <w:rPr>
                <w:spacing w:val="-12"/>
              </w:rPr>
              <w:t>Prof. (Univ. Lima) Dr. Bauer, Peter (FREIE WÄHLER)</w:t>
            </w:r>
            <w:r w:rsidRPr="00CA7252">
              <w:rPr>
                <w:spacing w:val="-12"/>
              </w:rPr>
              <w:tab/>
              <w:t>3</w:t>
            </w:r>
          </w:p>
        </w:tc>
        <w:tc>
          <w:tcPr>
            <w:tcW w:w="2500" w:type="pct"/>
            <w:tcBorders>
              <w:left w:val="single" w:sz="4" w:space="0" w:color="auto"/>
            </w:tcBorders>
          </w:tcPr>
          <w:p w:rsidR="006E4BC2" w:rsidRPr="005833DD" w:rsidRDefault="006E4BC2" w:rsidP="006E4BC2">
            <w:pPr>
              <w:pStyle w:val="LTVerzeichnisDerFragendenRechts"/>
            </w:pPr>
            <w:r>
              <w:t>Rinderspacher, Markus (SPD)</w:t>
            </w:r>
            <w:r>
              <w:tab/>
              <w:t>43</w:t>
            </w:r>
          </w:p>
        </w:tc>
      </w:tr>
      <w:tr w:rsidR="006E4BC2" w:rsidRPr="005833DD">
        <w:tc>
          <w:tcPr>
            <w:tcW w:w="2500" w:type="pct"/>
            <w:tcBorders>
              <w:right w:val="single" w:sz="4" w:space="0" w:color="auto"/>
            </w:tcBorders>
          </w:tcPr>
          <w:p w:rsidR="006E4BC2" w:rsidRDefault="006E4BC2" w:rsidP="006E4BC2">
            <w:pPr>
              <w:pStyle w:val="LTVerzeichnisDerFragendenLinks"/>
            </w:pPr>
            <w:r>
              <w:t>Biedefeld, Susann (SPD)</w:t>
            </w:r>
            <w:r>
              <w:tab/>
              <w:t>46</w:t>
            </w:r>
          </w:p>
        </w:tc>
        <w:tc>
          <w:tcPr>
            <w:tcW w:w="2500" w:type="pct"/>
            <w:tcBorders>
              <w:left w:val="single" w:sz="4" w:space="0" w:color="auto"/>
            </w:tcBorders>
          </w:tcPr>
          <w:p w:rsidR="006E4BC2" w:rsidRPr="005833DD" w:rsidRDefault="006E4BC2" w:rsidP="006E4BC2">
            <w:pPr>
              <w:pStyle w:val="LTVerzeichnisDerFragendenRechts"/>
            </w:pPr>
            <w:r>
              <w:t>Ritter, Florian (SPD)</w:t>
            </w:r>
            <w:r>
              <w:tab/>
              <w:t>12</w:t>
            </w:r>
          </w:p>
        </w:tc>
      </w:tr>
      <w:tr w:rsidR="006E4BC2" w:rsidRPr="005833DD">
        <w:tc>
          <w:tcPr>
            <w:tcW w:w="2500" w:type="pct"/>
            <w:tcBorders>
              <w:right w:val="single" w:sz="4" w:space="0" w:color="auto"/>
            </w:tcBorders>
          </w:tcPr>
          <w:p w:rsidR="006E4BC2" w:rsidRDefault="00CA7252" w:rsidP="006E4BC2">
            <w:pPr>
              <w:pStyle w:val="LTVerzeichnisDerFragendenLinks"/>
            </w:pPr>
            <w:r>
              <w:t>von B</w:t>
            </w:r>
            <w:r w:rsidR="006E4BC2">
              <w:t>runn, Florian (SPD)</w:t>
            </w:r>
            <w:r w:rsidR="006E4BC2">
              <w:tab/>
              <w:t>40</w:t>
            </w:r>
          </w:p>
        </w:tc>
        <w:tc>
          <w:tcPr>
            <w:tcW w:w="2500" w:type="pct"/>
            <w:tcBorders>
              <w:left w:val="single" w:sz="4" w:space="0" w:color="auto"/>
            </w:tcBorders>
          </w:tcPr>
          <w:p w:rsidR="006E4BC2" w:rsidRPr="005833DD" w:rsidRDefault="006E4BC2" w:rsidP="006E4BC2">
            <w:pPr>
              <w:pStyle w:val="LTVerzeichnisDerFragendenRechts"/>
            </w:pPr>
            <w:r>
              <w:t>Roos, Bernhard (SPD)</w:t>
            </w:r>
            <w:r>
              <w:tab/>
              <w:t>13</w:t>
            </w:r>
          </w:p>
        </w:tc>
      </w:tr>
      <w:tr w:rsidR="006E4BC2" w:rsidRPr="005833DD">
        <w:tc>
          <w:tcPr>
            <w:tcW w:w="2500" w:type="pct"/>
            <w:tcBorders>
              <w:right w:val="single" w:sz="4" w:space="0" w:color="auto"/>
            </w:tcBorders>
          </w:tcPr>
          <w:p w:rsidR="006E4BC2" w:rsidRDefault="006E4BC2" w:rsidP="006E4BC2">
            <w:pPr>
              <w:pStyle w:val="LTVerzeichnisDerFragendenLinks"/>
            </w:pPr>
            <w:r>
              <w:t>Celina, Kerstin (BÜNDNIS 90/DIE GRÜNEN)</w:t>
            </w:r>
            <w:r>
              <w:tab/>
              <w:t>36</w:t>
            </w:r>
          </w:p>
        </w:tc>
        <w:tc>
          <w:tcPr>
            <w:tcW w:w="2500" w:type="pct"/>
            <w:tcBorders>
              <w:left w:val="single" w:sz="4" w:space="0" w:color="auto"/>
            </w:tcBorders>
          </w:tcPr>
          <w:p w:rsidR="006E4BC2" w:rsidRPr="005833DD" w:rsidRDefault="006E4BC2" w:rsidP="006E4BC2">
            <w:pPr>
              <w:pStyle w:val="LTVerzeichnisDerFragendenRechts"/>
            </w:pPr>
            <w:r>
              <w:t>Rosenthal, Georg (SPD)</w:t>
            </w:r>
            <w:r>
              <w:tab/>
              <w:t>14</w:t>
            </w:r>
          </w:p>
        </w:tc>
      </w:tr>
      <w:tr w:rsidR="006E4BC2" w:rsidRPr="005833DD">
        <w:tc>
          <w:tcPr>
            <w:tcW w:w="2500" w:type="pct"/>
            <w:tcBorders>
              <w:right w:val="single" w:sz="4" w:space="0" w:color="auto"/>
            </w:tcBorders>
          </w:tcPr>
          <w:p w:rsidR="006E4BC2" w:rsidRDefault="006E4BC2" w:rsidP="006E4BC2">
            <w:pPr>
              <w:pStyle w:val="LTVerzeichnisDerFragendenLinks"/>
            </w:pPr>
            <w:r>
              <w:t>Dr. Fahn, Hans Jürgen (FREIE WÄHLER)</w:t>
            </w:r>
            <w:r>
              <w:tab/>
              <w:t>47</w:t>
            </w:r>
          </w:p>
        </w:tc>
        <w:tc>
          <w:tcPr>
            <w:tcW w:w="2500" w:type="pct"/>
            <w:tcBorders>
              <w:left w:val="single" w:sz="4" w:space="0" w:color="auto"/>
            </w:tcBorders>
          </w:tcPr>
          <w:p w:rsidR="006E4BC2" w:rsidRPr="005833DD" w:rsidRDefault="006E4BC2" w:rsidP="006E4BC2">
            <w:pPr>
              <w:pStyle w:val="LTVerzeichnisDerFragendenRechts"/>
            </w:pPr>
            <w:r>
              <w:t>Scheuenstuhl, Harry (SPD)</w:t>
            </w:r>
            <w:r>
              <w:tab/>
              <w:t>38</w:t>
            </w:r>
          </w:p>
        </w:tc>
      </w:tr>
      <w:tr w:rsidR="006E4BC2" w:rsidRPr="005833DD">
        <w:tc>
          <w:tcPr>
            <w:tcW w:w="2500" w:type="pct"/>
            <w:tcBorders>
              <w:right w:val="single" w:sz="4" w:space="0" w:color="auto"/>
            </w:tcBorders>
          </w:tcPr>
          <w:p w:rsidR="006E4BC2" w:rsidRDefault="006E4BC2" w:rsidP="006E4BC2">
            <w:pPr>
              <w:pStyle w:val="LTVerzeichnisDerFragendenLinks"/>
            </w:pPr>
            <w:r>
              <w:t>Freller, Karl (CSU)</w:t>
            </w:r>
            <w:r>
              <w:tab/>
              <w:t>48</w:t>
            </w:r>
          </w:p>
        </w:tc>
        <w:tc>
          <w:tcPr>
            <w:tcW w:w="2500" w:type="pct"/>
            <w:tcBorders>
              <w:left w:val="single" w:sz="4" w:space="0" w:color="auto"/>
            </w:tcBorders>
          </w:tcPr>
          <w:p w:rsidR="006E4BC2" w:rsidRPr="005833DD" w:rsidRDefault="006E4BC2" w:rsidP="006E4BC2">
            <w:pPr>
              <w:pStyle w:val="LTVerzeichnisDerFragendenRechts"/>
            </w:pPr>
            <w:r>
              <w:t>Schindler, Franz (SPD)</w:t>
            </w:r>
            <w:r>
              <w:tab/>
              <w:t>39</w:t>
            </w:r>
          </w:p>
        </w:tc>
      </w:tr>
      <w:tr w:rsidR="006E4BC2" w:rsidRPr="005833DD">
        <w:tc>
          <w:tcPr>
            <w:tcW w:w="2500" w:type="pct"/>
            <w:tcBorders>
              <w:right w:val="single" w:sz="4" w:space="0" w:color="auto"/>
            </w:tcBorders>
          </w:tcPr>
          <w:p w:rsidR="006E4BC2" w:rsidRDefault="006E4BC2" w:rsidP="006E4BC2">
            <w:pPr>
              <w:pStyle w:val="LTVerzeichnisDerFragendenLinks"/>
            </w:pPr>
            <w:r>
              <w:t>Prof. Dr. Gantzer, Peter Paul (SPD)</w:t>
            </w:r>
            <w:r>
              <w:tab/>
              <w:t>4</w:t>
            </w:r>
          </w:p>
        </w:tc>
        <w:tc>
          <w:tcPr>
            <w:tcW w:w="2500" w:type="pct"/>
            <w:tcBorders>
              <w:left w:val="single" w:sz="4" w:space="0" w:color="auto"/>
            </w:tcBorders>
          </w:tcPr>
          <w:p w:rsidR="006E4BC2" w:rsidRPr="005833DD" w:rsidRDefault="006E4BC2" w:rsidP="006E4BC2">
            <w:pPr>
              <w:pStyle w:val="LTVerzeichnisDerFragendenRechts"/>
            </w:pPr>
            <w:r>
              <w:t>Schmidt, Gabi (FREIE WÄHLER)</w:t>
            </w:r>
            <w:r>
              <w:tab/>
              <w:t>44</w:t>
            </w:r>
          </w:p>
        </w:tc>
      </w:tr>
      <w:tr w:rsidR="006E4BC2" w:rsidRPr="00CA7252">
        <w:tc>
          <w:tcPr>
            <w:tcW w:w="2500" w:type="pct"/>
            <w:tcBorders>
              <w:right w:val="single" w:sz="4" w:space="0" w:color="auto"/>
            </w:tcBorders>
          </w:tcPr>
          <w:p w:rsidR="006E4BC2" w:rsidRPr="00CA7252" w:rsidRDefault="006E4BC2" w:rsidP="006E4BC2">
            <w:pPr>
              <w:pStyle w:val="LTVerzeichnisDerFragendenLinks"/>
              <w:rPr>
                <w:spacing w:val="-6"/>
              </w:rPr>
            </w:pPr>
            <w:r w:rsidRPr="00CA7252">
              <w:rPr>
                <w:spacing w:val="-6"/>
              </w:rPr>
              <w:t>Gehring, Thomas (BÜNDNIS 90/DIE GRÜNEN)</w:t>
            </w:r>
            <w:r w:rsidRPr="00CA7252">
              <w:rPr>
                <w:spacing w:val="-6"/>
              </w:rPr>
              <w:tab/>
              <w:t>22</w:t>
            </w:r>
          </w:p>
        </w:tc>
        <w:tc>
          <w:tcPr>
            <w:tcW w:w="2500" w:type="pct"/>
            <w:tcBorders>
              <w:left w:val="single" w:sz="4" w:space="0" w:color="auto"/>
            </w:tcBorders>
          </w:tcPr>
          <w:p w:rsidR="006E4BC2" w:rsidRPr="00CA7252" w:rsidRDefault="006E4BC2" w:rsidP="00CA7252">
            <w:pPr>
              <w:pStyle w:val="LTVerzeichnisDerFragendenLinks"/>
              <w:rPr>
                <w:spacing w:val="-6"/>
              </w:rPr>
            </w:pPr>
            <w:r w:rsidRPr="00CA7252">
              <w:rPr>
                <w:spacing w:val="-6"/>
              </w:rPr>
              <w:t>Schulze, Katharina (BÜNDNIS 90/DIE GRÜNEN)</w:t>
            </w:r>
            <w:r w:rsidRPr="00CA7252">
              <w:rPr>
                <w:spacing w:val="-6"/>
              </w:rPr>
              <w:tab/>
              <w:t>15</w:t>
            </w:r>
          </w:p>
        </w:tc>
      </w:tr>
      <w:tr w:rsidR="006E4BC2" w:rsidRPr="005833DD">
        <w:tc>
          <w:tcPr>
            <w:tcW w:w="2500" w:type="pct"/>
            <w:tcBorders>
              <w:right w:val="single" w:sz="4" w:space="0" w:color="auto"/>
            </w:tcBorders>
          </w:tcPr>
          <w:p w:rsidR="006E4BC2" w:rsidRDefault="006E4BC2" w:rsidP="006E4BC2">
            <w:pPr>
              <w:pStyle w:val="LTVerzeichnisDerFragendenLinks"/>
            </w:pPr>
            <w:r>
              <w:t>Gote, Ulrike (BÜNDNIS 90/DIE GRÜNEN)</w:t>
            </w:r>
            <w:r>
              <w:tab/>
              <w:t>23</w:t>
            </w:r>
          </w:p>
        </w:tc>
        <w:tc>
          <w:tcPr>
            <w:tcW w:w="2500" w:type="pct"/>
            <w:tcBorders>
              <w:left w:val="single" w:sz="4" w:space="0" w:color="auto"/>
            </w:tcBorders>
          </w:tcPr>
          <w:p w:rsidR="006E4BC2" w:rsidRPr="005833DD" w:rsidRDefault="006E4BC2" w:rsidP="006E4BC2">
            <w:pPr>
              <w:pStyle w:val="LTVerzeichnisDerFragendenRechts"/>
            </w:pPr>
            <w:r>
              <w:t>Schuster, Stefan (SPD)</w:t>
            </w:r>
            <w:r>
              <w:tab/>
              <w:t>16</w:t>
            </w:r>
          </w:p>
        </w:tc>
      </w:tr>
      <w:tr w:rsidR="006E4BC2" w:rsidRPr="005833DD">
        <w:tc>
          <w:tcPr>
            <w:tcW w:w="2500" w:type="pct"/>
            <w:tcBorders>
              <w:right w:val="single" w:sz="4" w:space="0" w:color="auto"/>
            </w:tcBorders>
          </w:tcPr>
          <w:p w:rsidR="006E4BC2" w:rsidRDefault="006E4BC2" w:rsidP="006E4BC2">
            <w:pPr>
              <w:pStyle w:val="LTVerzeichnisDerFragendenLinks"/>
            </w:pPr>
            <w:r>
              <w:t>Gottstein, Eva (FREIE WÄHLER)</w:t>
            </w:r>
            <w:r>
              <w:tab/>
              <w:t>5</w:t>
            </w:r>
          </w:p>
        </w:tc>
        <w:tc>
          <w:tcPr>
            <w:tcW w:w="2500" w:type="pct"/>
            <w:tcBorders>
              <w:left w:val="single" w:sz="4" w:space="0" w:color="auto"/>
            </w:tcBorders>
          </w:tcPr>
          <w:p w:rsidR="006E4BC2" w:rsidRPr="005833DD" w:rsidRDefault="006E4BC2" w:rsidP="006E4BC2">
            <w:pPr>
              <w:pStyle w:val="LTVerzeichnisDerFragendenRechts"/>
            </w:pPr>
            <w:r>
              <w:t>Sengl, Gisela (BÜNDNIS 90/DIE GRÜNEN)</w:t>
            </w:r>
            <w:r>
              <w:tab/>
              <w:t>42</w:t>
            </w:r>
          </w:p>
        </w:tc>
      </w:tr>
      <w:tr w:rsidR="006E4BC2" w:rsidRPr="005833DD">
        <w:tc>
          <w:tcPr>
            <w:tcW w:w="2500" w:type="pct"/>
            <w:tcBorders>
              <w:right w:val="single" w:sz="4" w:space="0" w:color="auto"/>
            </w:tcBorders>
          </w:tcPr>
          <w:p w:rsidR="006E4BC2" w:rsidRDefault="006E4BC2" w:rsidP="006E4BC2">
            <w:pPr>
              <w:pStyle w:val="LTVerzeichnisDerFragendenLinks"/>
            </w:pPr>
            <w:r>
              <w:t>Güll, Martin (SPD)</w:t>
            </w:r>
            <w:r>
              <w:tab/>
              <w:t>24</w:t>
            </w:r>
          </w:p>
        </w:tc>
        <w:tc>
          <w:tcPr>
            <w:tcW w:w="2500" w:type="pct"/>
            <w:tcBorders>
              <w:left w:val="single" w:sz="4" w:space="0" w:color="auto"/>
            </w:tcBorders>
          </w:tcPr>
          <w:p w:rsidR="006E4BC2" w:rsidRPr="005833DD" w:rsidRDefault="006E4BC2" w:rsidP="006E4BC2">
            <w:pPr>
              <w:pStyle w:val="LTVerzeichnisDerFragendenRechts"/>
            </w:pPr>
            <w:r>
              <w:t>Sonnenholzner, Kathrin (SPD)</w:t>
            </w:r>
            <w:r>
              <w:tab/>
              <w:t>17</w:t>
            </w:r>
          </w:p>
        </w:tc>
      </w:tr>
      <w:tr w:rsidR="006E4BC2" w:rsidRPr="00CA7252">
        <w:tc>
          <w:tcPr>
            <w:tcW w:w="2500" w:type="pct"/>
            <w:tcBorders>
              <w:right w:val="single" w:sz="4" w:space="0" w:color="auto"/>
            </w:tcBorders>
          </w:tcPr>
          <w:p w:rsidR="006E4BC2" w:rsidRDefault="006E4BC2" w:rsidP="006E4BC2">
            <w:pPr>
              <w:pStyle w:val="LTVerzeichnisDerFragendenLinks"/>
            </w:pPr>
            <w:r>
              <w:t>Güller, Harald (SPD)</w:t>
            </w:r>
            <w:r>
              <w:tab/>
              <w:t>49</w:t>
            </w:r>
          </w:p>
        </w:tc>
        <w:tc>
          <w:tcPr>
            <w:tcW w:w="2500" w:type="pct"/>
            <w:tcBorders>
              <w:left w:val="single" w:sz="4" w:space="0" w:color="auto"/>
            </w:tcBorders>
          </w:tcPr>
          <w:p w:rsidR="006E4BC2" w:rsidRPr="00CA7252" w:rsidRDefault="006E4BC2" w:rsidP="00CA7252">
            <w:pPr>
              <w:pStyle w:val="LTVerzeichnisDerFragendenLinks"/>
              <w:rPr>
                <w:spacing w:val="-6"/>
              </w:rPr>
            </w:pPr>
            <w:r w:rsidRPr="00CA7252">
              <w:rPr>
                <w:spacing w:val="-6"/>
              </w:rPr>
              <w:t>Steinberger, Rosi (BÜNDNIS 90/DIE GRÜNEN)</w:t>
            </w:r>
            <w:r w:rsidRPr="00CA7252">
              <w:rPr>
                <w:spacing w:val="-6"/>
              </w:rPr>
              <w:tab/>
              <w:t>55</w:t>
            </w:r>
          </w:p>
        </w:tc>
      </w:tr>
      <w:tr w:rsidR="006E4BC2" w:rsidRPr="005833DD">
        <w:tc>
          <w:tcPr>
            <w:tcW w:w="2500" w:type="pct"/>
            <w:tcBorders>
              <w:right w:val="single" w:sz="4" w:space="0" w:color="auto"/>
            </w:tcBorders>
          </w:tcPr>
          <w:p w:rsidR="006E4BC2" w:rsidRPr="00CA7252" w:rsidRDefault="006E4BC2" w:rsidP="006E4BC2">
            <w:pPr>
              <w:pStyle w:val="LTVerzeichnisDerFragendenLinks"/>
              <w:rPr>
                <w:spacing w:val="-6"/>
              </w:rPr>
            </w:pPr>
            <w:r w:rsidRPr="00CA7252">
              <w:rPr>
                <w:spacing w:val="-6"/>
              </w:rPr>
              <w:t>Hartmann, Ludwig (BÜNDNIS 90/DIE GRÜNEN)</w:t>
            </w:r>
            <w:r w:rsidRPr="00CA7252">
              <w:rPr>
                <w:spacing w:val="-6"/>
              </w:rPr>
              <w:tab/>
              <w:t>6</w:t>
            </w:r>
          </w:p>
        </w:tc>
        <w:tc>
          <w:tcPr>
            <w:tcW w:w="2500" w:type="pct"/>
            <w:tcBorders>
              <w:left w:val="single" w:sz="4" w:space="0" w:color="auto"/>
            </w:tcBorders>
          </w:tcPr>
          <w:p w:rsidR="006E4BC2" w:rsidRPr="005833DD" w:rsidRDefault="006E4BC2" w:rsidP="006E4BC2">
            <w:pPr>
              <w:pStyle w:val="LTVerzeichnisDerFragendenRechts"/>
            </w:pPr>
            <w:r>
              <w:t>Streibl, Florian (FREIE WÄHLER)</w:t>
            </w:r>
            <w:r>
              <w:tab/>
              <w:t>31</w:t>
            </w:r>
          </w:p>
        </w:tc>
      </w:tr>
      <w:tr w:rsidR="006E4BC2" w:rsidRPr="005833DD">
        <w:tc>
          <w:tcPr>
            <w:tcW w:w="2500" w:type="pct"/>
            <w:tcBorders>
              <w:right w:val="single" w:sz="4" w:space="0" w:color="auto"/>
            </w:tcBorders>
          </w:tcPr>
          <w:p w:rsidR="006E4BC2" w:rsidRPr="00CA7252" w:rsidRDefault="006E4BC2" w:rsidP="006E4BC2">
            <w:pPr>
              <w:pStyle w:val="LTVerzeichnisDerFragendenLinks"/>
              <w:rPr>
                <w:spacing w:val="-4"/>
              </w:rPr>
            </w:pPr>
            <w:r w:rsidRPr="00CA7252">
              <w:rPr>
                <w:spacing w:val="-4"/>
              </w:rPr>
              <w:t>Kamm, Christine (BÜNDNIS 90/DIE GRÜNEN)</w:t>
            </w:r>
            <w:r w:rsidRPr="00CA7252">
              <w:rPr>
                <w:spacing w:val="-4"/>
              </w:rPr>
              <w:tab/>
              <w:t>7</w:t>
            </w:r>
          </w:p>
        </w:tc>
        <w:tc>
          <w:tcPr>
            <w:tcW w:w="2500" w:type="pct"/>
            <w:tcBorders>
              <w:left w:val="single" w:sz="4" w:space="0" w:color="auto"/>
            </w:tcBorders>
          </w:tcPr>
          <w:p w:rsidR="006E4BC2" w:rsidRPr="005833DD" w:rsidRDefault="006E4BC2" w:rsidP="006E4BC2">
            <w:pPr>
              <w:pStyle w:val="LTVerzeichnisDerFragendenRechts"/>
            </w:pPr>
            <w:r>
              <w:t>Strobl, Reinhold (SPD)</w:t>
            </w:r>
            <w:r>
              <w:tab/>
              <w:t>18</w:t>
            </w:r>
          </w:p>
        </w:tc>
      </w:tr>
      <w:tr w:rsidR="006E4BC2" w:rsidRPr="005833DD">
        <w:tc>
          <w:tcPr>
            <w:tcW w:w="2500" w:type="pct"/>
            <w:tcBorders>
              <w:right w:val="single" w:sz="4" w:space="0" w:color="auto"/>
            </w:tcBorders>
          </w:tcPr>
          <w:p w:rsidR="006E4BC2" w:rsidRDefault="006E4BC2" w:rsidP="006E4BC2">
            <w:pPr>
              <w:pStyle w:val="LTVerzeichnisDerFragendenLinks"/>
            </w:pPr>
            <w:r>
              <w:t>Karl, Annette (SPD)</w:t>
            </w:r>
            <w:r>
              <w:tab/>
              <w:t>41</w:t>
            </w:r>
          </w:p>
        </w:tc>
        <w:tc>
          <w:tcPr>
            <w:tcW w:w="2500" w:type="pct"/>
            <w:tcBorders>
              <w:left w:val="single" w:sz="4" w:space="0" w:color="auto"/>
            </w:tcBorders>
          </w:tcPr>
          <w:p w:rsidR="006E4BC2" w:rsidRPr="005833DD" w:rsidRDefault="006E4BC2" w:rsidP="006E4BC2">
            <w:pPr>
              <w:pStyle w:val="LTVerzeichnisDerFragendenRechts"/>
            </w:pPr>
            <w:r>
              <w:t>Dr. Strohmayr, Simone (SPD)</w:t>
            </w:r>
            <w:r>
              <w:tab/>
              <w:t>27</w:t>
            </w:r>
          </w:p>
        </w:tc>
      </w:tr>
      <w:tr w:rsidR="006E4BC2" w:rsidRPr="00CA7252">
        <w:tc>
          <w:tcPr>
            <w:tcW w:w="2500" w:type="pct"/>
            <w:tcBorders>
              <w:right w:val="single" w:sz="4" w:space="0" w:color="auto"/>
            </w:tcBorders>
          </w:tcPr>
          <w:p w:rsidR="006E4BC2" w:rsidRDefault="006E4BC2" w:rsidP="006E4BC2">
            <w:pPr>
              <w:pStyle w:val="LTVerzeichnisDerFragendenLinks"/>
            </w:pPr>
            <w:r>
              <w:t>König, Alexander (CSU)</w:t>
            </w:r>
            <w:r>
              <w:tab/>
              <w:t>8</w:t>
            </w:r>
          </w:p>
        </w:tc>
        <w:tc>
          <w:tcPr>
            <w:tcW w:w="2500" w:type="pct"/>
            <w:tcBorders>
              <w:left w:val="single" w:sz="4" w:space="0" w:color="auto"/>
            </w:tcBorders>
          </w:tcPr>
          <w:p w:rsidR="006E4BC2" w:rsidRPr="00CA7252" w:rsidRDefault="006E4BC2" w:rsidP="00CA7252">
            <w:pPr>
              <w:pStyle w:val="LTVerzeichnisDerFragendenLinks"/>
              <w:rPr>
                <w:spacing w:val="-6"/>
              </w:rPr>
            </w:pPr>
            <w:r w:rsidRPr="00CA7252">
              <w:rPr>
                <w:spacing w:val="-6"/>
              </w:rPr>
              <w:t>Stümpfig, Martin (BÜNDNIS 90/DIE GRÜNEN)</w:t>
            </w:r>
            <w:r w:rsidRPr="00CA7252">
              <w:rPr>
                <w:spacing w:val="-6"/>
              </w:rPr>
              <w:tab/>
              <w:t>33</w:t>
            </w:r>
          </w:p>
        </w:tc>
      </w:tr>
      <w:tr w:rsidR="006E4BC2" w:rsidRPr="005833DD">
        <w:tc>
          <w:tcPr>
            <w:tcW w:w="2500" w:type="pct"/>
            <w:tcBorders>
              <w:right w:val="single" w:sz="4" w:space="0" w:color="auto"/>
            </w:tcBorders>
          </w:tcPr>
          <w:p w:rsidR="006E4BC2" w:rsidRDefault="006E4BC2" w:rsidP="006E4BC2">
            <w:pPr>
              <w:pStyle w:val="LTVerzeichnisDerFragendenLinks"/>
            </w:pPr>
            <w:r>
              <w:lastRenderedPageBreak/>
              <w:t>Dr. Kränzlein, Herbert (SPD)</w:t>
            </w:r>
            <w:r>
              <w:tab/>
              <w:t>9</w:t>
            </w:r>
          </w:p>
        </w:tc>
        <w:tc>
          <w:tcPr>
            <w:tcW w:w="2500" w:type="pct"/>
            <w:tcBorders>
              <w:left w:val="single" w:sz="4" w:space="0" w:color="auto"/>
            </w:tcBorders>
          </w:tcPr>
          <w:p w:rsidR="006E4BC2" w:rsidRPr="005833DD" w:rsidRDefault="00CA7252" w:rsidP="006E4BC2">
            <w:pPr>
              <w:pStyle w:val="LTVerzeichnisDerFragendenRechts"/>
            </w:pPr>
            <w:r>
              <w:t>Ta</w:t>
            </w:r>
            <w:r>
              <w:rPr>
                <w:rFonts w:cs="Arial"/>
              </w:rPr>
              <w:t>ş</w:t>
            </w:r>
            <w:r w:rsidR="006E4BC2">
              <w:t>delen, Arif (SPD)</w:t>
            </w:r>
            <w:r w:rsidR="006E4BC2">
              <w:tab/>
              <w:t>19</w:t>
            </w:r>
          </w:p>
        </w:tc>
      </w:tr>
      <w:tr w:rsidR="006E4BC2" w:rsidRPr="005833DD">
        <w:tc>
          <w:tcPr>
            <w:tcW w:w="2500" w:type="pct"/>
            <w:tcBorders>
              <w:right w:val="single" w:sz="4" w:space="0" w:color="auto"/>
            </w:tcBorders>
          </w:tcPr>
          <w:p w:rsidR="006E4BC2" w:rsidRDefault="006E4BC2" w:rsidP="006E4BC2">
            <w:pPr>
              <w:pStyle w:val="LTVerzeichnisDerFragendenLinks"/>
            </w:pPr>
            <w:r>
              <w:t>Kraus, Nikolaus (FREIE WÄHLER)</w:t>
            </w:r>
            <w:r>
              <w:tab/>
              <w:t>50</w:t>
            </w:r>
          </w:p>
        </w:tc>
        <w:tc>
          <w:tcPr>
            <w:tcW w:w="2500" w:type="pct"/>
            <w:tcBorders>
              <w:left w:val="single" w:sz="4" w:space="0" w:color="auto"/>
            </w:tcBorders>
          </w:tcPr>
          <w:p w:rsidR="006E4BC2" w:rsidRPr="005833DD" w:rsidRDefault="006E4BC2" w:rsidP="006E4BC2">
            <w:pPr>
              <w:pStyle w:val="LTVerzeichnisDerFragendenRechts"/>
            </w:pPr>
            <w:r>
              <w:t>Weikert, Angelika (SPD)</w:t>
            </w:r>
            <w:r>
              <w:tab/>
              <w:t>34</w:t>
            </w:r>
          </w:p>
        </w:tc>
      </w:tr>
      <w:tr w:rsidR="006E4BC2" w:rsidRPr="005833DD">
        <w:tc>
          <w:tcPr>
            <w:tcW w:w="2500" w:type="pct"/>
            <w:tcBorders>
              <w:right w:val="single" w:sz="4" w:space="0" w:color="auto"/>
            </w:tcBorders>
          </w:tcPr>
          <w:p w:rsidR="006E4BC2" w:rsidRDefault="006E4BC2" w:rsidP="006E4BC2">
            <w:pPr>
              <w:pStyle w:val="LTVerzeichnisDerFragendenLinks"/>
            </w:pPr>
            <w:r>
              <w:t>Leiner, Ulrich (BÜNDNIS 90/DIE GRÜNEN)</w:t>
            </w:r>
            <w:r>
              <w:tab/>
              <w:t>25</w:t>
            </w:r>
          </w:p>
        </w:tc>
        <w:tc>
          <w:tcPr>
            <w:tcW w:w="2500" w:type="pct"/>
            <w:tcBorders>
              <w:left w:val="single" w:sz="4" w:space="0" w:color="auto"/>
            </w:tcBorders>
          </w:tcPr>
          <w:p w:rsidR="006E4BC2" w:rsidRPr="005833DD" w:rsidRDefault="006E4BC2" w:rsidP="006E4BC2">
            <w:pPr>
              <w:pStyle w:val="LTVerzeichnisDerFragendenRechts"/>
            </w:pPr>
            <w:r>
              <w:t>Widmann, Jutta (FREIE WÄHLER)</w:t>
            </w:r>
            <w:r>
              <w:tab/>
              <w:t>52</w:t>
            </w:r>
          </w:p>
        </w:tc>
      </w:tr>
      <w:tr w:rsidR="006E4BC2" w:rsidRPr="005833DD">
        <w:tc>
          <w:tcPr>
            <w:tcW w:w="2500" w:type="pct"/>
            <w:tcBorders>
              <w:right w:val="single" w:sz="4" w:space="0" w:color="auto"/>
            </w:tcBorders>
          </w:tcPr>
          <w:p w:rsidR="006E4BC2" w:rsidRDefault="006E4BC2" w:rsidP="006E4BC2">
            <w:pPr>
              <w:pStyle w:val="LTVerzeichnisDerFragendenLinks"/>
            </w:pPr>
            <w:r>
              <w:t>Meyer, Peter (FREIE WÄHLER)</w:t>
            </w:r>
            <w:r>
              <w:tab/>
              <w:t>10</w:t>
            </w:r>
          </w:p>
        </w:tc>
        <w:tc>
          <w:tcPr>
            <w:tcW w:w="2500" w:type="pct"/>
            <w:tcBorders>
              <w:left w:val="single" w:sz="4" w:space="0" w:color="auto"/>
            </w:tcBorders>
          </w:tcPr>
          <w:p w:rsidR="006E4BC2" w:rsidRPr="005833DD" w:rsidRDefault="006E4BC2" w:rsidP="006E4BC2">
            <w:pPr>
              <w:pStyle w:val="LTVerzeichnisDerFragendenRechts"/>
            </w:pPr>
            <w:r>
              <w:t>Wild, Margit (SPD)</w:t>
            </w:r>
            <w:r>
              <w:tab/>
              <w:t>28</w:t>
            </w:r>
          </w:p>
        </w:tc>
      </w:tr>
      <w:tr w:rsidR="006E4BC2" w:rsidRPr="005833DD">
        <w:tc>
          <w:tcPr>
            <w:tcW w:w="2500" w:type="pct"/>
            <w:tcBorders>
              <w:right w:val="single" w:sz="4" w:space="0" w:color="auto"/>
            </w:tcBorders>
          </w:tcPr>
          <w:p w:rsidR="006E4BC2" w:rsidRDefault="006E4BC2" w:rsidP="006E4BC2">
            <w:pPr>
              <w:pStyle w:val="LTVerzeichnisDerFragendenLinks"/>
            </w:pPr>
            <w:r>
              <w:t>Mistol, Jürgen (BÜNDNIS 90/DIE GRÜNEN)</w:t>
            </w:r>
            <w:r>
              <w:tab/>
              <w:t>29</w:t>
            </w:r>
          </w:p>
        </w:tc>
        <w:tc>
          <w:tcPr>
            <w:tcW w:w="2500" w:type="pct"/>
            <w:tcBorders>
              <w:left w:val="single" w:sz="4" w:space="0" w:color="auto"/>
            </w:tcBorders>
          </w:tcPr>
          <w:p w:rsidR="006E4BC2" w:rsidRPr="005833DD" w:rsidRDefault="006E4BC2" w:rsidP="006E4BC2">
            <w:pPr>
              <w:pStyle w:val="LTVerzeichnisDerFragendenRechts"/>
            </w:pPr>
            <w:r>
              <w:t>Woerlein, Herbert (SPD)</w:t>
            </w:r>
            <w:r>
              <w:tab/>
              <w:t>45</w:t>
            </w:r>
          </w:p>
        </w:tc>
      </w:tr>
      <w:tr w:rsidR="006E4BC2" w:rsidRPr="005833DD">
        <w:tc>
          <w:tcPr>
            <w:tcW w:w="2500" w:type="pct"/>
            <w:tcBorders>
              <w:right w:val="single" w:sz="4" w:space="0" w:color="auto"/>
            </w:tcBorders>
          </w:tcPr>
          <w:p w:rsidR="006E4BC2" w:rsidRDefault="006E4BC2" w:rsidP="006E4BC2">
            <w:pPr>
              <w:pStyle w:val="LTVerzeichnisDerFragendenLinks"/>
            </w:pPr>
            <w:r>
              <w:t>Müller, Ruth (SPD)</w:t>
            </w:r>
            <w:r>
              <w:tab/>
              <w:t>51</w:t>
            </w:r>
          </w:p>
        </w:tc>
        <w:tc>
          <w:tcPr>
            <w:tcW w:w="2500" w:type="pct"/>
            <w:tcBorders>
              <w:left w:val="single" w:sz="4" w:space="0" w:color="auto"/>
            </w:tcBorders>
          </w:tcPr>
          <w:p w:rsidR="006E4BC2" w:rsidRPr="005833DD" w:rsidRDefault="006E4BC2" w:rsidP="006E4BC2">
            <w:pPr>
              <w:pStyle w:val="LTVerzeichnisDerFragendenRechts"/>
            </w:pPr>
            <w:r>
              <w:t>Zacharias, Isabell (SPD)</w:t>
            </w:r>
            <w:r>
              <w:tab/>
              <w:t>53</w:t>
            </w:r>
          </w:p>
        </w:tc>
      </w:tr>
      <w:tr w:rsidR="006E4BC2" w:rsidRPr="005833DD">
        <w:tc>
          <w:tcPr>
            <w:tcW w:w="2500" w:type="pct"/>
            <w:tcBorders>
              <w:right w:val="single" w:sz="4" w:space="0" w:color="auto"/>
            </w:tcBorders>
          </w:tcPr>
          <w:p w:rsidR="006E4BC2" w:rsidRDefault="006E4BC2" w:rsidP="006E4BC2">
            <w:pPr>
              <w:pStyle w:val="LTVerzeichnisDerFragendenLinks"/>
            </w:pPr>
            <w:r>
              <w:t>Mütze, Thomas (BÜNDNIS 90/DIE GRÜNEN)</w:t>
            </w:r>
            <w:r>
              <w:tab/>
              <w:t>54</w:t>
            </w:r>
          </w:p>
        </w:tc>
        <w:tc>
          <w:tcPr>
            <w:tcW w:w="2500" w:type="pct"/>
            <w:tcBorders>
              <w:left w:val="single" w:sz="4" w:space="0" w:color="auto"/>
            </w:tcBorders>
          </w:tcPr>
          <w:p w:rsidR="006E4BC2" w:rsidRPr="005833DD" w:rsidRDefault="006E4BC2" w:rsidP="006E4BC2">
            <w:pPr>
              <w:pStyle w:val="LTVerzeichnisDerFragendenRechts"/>
            </w:pPr>
            <w:r>
              <w:t>Zierer, Benno (FREIE WÄHLER)</w:t>
            </w:r>
            <w:r>
              <w:tab/>
              <w:t>20</w:t>
            </w:r>
          </w:p>
        </w:tc>
      </w:tr>
      <w:tr w:rsidR="00A42EAA" w:rsidRPr="005833DD">
        <w:tc>
          <w:tcPr>
            <w:tcW w:w="2500" w:type="pct"/>
            <w:tcBorders>
              <w:right w:val="single" w:sz="4" w:space="0" w:color="auto"/>
            </w:tcBorders>
          </w:tcPr>
          <w:p w:rsidR="00A42EAA" w:rsidRDefault="006E4BC2" w:rsidP="006E4BC2">
            <w:pPr>
              <w:pStyle w:val="LTVerzeichnisDerFragendenLinks"/>
            </w:pPr>
            <w:r>
              <w:t>Muthmann, Alexander (Fraktionslos)</w:t>
            </w:r>
            <w:r>
              <w:tab/>
              <w:t>32</w:t>
            </w:r>
          </w:p>
        </w:tc>
        <w:tc>
          <w:tcPr>
            <w:tcW w:w="2500" w:type="pct"/>
            <w:tcBorders>
              <w:left w:val="single" w:sz="4" w:space="0" w:color="auto"/>
            </w:tcBorders>
          </w:tcPr>
          <w:p w:rsidR="00A42EAA" w:rsidRPr="005833DD" w:rsidRDefault="00A42EAA" w:rsidP="0077709E">
            <w:pPr>
              <w:tabs>
                <w:tab w:val="right" w:pos="4427"/>
              </w:tabs>
              <w:rPr>
                <w:i/>
              </w:rPr>
            </w:pP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7"/>
          <w:headerReference w:type="default" r:id="rId8"/>
          <w:headerReference w:type="first" r:id="rId9"/>
          <w:footerReference w:type="first" r:id="rId10"/>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1"/>
          <w:headerReference w:type="default" r:id="rId12"/>
          <w:footerReference w:type="even" r:id="rId13"/>
          <w:pgSz w:w="11906" w:h="16838" w:code="9"/>
          <w:pgMar w:top="1418" w:right="1418" w:bottom="1134" w:left="1418" w:header="1418" w:footer="1418" w:gutter="0"/>
          <w:pgNumType w:fmt="upperRoman"/>
          <w:cols w:space="708"/>
          <w:docGrid w:linePitch="360"/>
        </w:sectPr>
      </w:pPr>
    </w:p>
    <w:bookmarkStart w:id="2" w:name="VerzeichnisDerFragen"/>
    <w:bookmarkEnd w:id="2"/>
    <w:p w:rsidR="006E4BC2"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511290222" w:history="1">
        <w:r w:rsidR="006E4BC2" w:rsidRPr="0037631A">
          <w:rPr>
            <w:rStyle w:val="Hyperlink"/>
            <w:noProof/>
          </w:rPr>
          <w:t>Geschäftsbereich des Staatsministeriums des Innern und für Integration</w:t>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23" w:history="1">
        <w:r w:rsidR="006E4BC2" w:rsidRPr="0037631A">
          <w:rPr>
            <w:rStyle w:val="Hyperlink"/>
          </w:rPr>
          <w:t>Aiwanger, Hubert (FREIE WÄHLER)</w:t>
        </w:r>
        <w:r w:rsidR="006E4BC2" w:rsidRPr="0037631A">
          <w:rPr>
            <w:rStyle w:val="Hyperlink"/>
          </w:rPr>
          <w:br/>
          <w:t>Straßenausbaubeiträge</w:t>
        </w:r>
        <w:r w:rsidR="006E4BC2">
          <w:rPr>
            <w:webHidden/>
          </w:rPr>
          <w:tab/>
        </w:r>
        <w:r w:rsidR="006E4BC2">
          <w:rPr>
            <w:webHidden/>
          </w:rPr>
          <w:fldChar w:fldCharType="begin"/>
        </w:r>
        <w:r w:rsidR="006E4BC2">
          <w:rPr>
            <w:webHidden/>
          </w:rPr>
          <w:instrText xml:space="preserve"> PAGEREF _Toc511290223 \h </w:instrText>
        </w:r>
        <w:r w:rsidR="006E4BC2">
          <w:rPr>
            <w:webHidden/>
          </w:rPr>
        </w:r>
        <w:r w:rsidR="006E4BC2">
          <w:rPr>
            <w:webHidden/>
          </w:rPr>
          <w:fldChar w:fldCharType="separate"/>
        </w:r>
        <w:r w:rsidR="006850C7">
          <w:rPr>
            <w:webHidden/>
          </w:rPr>
          <w:t>1</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24" w:history="1">
        <w:r w:rsidR="006E4BC2" w:rsidRPr="0037631A">
          <w:rPr>
            <w:rStyle w:val="Hyperlink"/>
          </w:rPr>
          <w:t>Aures, Inge (SPD)</w:t>
        </w:r>
        <w:r w:rsidR="006E4BC2" w:rsidRPr="0037631A">
          <w:rPr>
            <w:rStyle w:val="Hyperlink"/>
          </w:rPr>
          <w:br/>
          <w:t>Polizeiwache Selb</w:t>
        </w:r>
        <w:r w:rsidR="006E4BC2">
          <w:rPr>
            <w:webHidden/>
          </w:rPr>
          <w:tab/>
        </w:r>
        <w:r w:rsidR="006E4BC2">
          <w:rPr>
            <w:webHidden/>
          </w:rPr>
          <w:fldChar w:fldCharType="begin"/>
        </w:r>
        <w:r w:rsidR="006E4BC2">
          <w:rPr>
            <w:webHidden/>
          </w:rPr>
          <w:instrText xml:space="preserve"> PAGEREF _Toc511290224 \h </w:instrText>
        </w:r>
        <w:r w:rsidR="006E4BC2">
          <w:rPr>
            <w:webHidden/>
          </w:rPr>
        </w:r>
        <w:r w:rsidR="006E4BC2">
          <w:rPr>
            <w:webHidden/>
          </w:rPr>
          <w:fldChar w:fldCharType="separate"/>
        </w:r>
        <w:r w:rsidR="006850C7">
          <w:rPr>
            <w:webHidden/>
          </w:rPr>
          <w:t>1</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25" w:history="1">
        <w:r w:rsidR="006E4BC2" w:rsidRPr="0037631A">
          <w:rPr>
            <w:rStyle w:val="Hyperlink"/>
          </w:rPr>
          <w:t>Prof. (Univ. Lima) Dr. Bauer, Peter (FREIE WÄHLER)</w:t>
        </w:r>
        <w:r w:rsidR="006E4BC2" w:rsidRPr="0037631A">
          <w:rPr>
            <w:rStyle w:val="Hyperlink"/>
          </w:rPr>
          <w:br/>
          <w:t>Familiennachzug</w:t>
        </w:r>
        <w:r w:rsidR="006E4BC2">
          <w:rPr>
            <w:webHidden/>
          </w:rPr>
          <w:tab/>
        </w:r>
        <w:r w:rsidR="006E4BC2">
          <w:rPr>
            <w:webHidden/>
          </w:rPr>
          <w:fldChar w:fldCharType="begin"/>
        </w:r>
        <w:r w:rsidR="006E4BC2">
          <w:rPr>
            <w:webHidden/>
          </w:rPr>
          <w:instrText xml:space="preserve"> PAGEREF _Toc511290225 \h </w:instrText>
        </w:r>
        <w:r w:rsidR="006E4BC2">
          <w:rPr>
            <w:webHidden/>
          </w:rPr>
        </w:r>
        <w:r w:rsidR="006E4BC2">
          <w:rPr>
            <w:webHidden/>
          </w:rPr>
          <w:fldChar w:fldCharType="separate"/>
        </w:r>
        <w:r w:rsidR="006850C7">
          <w:rPr>
            <w:webHidden/>
          </w:rPr>
          <w:t>2</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26" w:history="1">
        <w:r w:rsidR="006E4BC2" w:rsidRPr="0037631A">
          <w:rPr>
            <w:rStyle w:val="Hyperlink"/>
          </w:rPr>
          <w:t>Prof. Dr. Gantzer, Peter Paul (SPD)</w:t>
        </w:r>
        <w:r w:rsidR="006E4BC2" w:rsidRPr="0037631A">
          <w:rPr>
            <w:rStyle w:val="Hyperlink"/>
          </w:rPr>
          <w:br/>
          <w:t>Regelwerk PDV 300 zur Polizei</w:t>
        </w:r>
        <w:r w:rsidR="00CA7252">
          <w:rPr>
            <w:rStyle w:val="Hyperlink"/>
          </w:rPr>
          <w:softHyphen/>
        </w:r>
        <w:r w:rsidR="006E4BC2" w:rsidRPr="0037631A">
          <w:rPr>
            <w:rStyle w:val="Hyperlink"/>
          </w:rPr>
          <w:t>dienst(un)fähigkeit</w:t>
        </w:r>
        <w:r w:rsidR="006E4BC2">
          <w:rPr>
            <w:webHidden/>
          </w:rPr>
          <w:tab/>
        </w:r>
        <w:r w:rsidR="006E4BC2">
          <w:rPr>
            <w:webHidden/>
          </w:rPr>
          <w:fldChar w:fldCharType="begin"/>
        </w:r>
        <w:r w:rsidR="006E4BC2">
          <w:rPr>
            <w:webHidden/>
          </w:rPr>
          <w:instrText xml:space="preserve"> PAGEREF _Toc511290226 \h </w:instrText>
        </w:r>
        <w:r w:rsidR="006E4BC2">
          <w:rPr>
            <w:webHidden/>
          </w:rPr>
        </w:r>
        <w:r w:rsidR="006E4BC2">
          <w:rPr>
            <w:webHidden/>
          </w:rPr>
          <w:fldChar w:fldCharType="separate"/>
        </w:r>
        <w:r w:rsidR="006850C7">
          <w:rPr>
            <w:webHidden/>
          </w:rPr>
          <w:t>2</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27" w:history="1">
        <w:r w:rsidR="006E4BC2" w:rsidRPr="0037631A">
          <w:rPr>
            <w:rStyle w:val="Hyperlink"/>
          </w:rPr>
          <w:t>Gottstein, Eva (FREIE WÄHLER)</w:t>
        </w:r>
        <w:r w:rsidR="006E4BC2" w:rsidRPr="0037631A">
          <w:rPr>
            <w:rStyle w:val="Hyperlink"/>
          </w:rPr>
          <w:br/>
          <w:t>Einrichtung einer Bayerischen Grenzpolizei I</w:t>
        </w:r>
        <w:r w:rsidR="006E4BC2">
          <w:rPr>
            <w:webHidden/>
          </w:rPr>
          <w:tab/>
        </w:r>
        <w:r w:rsidR="006E4BC2">
          <w:rPr>
            <w:webHidden/>
          </w:rPr>
          <w:fldChar w:fldCharType="begin"/>
        </w:r>
        <w:r w:rsidR="006E4BC2">
          <w:rPr>
            <w:webHidden/>
          </w:rPr>
          <w:instrText xml:space="preserve"> PAGEREF _Toc511290227 \h </w:instrText>
        </w:r>
        <w:r w:rsidR="006E4BC2">
          <w:rPr>
            <w:webHidden/>
          </w:rPr>
        </w:r>
        <w:r w:rsidR="006E4BC2">
          <w:rPr>
            <w:webHidden/>
          </w:rPr>
          <w:fldChar w:fldCharType="separate"/>
        </w:r>
        <w:r w:rsidR="006850C7">
          <w:rPr>
            <w:webHidden/>
          </w:rPr>
          <w:t>3</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28" w:history="1">
        <w:r w:rsidR="006E4BC2" w:rsidRPr="0037631A">
          <w:rPr>
            <w:rStyle w:val="Hyperlink"/>
          </w:rPr>
          <w:t>Hartmann, Ludwig (BÜNDNIS 90/DIE GRÜNEN)</w:t>
        </w:r>
        <w:r w:rsidR="006E4BC2" w:rsidRPr="0037631A">
          <w:rPr>
            <w:rStyle w:val="Hyperlink"/>
          </w:rPr>
          <w:br/>
          <w:t>Software-Update von Polizeiautos</w:t>
        </w:r>
        <w:r w:rsidR="006E4BC2">
          <w:rPr>
            <w:webHidden/>
          </w:rPr>
          <w:tab/>
        </w:r>
        <w:r w:rsidR="006E4BC2">
          <w:rPr>
            <w:webHidden/>
          </w:rPr>
          <w:fldChar w:fldCharType="begin"/>
        </w:r>
        <w:r w:rsidR="006E4BC2">
          <w:rPr>
            <w:webHidden/>
          </w:rPr>
          <w:instrText xml:space="preserve"> PAGEREF _Toc511290228 \h </w:instrText>
        </w:r>
        <w:r w:rsidR="006E4BC2">
          <w:rPr>
            <w:webHidden/>
          </w:rPr>
        </w:r>
        <w:r w:rsidR="006E4BC2">
          <w:rPr>
            <w:webHidden/>
          </w:rPr>
          <w:fldChar w:fldCharType="separate"/>
        </w:r>
        <w:r w:rsidR="006850C7">
          <w:rPr>
            <w:webHidden/>
          </w:rPr>
          <w:t>4</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29" w:history="1">
        <w:r w:rsidR="006E4BC2" w:rsidRPr="0037631A">
          <w:rPr>
            <w:rStyle w:val="Hyperlink"/>
          </w:rPr>
          <w:t>Kamm, Christine (BÜNDNIS 90/DIE GRÜNEN)</w:t>
        </w:r>
        <w:r w:rsidR="006E4BC2" w:rsidRPr="0037631A">
          <w:rPr>
            <w:rStyle w:val="Hyperlink"/>
          </w:rPr>
          <w:br/>
          <w:t>Sozialleistungssanktionen bei Asyl</w:t>
        </w:r>
        <w:r w:rsidR="00CA7252">
          <w:rPr>
            <w:rStyle w:val="Hyperlink"/>
          </w:rPr>
          <w:softHyphen/>
        </w:r>
        <w:r w:rsidR="006E4BC2" w:rsidRPr="0037631A">
          <w:rPr>
            <w:rStyle w:val="Hyperlink"/>
          </w:rPr>
          <w:t>suchenden</w:t>
        </w:r>
        <w:r w:rsidR="006E4BC2">
          <w:rPr>
            <w:webHidden/>
          </w:rPr>
          <w:tab/>
        </w:r>
        <w:r w:rsidR="006E4BC2">
          <w:rPr>
            <w:webHidden/>
          </w:rPr>
          <w:fldChar w:fldCharType="begin"/>
        </w:r>
        <w:r w:rsidR="006E4BC2">
          <w:rPr>
            <w:webHidden/>
          </w:rPr>
          <w:instrText xml:space="preserve"> PAGEREF _Toc511290229 \h </w:instrText>
        </w:r>
        <w:r w:rsidR="006E4BC2">
          <w:rPr>
            <w:webHidden/>
          </w:rPr>
        </w:r>
        <w:r w:rsidR="006E4BC2">
          <w:rPr>
            <w:webHidden/>
          </w:rPr>
          <w:fldChar w:fldCharType="separate"/>
        </w:r>
        <w:r w:rsidR="006850C7">
          <w:rPr>
            <w:webHidden/>
          </w:rPr>
          <w:t>4</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30" w:history="1">
        <w:r w:rsidR="006E4BC2" w:rsidRPr="0037631A">
          <w:rPr>
            <w:rStyle w:val="Hyperlink"/>
          </w:rPr>
          <w:t>König, Alexander (CSU)</w:t>
        </w:r>
        <w:r w:rsidR="006E4BC2" w:rsidRPr="0037631A">
          <w:rPr>
            <w:rStyle w:val="Hyperlink"/>
          </w:rPr>
          <w:br/>
          <w:t>Ist- und Sollstärke bei den Polizei</w:t>
        </w:r>
        <w:r w:rsidR="00CA7252">
          <w:rPr>
            <w:rStyle w:val="Hyperlink"/>
          </w:rPr>
          <w:softHyphen/>
        </w:r>
        <w:r w:rsidR="006E4BC2" w:rsidRPr="0037631A">
          <w:rPr>
            <w:rStyle w:val="Hyperlink"/>
          </w:rPr>
          <w:t>präsidien</w:t>
        </w:r>
        <w:r w:rsidR="006E4BC2">
          <w:rPr>
            <w:webHidden/>
          </w:rPr>
          <w:tab/>
        </w:r>
        <w:r w:rsidR="006E4BC2">
          <w:rPr>
            <w:webHidden/>
          </w:rPr>
          <w:fldChar w:fldCharType="begin"/>
        </w:r>
        <w:r w:rsidR="006E4BC2">
          <w:rPr>
            <w:webHidden/>
          </w:rPr>
          <w:instrText xml:space="preserve"> PAGEREF _Toc511290230 \h </w:instrText>
        </w:r>
        <w:r w:rsidR="006E4BC2">
          <w:rPr>
            <w:webHidden/>
          </w:rPr>
        </w:r>
        <w:r w:rsidR="006E4BC2">
          <w:rPr>
            <w:webHidden/>
          </w:rPr>
          <w:fldChar w:fldCharType="separate"/>
        </w:r>
        <w:r w:rsidR="006850C7">
          <w:rPr>
            <w:webHidden/>
          </w:rPr>
          <w:t>5</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31" w:history="1">
        <w:r w:rsidR="006E4BC2" w:rsidRPr="0037631A">
          <w:rPr>
            <w:rStyle w:val="Hyperlink"/>
          </w:rPr>
          <w:t>Dr. Kränzlein, Herbert (SPD)</w:t>
        </w:r>
        <w:r w:rsidR="006E4BC2" w:rsidRPr="0037631A">
          <w:rPr>
            <w:rStyle w:val="Hyperlink"/>
          </w:rPr>
          <w:br/>
          <w:t>Polizeieinsatz in der Erstaufnahme</w:t>
        </w:r>
        <w:r w:rsidR="00CA7252">
          <w:rPr>
            <w:rStyle w:val="Hyperlink"/>
          </w:rPr>
          <w:softHyphen/>
        </w:r>
        <w:r w:rsidR="006E4BC2" w:rsidRPr="0037631A">
          <w:rPr>
            <w:rStyle w:val="Hyperlink"/>
          </w:rPr>
          <w:t>einrichtung Donauwörth</w:t>
        </w:r>
        <w:r w:rsidR="006E4BC2">
          <w:rPr>
            <w:webHidden/>
          </w:rPr>
          <w:tab/>
        </w:r>
        <w:r w:rsidR="006E4BC2">
          <w:rPr>
            <w:webHidden/>
          </w:rPr>
          <w:fldChar w:fldCharType="begin"/>
        </w:r>
        <w:r w:rsidR="006E4BC2">
          <w:rPr>
            <w:webHidden/>
          </w:rPr>
          <w:instrText xml:space="preserve"> PAGEREF _Toc511290231 \h </w:instrText>
        </w:r>
        <w:r w:rsidR="006E4BC2">
          <w:rPr>
            <w:webHidden/>
          </w:rPr>
        </w:r>
        <w:r w:rsidR="006E4BC2">
          <w:rPr>
            <w:webHidden/>
          </w:rPr>
          <w:fldChar w:fldCharType="separate"/>
        </w:r>
        <w:r w:rsidR="006850C7">
          <w:rPr>
            <w:webHidden/>
          </w:rPr>
          <w:t>6</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32" w:history="1">
        <w:r w:rsidR="006E4BC2" w:rsidRPr="0037631A">
          <w:rPr>
            <w:rStyle w:val="Hyperlink"/>
          </w:rPr>
          <w:t>Meyer, Peter (FREIE WÄHLER)</w:t>
        </w:r>
        <w:r w:rsidR="006E4BC2" w:rsidRPr="0037631A">
          <w:rPr>
            <w:rStyle w:val="Hyperlink"/>
          </w:rPr>
          <w:br/>
          <w:t>Einrichtung einer Bayerischen Grenzpolizei II</w:t>
        </w:r>
        <w:r w:rsidR="006E4BC2">
          <w:rPr>
            <w:webHidden/>
          </w:rPr>
          <w:tab/>
        </w:r>
        <w:r w:rsidR="006E4BC2">
          <w:rPr>
            <w:webHidden/>
          </w:rPr>
          <w:fldChar w:fldCharType="begin"/>
        </w:r>
        <w:r w:rsidR="006E4BC2">
          <w:rPr>
            <w:webHidden/>
          </w:rPr>
          <w:instrText xml:space="preserve"> PAGEREF _Toc511290232 \h </w:instrText>
        </w:r>
        <w:r w:rsidR="006E4BC2">
          <w:rPr>
            <w:webHidden/>
          </w:rPr>
        </w:r>
        <w:r w:rsidR="006E4BC2">
          <w:rPr>
            <w:webHidden/>
          </w:rPr>
          <w:fldChar w:fldCharType="separate"/>
        </w:r>
        <w:r w:rsidR="006850C7">
          <w:rPr>
            <w:webHidden/>
          </w:rPr>
          <w:t>9</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33" w:history="1">
        <w:r w:rsidR="006E4BC2" w:rsidRPr="0037631A">
          <w:rPr>
            <w:rStyle w:val="Hyperlink"/>
          </w:rPr>
          <w:t>Rauscher, Doris (SPD)</w:t>
        </w:r>
        <w:r w:rsidR="006E4BC2" w:rsidRPr="0037631A">
          <w:rPr>
            <w:rStyle w:val="Hyperlink"/>
          </w:rPr>
          <w:br/>
          <w:t>Konzept zur Verteilung von Fehl</w:t>
        </w:r>
        <w:r w:rsidR="00CA7252">
          <w:rPr>
            <w:rStyle w:val="Hyperlink"/>
          </w:rPr>
          <w:softHyphen/>
        </w:r>
        <w:r w:rsidR="006E4BC2" w:rsidRPr="0037631A">
          <w:rPr>
            <w:rStyle w:val="Hyperlink"/>
          </w:rPr>
          <w:t>belegern auf bayerische Kommunen</w:t>
        </w:r>
        <w:r w:rsidR="006E4BC2">
          <w:rPr>
            <w:webHidden/>
          </w:rPr>
          <w:tab/>
        </w:r>
        <w:r w:rsidR="006E4BC2">
          <w:rPr>
            <w:webHidden/>
          </w:rPr>
          <w:fldChar w:fldCharType="begin"/>
        </w:r>
        <w:r w:rsidR="006E4BC2">
          <w:rPr>
            <w:webHidden/>
          </w:rPr>
          <w:instrText xml:space="preserve"> PAGEREF _Toc511290233 \h </w:instrText>
        </w:r>
        <w:r w:rsidR="006E4BC2">
          <w:rPr>
            <w:webHidden/>
          </w:rPr>
        </w:r>
        <w:r w:rsidR="006E4BC2">
          <w:rPr>
            <w:webHidden/>
          </w:rPr>
          <w:fldChar w:fldCharType="separate"/>
        </w:r>
        <w:r w:rsidR="006850C7">
          <w:rPr>
            <w:webHidden/>
          </w:rPr>
          <w:t>9</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34" w:history="1">
        <w:r w:rsidR="006E4BC2" w:rsidRPr="0037631A">
          <w:rPr>
            <w:rStyle w:val="Hyperlink"/>
          </w:rPr>
          <w:t>Ritter, Florian (SPD)</w:t>
        </w:r>
        <w:r w:rsidR="006E4BC2" w:rsidRPr="0037631A">
          <w:rPr>
            <w:rStyle w:val="Hyperlink"/>
          </w:rPr>
          <w:br/>
          <w:t>Rechte Szene und Reichsbürger in den Landkreisen Freising, Erding, Pfaffenhofen und Dachau</w:t>
        </w:r>
        <w:r w:rsidR="006E4BC2">
          <w:rPr>
            <w:webHidden/>
          </w:rPr>
          <w:tab/>
        </w:r>
        <w:r w:rsidR="006E4BC2">
          <w:rPr>
            <w:webHidden/>
          </w:rPr>
          <w:fldChar w:fldCharType="begin"/>
        </w:r>
        <w:r w:rsidR="006E4BC2">
          <w:rPr>
            <w:webHidden/>
          </w:rPr>
          <w:instrText xml:space="preserve"> PAGEREF _Toc511290234 \h </w:instrText>
        </w:r>
        <w:r w:rsidR="006E4BC2">
          <w:rPr>
            <w:webHidden/>
          </w:rPr>
        </w:r>
        <w:r w:rsidR="006E4BC2">
          <w:rPr>
            <w:webHidden/>
          </w:rPr>
          <w:fldChar w:fldCharType="separate"/>
        </w:r>
        <w:r w:rsidR="006850C7">
          <w:rPr>
            <w:webHidden/>
          </w:rPr>
          <w:t>10</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35" w:history="1">
        <w:r w:rsidR="006E4BC2" w:rsidRPr="0037631A">
          <w:rPr>
            <w:rStyle w:val="Hyperlink"/>
          </w:rPr>
          <w:t>Roos, Bernhard (SPD)</w:t>
        </w:r>
        <w:r w:rsidR="006E4BC2" w:rsidRPr="0037631A">
          <w:rPr>
            <w:rStyle w:val="Hyperlink"/>
          </w:rPr>
          <w:br/>
          <w:t>Abschiebung schwerkranker Flücht</w:t>
        </w:r>
        <w:r w:rsidR="00CA7252">
          <w:rPr>
            <w:rStyle w:val="Hyperlink"/>
          </w:rPr>
          <w:softHyphen/>
        </w:r>
        <w:r w:rsidR="006E4BC2" w:rsidRPr="0037631A">
          <w:rPr>
            <w:rStyle w:val="Hyperlink"/>
          </w:rPr>
          <w:t>linge stoppen</w:t>
        </w:r>
        <w:r w:rsidR="006E4BC2">
          <w:rPr>
            <w:webHidden/>
          </w:rPr>
          <w:tab/>
        </w:r>
        <w:r w:rsidR="006E4BC2">
          <w:rPr>
            <w:webHidden/>
          </w:rPr>
          <w:fldChar w:fldCharType="begin"/>
        </w:r>
        <w:r w:rsidR="006E4BC2">
          <w:rPr>
            <w:webHidden/>
          </w:rPr>
          <w:instrText xml:space="preserve"> PAGEREF _Toc511290235 \h </w:instrText>
        </w:r>
        <w:r w:rsidR="006E4BC2">
          <w:rPr>
            <w:webHidden/>
          </w:rPr>
        </w:r>
        <w:r w:rsidR="006E4BC2">
          <w:rPr>
            <w:webHidden/>
          </w:rPr>
          <w:fldChar w:fldCharType="separate"/>
        </w:r>
        <w:r w:rsidR="006850C7">
          <w:rPr>
            <w:webHidden/>
          </w:rPr>
          <w:t>11</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36" w:history="1">
        <w:r w:rsidR="006E4BC2" w:rsidRPr="0037631A">
          <w:rPr>
            <w:rStyle w:val="Hyperlink"/>
          </w:rPr>
          <w:t>Rosenthal, Georg (SPD)</w:t>
        </w:r>
        <w:r w:rsidR="006E4BC2" w:rsidRPr="0037631A">
          <w:rPr>
            <w:rStyle w:val="Hyperlink"/>
          </w:rPr>
          <w:br/>
          <w:t>Bedrohte Gastwirte</w:t>
        </w:r>
        <w:r w:rsidR="006E4BC2">
          <w:rPr>
            <w:webHidden/>
          </w:rPr>
          <w:tab/>
        </w:r>
        <w:r w:rsidR="006E4BC2">
          <w:rPr>
            <w:webHidden/>
          </w:rPr>
          <w:fldChar w:fldCharType="begin"/>
        </w:r>
        <w:r w:rsidR="006E4BC2">
          <w:rPr>
            <w:webHidden/>
          </w:rPr>
          <w:instrText xml:space="preserve"> PAGEREF _Toc511290236 \h </w:instrText>
        </w:r>
        <w:r w:rsidR="006E4BC2">
          <w:rPr>
            <w:webHidden/>
          </w:rPr>
        </w:r>
        <w:r w:rsidR="006E4BC2">
          <w:rPr>
            <w:webHidden/>
          </w:rPr>
          <w:fldChar w:fldCharType="separate"/>
        </w:r>
        <w:r w:rsidR="006850C7">
          <w:rPr>
            <w:webHidden/>
          </w:rPr>
          <w:t>12</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37" w:history="1">
        <w:r w:rsidR="006E4BC2" w:rsidRPr="0037631A">
          <w:rPr>
            <w:rStyle w:val="Hyperlink"/>
          </w:rPr>
          <w:t>Schulze, Katharina (BÜNDNIS 90/DIE GRÜNEN)</w:t>
        </w:r>
        <w:r w:rsidR="006E4BC2" w:rsidRPr="0037631A">
          <w:rPr>
            <w:rStyle w:val="Hyperlink"/>
          </w:rPr>
          <w:br/>
          <w:t>Kurden-Fahne auf Facebook gepostet</w:t>
        </w:r>
        <w:r w:rsidR="006E4BC2">
          <w:rPr>
            <w:webHidden/>
          </w:rPr>
          <w:tab/>
        </w:r>
        <w:r w:rsidR="006E4BC2">
          <w:rPr>
            <w:webHidden/>
          </w:rPr>
          <w:fldChar w:fldCharType="begin"/>
        </w:r>
        <w:r w:rsidR="006E4BC2">
          <w:rPr>
            <w:webHidden/>
          </w:rPr>
          <w:instrText xml:space="preserve"> PAGEREF _Toc511290237 \h </w:instrText>
        </w:r>
        <w:r w:rsidR="006E4BC2">
          <w:rPr>
            <w:webHidden/>
          </w:rPr>
        </w:r>
        <w:r w:rsidR="006E4BC2">
          <w:rPr>
            <w:webHidden/>
          </w:rPr>
          <w:fldChar w:fldCharType="separate"/>
        </w:r>
        <w:r w:rsidR="006850C7">
          <w:rPr>
            <w:webHidden/>
          </w:rPr>
          <w:t>13</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38" w:history="1">
        <w:r w:rsidR="006E4BC2" w:rsidRPr="0037631A">
          <w:rPr>
            <w:rStyle w:val="Hyperlink"/>
          </w:rPr>
          <w:t>Schuster, Stefan (SPD)</w:t>
        </w:r>
        <w:r w:rsidR="006E4BC2" w:rsidRPr="0037631A">
          <w:rPr>
            <w:rStyle w:val="Hyperlink"/>
          </w:rPr>
          <w:br/>
          <w:t>Personalzuteilung der Polizei 2019</w:t>
        </w:r>
        <w:r w:rsidR="006E4BC2">
          <w:rPr>
            <w:webHidden/>
          </w:rPr>
          <w:tab/>
        </w:r>
        <w:r w:rsidR="006E4BC2">
          <w:rPr>
            <w:webHidden/>
          </w:rPr>
          <w:fldChar w:fldCharType="begin"/>
        </w:r>
        <w:r w:rsidR="006E4BC2">
          <w:rPr>
            <w:webHidden/>
          </w:rPr>
          <w:instrText xml:space="preserve"> PAGEREF _Toc511290238 \h </w:instrText>
        </w:r>
        <w:r w:rsidR="006E4BC2">
          <w:rPr>
            <w:webHidden/>
          </w:rPr>
        </w:r>
        <w:r w:rsidR="006E4BC2">
          <w:rPr>
            <w:webHidden/>
          </w:rPr>
          <w:fldChar w:fldCharType="separate"/>
        </w:r>
        <w:r w:rsidR="006850C7">
          <w:rPr>
            <w:webHidden/>
          </w:rPr>
          <w:t>14</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39" w:history="1">
        <w:r w:rsidR="006E4BC2" w:rsidRPr="0037631A">
          <w:rPr>
            <w:rStyle w:val="Hyperlink"/>
          </w:rPr>
          <w:t>Sonnenholzner, Kathrin (SPD)</w:t>
        </w:r>
        <w:r w:rsidR="006E4BC2" w:rsidRPr="0037631A">
          <w:rPr>
            <w:rStyle w:val="Hyperlink"/>
          </w:rPr>
          <w:br/>
          <w:t>Medizinische Versorgung von schwan</w:t>
        </w:r>
        <w:r w:rsidR="00CA7252">
          <w:rPr>
            <w:rStyle w:val="Hyperlink"/>
          </w:rPr>
          <w:softHyphen/>
        </w:r>
        <w:r w:rsidR="006E4BC2" w:rsidRPr="0037631A">
          <w:rPr>
            <w:rStyle w:val="Hyperlink"/>
          </w:rPr>
          <w:t>geren Frauen in der Erstaufnahme</w:t>
        </w:r>
        <w:r w:rsidR="00CA7252">
          <w:rPr>
            <w:rStyle w:val="Hyperlink"/>
          </w:rPr>
          <w:softHyphen/>
        </w:r>
        <w:r w:rsidR="006E4BC2" w:rsidRPr="0037631A">
          <w:rPr>
            <w:rStyle w:val="Hyperlink"/>
          </w:rPr>
          <w:t>einrichtung</w:t>
        </w:r>
        <w:r w:rsidR="006E4BC2">
          <w:rPr>
            <w:webHidden/>
          </w:rPr>
          <w:tab/>
        </w:r>
        <w:r w:rsidR="006E4BC2">
          <w:rPr>
            <w:webHidden/>
          </w:rPr>
          <w:fldChar w:fldCharType="begin"/>
        </w:r>
        <w:r w:rsidR="006E4BC2">
          <w:rPr>
            <w:webHidden/>
          </w:rPr>
          <w:instrText xml:space="preserve"> PAGEREF _Toc511290239 \h </w:instrText>
        </w:r>
        <w:r w:rsidR="006E4BC2">
          <w:rPr>
            <w:webHidden/>
          </w:rPr>
        </w:r>
        <w:r w:rsidR="006E4BC2">
          <w:rPr>
            <w:webHidden/>
          </w:rPr>
          <w:fldChar w:fldCharType="separate"/>
        </w:r>
        <w:r w:rsidR="006850C7">
          <w:rPr>
            <w:webHidden/>
          </w:rPr>
          <w:t>14</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40" w:history="1">
        <w:r w:rsidR="006E4BC2" w:rsidRPr="0037631A">
          <w:rPr>
            <w:rStyle w:val="Hyperlink"/>
          </w:rPr>
          <w:t>Strobl, Reinhold (SPD)</w:t>
        </w:r>
        <w:r w:rsidR="006E4BC2" w:rsidRPr="0037631A">
          <w:rPr>
            <w:rStyle w:val="Hyperlink"/>
          </w:rPr>
          <w:br/>
          <w:t>Unterstützung für Rettungs</w:t>
        </w:r>
        <w:r w:rsidR="00CA7252">
          <w:rPr>
            <w:rStyle w:val="Hyperlink"/>
          </w:rPr>
          <w:softHyphen/>
        </w:r>
        <w:r w:rsidR="006E4BC2" w:rsidRPr="0037631A">
          <w:rPr>
            <w:rStyle w:val="Hyperlink"/>
          </w:rPr>
          <w:t>hundestaffeln</w:t>
        </w:r>
        <w:r w:rsidR="006E4BC2">
          <w:rPr>
            <w:webHidden/>
          </w:rPr>
          <w:tab/>
        </w:r>
        <w:r w:rsidR="006E4BC2">
          <w:rPr>
            <w:webHidden/>
          </w:rPr>
          <w:fldChar w:fldCharType="begin"/>
        </w:r>
        <w:r w:rsidR="006E4BC2">
          <w:rPr>
            <w:webHidden/>
          </w:rPr>
          <w:instrText xml:space="preserve"> PAGEREF _Toc511290240 \h </w:instrText>
        </w:r>
        <w:r w:rsidR="006E4BC2">
          <w:rPr>
            <w:webHidden/>
          </w:rPr>
        </w:r>
        <w:r w:rsidR="006E4BC2">
          <w:rPr>
            <w:webHidden/>
          </w:rPr>
          <w:fldChar w:fldCharType="separate"/>
        </w:r>
        <w:r w:rsidR="006850C7">
          <w:rPr>
            <w:webHidden/>
          </w:rPr>
          <w:t>15</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41" w:history="1">
        <w:r w:rsidR="006E4BC2" w:rsidRPr="0037631A">
          <w:rPr>
            <w:rStyle w:val="Hyperlink"/>
          </w:rPr>
          <w:t>Ta</w:t>
        </w:r>
        <w:r w:rsidR="00CA7252">
          <w:rPr>
            <w:rStyle w:val="Hyperlink"/>
            <w:rFonts w:cs="Arial"/>
          </w:rPr>
          <w:t>ş</w:t>
        </w:r>
        <w:r w:rsidR="006E4BC2" w:rsidRPr="0037631A">
          <w:rPr>
            <w:rStyle w:val="Hyperlink"/>
          </w:rPr>
          <w:t>delen, Arif (SPD)</w:t>
        </w:r>
        <w:r w:rsidR="006E4BC2" w:rsidRPr="0037631A">
          <w:rPr>
            <w:rStyle w:val="Hyperlink"/>
          </w:rPr>
          <w:br/>
          <w:t xml:space="preserve">AfD-Kontakte zu </w:t>
        </w:r>
        <w:r w:rsidR="004A62EF">
          <w:rPr>
            <w:rStyle w:val="Hyperlink"/>
          </w:rPr>
          <w:t>„</w:t>
        </w:r>
        <w:r w:rsidR="006E4BC2" w:rsidRPr="0037631A">
          <w:rPr>
            <w:rStyle w:val="Hyperlink"/>
          </w:rPr>
          <w:t>Identitären</w:t>
        </w:r>
        <w:r w:rsidR="004A62EF">
          <w:rPr>
            <w:rStyle w:val="Hyperlink"/>
          </w:rPr>
          <w:t>“</w:t>
        </w:r>
        <w:r w:rsidR="006E4BC2" w:rsidRPr="0037631A">
          <w:rPr>
            <w:rStyle w:val="Hyperlink"/>
          </w:rPr>
          <w:t xml:space="preserve"> offen</w:t>
        </w:r>
        <w:r w:rsidR="00CA7252">
          <w:rPr>
            <w:rStyle w:val="Hyperlink"/>
          </w:rPr>
          <w:softHyphen/>
        </w:r>
        <w:r w:rsidR="006E4BC2" w:rsidRPr="0037631A">
          <w:rPr>
            <w:rStyle w:val="Hyperlink"/>
          </w:rPr>
          <w:t>legen und unterbinden</w:t>
        </w:r>
        <w:r w:rsidR="006E4BC2">
          <w:rPr>
            <w:webHidden/>
          </w:rPr>
          <w:tab/>
        </w:r>
        <w:r w:rsidR="006E4BC2">
          <w:rPr>
            <w:webHidden/>
          </w:rPr>
          <w:fldChar w:fldCharType="begin"/>
        </w:r>
        <w:r w:rsidR="006E4BC2">
          <w:rPr>
            <w:webHidden/>
          </w:rPr>
          <w:instrText xml:space="preserve"> PAGEREF _Toc511290241 \h </w:instrText>
        </w:r>
        <w:r w:rsidR="006E4BC2">
          <w:rPr>
            <w:webHidden/>
          </w:rPr>
        </w:r>
        <w:r w:rsidR="006E4BC2">
          <w:rPr>
            <w:webHidden/>
          </w:rPr>
          <w:fldChar w:fldCharType="separate"/>
        </w:r>
        <w:r w:rsidR="006850C7">
          <w:rPr>
            <w:webHidden/>
          </w:rPr>
          <w:t>16</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42" w:history="1">
        <w:r w:rsidR="006E4BC2" w:rsidRPr="0037631A">
          <w:rPr>
            <w:rStyle w:val="Hyperlink"/>
          </w:rPr>
          <w:t>Zierer, Benno (FREIE WÄHLER)</w:t>
        </w:r>
        <w:r w:rsidR="006E4BC2" w:rsidRPr="0037631A">
          <w:rPr>
            <w:rStyle w:val="Hyperlink"/>
          </w:rPr>
          <w:br/>
          <w:t>Einsatz von Dokumentenprüfgeräten in kommunalen Meldebehörden</w:t>
        </w:r>
        <w:r w:rsidR="006E4BC2">
          <w:rPr>
            <w:webHidden/>
          </w:rPr>
          <w:tab/>
        </w:r>
        <w:r w:rsidR="006E4BC2">
          <w:rPr>
            <w:webHidden/>
          </w:rPr>
          <w:fldChar w:fldCharType="begin"/>
        </w:r>
        <w:r w:rsidR="006E4BC2">
          <w:rPr>
            <w:webHidden/>
          </w:rPr>
          <w:instrText xml:space="preserve"> PAGEREF _Toc511290242 \h </w:instrText>
        </w:r>
        <w:r w:rsidR="006E4BC2">
          <w:rPr>
            <w:webHidden/>
          </w:rPr>
        </w:r>
        <w:r w:rsidR="006E4BC2">
          <w:rPr>
            <w:webHidden/>
          </w:rPr>
          <w:fldChar w:fldCharType="separate"/>
        </w:r>
        <w:r w:rsidR="006850C7">
          <w:rPr>
            <w:webHidden/>
          </w:rPr>
          <w:t>17</w:t>
        </w:r>
        <w:r w:rsidR="006E4BC2">
          <w:rPr>
            <w:webHidden/>
          </w:rPr>
          <w:fldChar w:fldCharType="end"/>
        </w:r>
      </w:hyperlink>
    </w:p>
    <w:p w:rsidR="006E4BC2" w:rsidRDefault="009C6D74">
      <w:pPr>
        <w:pStyle w:val="Verzeichnis1"/>
        <w:tabs>
          <w:tab w:val="right" w:leader="dot" w:pos="4383"/>
        </w:tabs>
        <w:rPr>
          <w:rFonts w:asciiTheme="minorHAnsi" w:eastAsiaTheme="minorEastAsia" w:hAnsiTheme="minorHAnsi" w:cstheme="minorBidi"/>
          <w:b w:val="0"/>
          <w:noProof/>
        </w:rPr>
      </w:pPr>
      <w:hyperlink w:anchor="_Toc511290243" w:history="1">
        <w:r w:rsidR="006E4BC2" w:rsidRPr="0037631A">
          <w:rPr>
            <w:rStyle w:val="Hyperlink"/>
            <w:noProof/>
          </w:rPr>
          <w:t>Geschäftsbereich des Staatsministeriums der Justiz</w:t>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44" w:history="1">
        <w:r w:rsidR="006E4BC2" w:rsidRPr="0037631A">
          <w:rPr>
            <w:rStyle w:val="Hyperlink"/>
          </w:rPr>
          <w:t>Arnold, Horst (SPD)</w:t>
        </w:r>
        <w:r w:rsidR="006E4BC2" w:rsidRPr="0037631A">
          <w:rPr>
            <w:rStyle w:val="Hyperlink"/>
          </w:rPr>
          <w:br/>
          <w:t>Wilderei in Bayern</w:t>
        </w:r>
        <w:r w:rsidR="006E4BC2">
          <w:rPr>
            <w:webHidden/>
          </w:rPr>
          <w:tab/>
        </w:r>
        <w:r w:rsidR="006E4BC2">
          <w:rPr>
            <w:webHidden/>
          </w:rPr>
          <w:fldChar w:fldCharType="begin"/>
        </w:r>
        <w:r w:rsidR="006E4BC2">
          <w:rPr>
            <w:webHidden/>
          </w:rPr>
          <w:instrText xml:space="preserve"> PAGEREF _Toc511290244 \h </w:instrText>
        </w:r>
        <w:r w:rsidR="006E4BC2">
          <w:rPr>
            <w:webHidden/>
          </w:rPr>
        </w:r>
        <w:r w:rsidR="006E4BC2">
          <w:rPr>
            <w:webHidden/>
          </w:rPr>
          <w:fldChar w:fldCharType="separate"/>
        </w:r>
        <w:r w:rsidR="006850C7">
          <w:rPr>
            <w:webHidden/>
          </w:rPr>
          <w:t>19</w:t>
        </w:r>
        <w:r w:rsidR="006E4BC2">
          <w:rPr>
            <w:webHidden/>
          </w:rPr>
          <w:fldChar w:fldCharType="end"/>
        </w:r>
      </w:hyperlink>
    </w:p>
    <w:p w:rsidR="006E4BC2" w:rsidRDefault="009C6D74">
      <w:pPr>
        <w:pStyle w:val="Verzeichnis1"/>
        <w:tabs>
          <w:tab w:val="right" w:leader="dot" w:pos="4383"/>
        </w:tabs>
        <w:rPr>
          <w:rFonts w:asciiTheme="minorHAnsi" w:eastAsiaTheme="minorEastAsia" w:hAnsiTheme="minorHAnsi" w:cstheme="minorBidi"/>
          <w:b w:val="0"/>
          <w:noProof/>
        </w:rPr>
      </w:pPr>
      <w:hyperlink w:anchor="_Toc511290245" w:history="1">
        <w:r w:rsidR="006E4BC2" w:rsidRPr="0037631A">
          <w:rPr>
            <w:rStyle w:val="Hyperlink"/>
            <w:noProof/>
          </w:rPr>
          <w:t>Geschäftsbereich des Staatsministeriums für Unterricht und Kultus</w:t>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46" w:history="1">
        <w:r w:rsidR="006E4BC2" w:rsidRPr="0037631A">
          <w:rPr>
            <w:rStyle w:val="Hyperlink"/>
          </w:rPr>
          <w:t>Gehring, Thomas (BÜNDNIS 90/DIE GRÜNEN)</w:t>
        </w:r>
        <w:r w:rsidR="006E4BC2" w:rsidRPr="0037631A">
          <w:rPr>
            <w:rStyle w:val="Hyperlink"/>
          </w:rPr>
          <w:br/>
          <w:t>Zweite Lehrkraft</w:t>
        </w:r>
        <w:r w:rsidR="00CA7252">
          <w:rPr>
            <w:rStyle w:val="Hyperlink"/>
          </w:rPr>
          <w:t xml:space="preserve"> – </w:t>
        </w:r>
        <w:r w:rsidR="006E4BC2" w:rsidRPr="0037631A">
          <w:rPr>
            <w:rStyle w:val="Hyperlink"/>
          </w:rPr>
          <w:t>Profession und Auf</w:t>
        </w:r>
        <w:r w:rsidR="00CA7252">
          <w:rPr>
            <w:rStyle w:val="Hyperlink"/>
          </w:rPr>
          <w:softHyphen/>
        </w:r>
        <w:r w:rsidR="006E4BC2" w:rsidRPr="0037631A">
          <w:rPr>
            <w:rStyle w:val="Hyperlink"/>
          </w:rPr>
          <w:t>gaben</w:t>
        </w:r>
        <w:r w:rsidR="006E4BC2">
          <w:rPr>
            <w:webHidden/>
          </w:rPr>
          <w:tab/>
        </w:r>
        <w:r w:rsidR="006E4BC2">
          <w:rPr>
            <w:webHidden/>
          </w:rPr>
          <w:fldChar w:fldCharType="begin"/>
        </w:r>
        <w:r w:rsidR="006E4BC2">
          <w:rPr>
            <w:webHidden/>
          </w:rPr>
          <w:instrText xml:space="preserve"> PAGEREF _Toc511290246 \h </w:instrText>
        </w:r>
        <w:r w:rsidR="006E4BC2">
          <w:rPr>
            <w:webHidden/>
          </w:rPr>
        </w:r>
        <w:r w:rsidR="006E4BC2">
          <w:rPr>
            <w:webHidden/>
          </w:rPr>
          <w:fldChar w:fldCharType="separate"/>
        </w:r>
        <w:r w:rsidR="006850C7">
          <w:rPr>
            <w:webHidden/>
          </w:rPr>
          <w:t>21</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47" w:history="1">
        <w:r w:rsidR="006E4BC2" w:rsidRPr="0037631A">
          <w:rPr>
            <w:rStyle w:val="Hyperlink"/>
          </w:rPr>
          <w:t>Gote, Ulrike (BÜNDNIS 90/DIE GRÜNEN)</w:t>
        </w:r>
        <w:r w:rsidR="006E4BC2" w:rsidRPr="0037631A">
          <w:rPr>
            <w:rStyle w:val="Hyperlink"/>
          </w:rPr>
          <w:br/>
          <w:t xml:space="preserve">Abschaffung des Modellversuchs </w:t>
        </w:r>
        <w:r w:rsidR="004A62EF">
          <w:rPr>
            <w:rStyle w:val="Hyperlink"/>
          </w:rPr>
          <w:t>„</w:t>
        </w:r>
        <w:r w:rsidR="00CA7252">
          <w:rPr>
            <w:rStyle w:val="Hyperlink"/>
          </w:rPr>
          <w:t>Islamischer Religionsunterricht“</w:t>
        </w:r>
        <w:r w:rsidR="006E4BC2">
          <w:rPr>
            <w:webHidden/>
          </w:rPr>
          <w:tab/>
        </w:r>
        <w:r w:rsidR="006E4BC2">
          <w:rPr>
            <w:webHidden/>
          </w:rPr>
          <w:fldChar w:fldCharType="begin"/>
        </w:r>
        <w:r w:rsidR="006E4BC2">
          <w:rPr>
            <w:webHidden/>
          </w:rPr>
          <w:instrText xml:space="preserve"> PAGEREF _Toc511290247 \h </w:instrText>
        </w:r>
        <w:r w:rsidR="006E4BC2">
          <w:rPr>
            <w:webHidden/>
          </w:rPr>
        </w:r>
        <w:r w:rsidR="006E4BC2">
          <w:rPr>
            <w:webHidden/>
          </w:rPr>
          <w:fldChar w:fldCharType="separate"/>
        </w:r>
        <w:r w:rsidR="006850C7">
          <w:rPr>
            <w:webHidden/>
          </w:rPr>
          <w:t>24</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48" w:history="1">
        <w:r w:rsidR="006E4BC2" w:rsidRPr="0037631A">
          <w:rPr>
            <w:rStyle w:val="Hyperlink"/>
          </w:rPr>
          <w:t>Güll, Martin (SPD)</w:t>
        </w:r>
        <w:r w:rsidR="006E4BC2" w:rsidRPr="0037631A">
          <w:rPr>
            <w:rStyle w:val="Hyperlink"/>
          </w:rPr>
          <w:br/>
          <w:t>Unterstützung der Lehrkräfte bei der Inklusion</w:t>
        </w:r>
        <w:r w:rsidR="006E4BC2">
          <w:rPr>
            <w:webHidden/>
          </w:rPr>
          <w:tab/>
        </w:r>
        <w:r w:rsidR="006E4BC2">
          <w:rPr>
            <w:webHidden/>
          </w:rPr>
          <w:fldChar w:fldCharType="begin"/>
        </w:r>
        <w:r w:rsidR="006E4BC2">
          <w:rPr>
            <w:webHidden/>
          </w:rPr>
          <w:instrText xml:space="preserve"> PAGEREF _Toc511290248 \h </w:instrText>
        </w:r>
        <w:r w:rsidR="006E4BC2">
          <w:rPr>
            <w:webHidden/>
          </w:rPr>
        </w:r>
        <w:r w:rsidR="006E4BC2">
          <w:rPr>
            <w:webHidden/>
          </w:rPr>
          <w:fldChar w:fldCharType="separate"/>
        </w:r>
        <w:r w:rsidR="006850C7">
          <w:rPr>
            <w:webHidden/>
          </w:rPr>
          <w:t>25</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49" w:history="1">
        <w:r w:rsidR="006E4BC2" w:rsidRPr="0037631A">
          <w:rPr>
            <w:rStyle w:val="Hyperlink"/>
          </w:rPr>
          <w:t>Leiner, Ulrich (BÜNDNIS 90/DIE GRÜNEN)</w:t>
        </w:r>
        <w:r w:rsidR="006E4BC2" w:rsidRPr="0037631A">
          <w:rPr>
            <w:rStyle w:val="Hyperlink"/>
          </w:rPr>
          <w:br/>
          <w:t>Unterstützung bei anerkannter Lese-Rechtschreib-Schwäche an Berufs</w:t>
        </w:r>
        <w:r w:rsidR="00CA7252">
          <w:rPr>
            <w:rStyle w:val="Hyperlink"/>
          </w:rPr>
          <w:softHyphen/>
        </w:r>
        <w:r w:rsidR="006E4BC2" w:rsidRPr="0037631A">
          <w:rPr>
            <w:rStyle w:val="Hyperlink"/>
          </w:rPr>
          <w:t>schulen</w:t>
        </w:r>
        <w:r w:rsidR="006E4BC2">
          <w:rPr>
            <w:webHidden/>
          </w:rPr>
          <w:tab/>
        </w:r>
        <w:r w:rsidR="006E4BC2">
          <w:rPr>
            <w:webHidden/>
          </w:rPr>
          <w:fldChar w:fldCharType="begin"/>
        </w:r>
        <w:r w:rsidR="006E4BC2">
          <w:rPr>
            <w:webHidden/>
          </w:rPr>
          <w:instrText xml:space="preserve"> PAGEREF _Toc511290249 \h </w:instrText>
        </w:r>
        <w:r w:rsidR="006E4BC2">
          <w:rPr>
            <w:webHidden/>
          </w:rPr>
        </w:r>
        <w:r w:rsidR="006E4BC2">
          <w:rPr>
            <w:webHidden/>
          </w:rPr>
          <w:fldChar w:fldCharType="separate"/>
        </w:r>
        <w:r w:rsidR="006850C7">
          <w:rPr>
            <w:webHidden/>
          </w:rPr>
          <w:t>26</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50" w:history="1">
        <w:r w:rsidR="006E4BC2" w:rsidRPr="0037631A">
          <w:rPr>
            <w:rStyle w:val="Hyperlink"/>
          </w:rPr>
          <w:t>Petersen, Kathi (SPD)</w:t>
        </w:r>
        <w:r w:rsidR="006E4BC2" w:rsidRPr="0037631A">
          <w:rPr>
            <w:rStyle w:val="Hyperlink"/>
          </w:rPr>
          <w:br/>
          <w:t>Praxisstunden in der Kranken</w:t>
        </w:r>
        <w:r w:rsidR="00CA7252">
          <w:rPr>
            <w:rStyle w:val="Hyperlink"/>
          </w:rPr>
          <w:softHyphen/>
        </w:r>
        <w:r w:rsidR="006E4BC2" w:rsidRPr="0037631A">
          <w:rPr>
            <w:rStyle w:val="Hyperlink"/>
          </w:rPr>
          <w:t>pflegeausbildung</w:t>
        </w:r>
        <w:r w:rsidR="006E4BC2">
          <w:rPr>
            <w:webHidden/>
          </w:rPr>
          <w:tab/>
        </w:r>
        <w:r w:rsidR="006E4BC2">
          <w:rPr>
            <w:webHidden/>
          </w:rPr>
          <w:fldChar w:fldCharType="begin"/>
        </w:r>
        <w:r w:rsidR="006E4BC2">
          <w:rPr>
            <w:webHidden/>
          </w:rPr>
          <w:instrText xml:space="preserve"> PAGEREF _Toc511290250 \h </w:instrText>
        </w:r>
        <w:r w:rsidR="006E4BC2">
          <w:rPr>
            <w:webHidden/>
          </w:rPr>
        </w:r>
        <w:r w:rsidR="006E4BC2">
          <w:rPr>
            <w:webHidden/>
          </w:rPr>
          <w:fldChar w:fldCharType="separate"/>
        </w:r>
        <w:r w:rsidR="006850C7">
          <w:rPr>
            <w:webHidden/>
          </w:rPr>
          <w:t>27</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51" w:history="1">
        <w:r w:rsidR="006E4BC2" w:rsidRPr="0037631A">
          <w:rPr>
            <w:rStyle w:val="Hyperlink"/>
          </w:rPr>
          <w:t>Dr. Strohmayr, Simone (SPD)</w:t>
        </w:r>
        <w:r w:rsidR="006E4BC2" w:rsidRPr="0037631A">
          <w:rPr>
            <w:rStyle w:val="Hyperlink"/>
          </w:rPr>
          <w:br/>
          <w:t>WLAN-Zonen an Schulen in Bayern</w:t>
        </w:r>
        <w:r w:rsidR="006E4BC2">
          <w:rPr>
            <w:webHidden/>
          </w:rPr>
          <w:tab/>
        </w:r>
        <w:r w:rsidR="006E4BC2">
          <w:rPr>
            <w:webHidden/>
          </w:rPr>
          <w:fldChar w:fldCharType="begin"/>
        </w:r>
        <w:r w:rsidR="006E4BC2">
          <w:rPr>
            <w:webHidden/>
          </w:rPr>
          <w:instrText xml:space="preserve"> PAGEREF _Toc511290251 \h </w:instrText>
        </w:r>
        <w:r w:rsidR="006E4BC2">
          <w:rPr>
            <w:webHidden/>
          </w:rPr>
        </w:r>
        <w:r w:rsidR="006E4BC2">
          <w:rPr>
            <w:webHidden/>
          </w:rPr>
          <w:fldChar w:fldCharType="separate"/>
        </w:r>
        <w:r w:rsidR="006850C7">
          <w:rPr>
            <w:webHidden/>
          </w:rPr>
          <w:t>28</w:t>
        </w:r>
        <w:r w:rsidR="006E4BC2">
          <w:rPr>
            <w:webHidden/>
          </w:rPr>
          <w:fldChar w:fldCharType="end"/>
        </w:r>
      </w:hyperlink>
    </w:p>
    <w:p w:rsidR="006E4BC2" w:rsidRDefault="009C6D74">
      <w:pPr>
        <w:pStyle w:val="Verzeichnis2"/>
        <w:tabs>
          <w:tab w:val="right" w:leader="dot" w:pos="4383"/>
        </w:tabs>
        <w:rPr>
          <w:rStyle w:val="Hyperlink"/>
        </w:rPr>
      </w:pPr>
      <w:hyperlink w:anchor="_Toc511290252" w:history="1">
        <w:r w:rsidR="006E4BC2" w:rsidRPr="0037631A">
          <w:rPr>
            <w:rStyle w:val="Hyperlink"/>
          </w:rPr>
          <w:t>Wild, Margit (SPD)</w:t>
        </w:r>
        <w:r w:rsidR="006E4BC2" w:rsidRPr="0037631A">
          <w:rPr>
            <w:rStyle w:val="Hyperlink"/>
          </w:rPr>
          <w:br/>
          <w:t>Kinder mit sonderpädagogischem Förderbedarf an bayerischen Schulen</w:t>
        </w:r>
        <w:r w:rsidR="006E4BC2">
          <w:rPr>
            <w:webHidden/>
          </w:rPr>
          <w:tab/>
        </w:r>
        <w:r w:rsidR="006E4BC2">
          <w:rPr>
            <w:webHidden/>
          </w:rPr>
          <w:fldChar w:fldCharType="begin"/>
        </w:r>
        <w:r w:rsidR="006E4BC2">
          <w:rPr>
            <w:webHidden/>
          </w:rPr>
          <w:instrText xml:space="preserve"> PAGEREF _Toc511290252 \h </w:instrText>
        </w:r>
        <w:r w:rsidR="006E4BC2">
          <w:rPr>
            <w:webHidden/>
          </w:rPr>
        </w:r>
        <w:r w:rsidR="006E4BC2">
          <w:rPr>
            <w:webHidden/>
          </w:rPr>
          <w:fldChar w:fldCharType="separate"/>
        </w:r>
        <w:r w:rsidR="006850C7">
          <w:rPr>
            <w:webHidden/>
          </w:rPr>
          <w:t>29</w:t>
        </w:r>
        <w:r w:rsidR="006E4BC2">
          <w:rPr>
            <w:webHidden/>
          </w:rPr>
          <w:fldChar w:fldCharType="end"/>
        </w:r>
      </w:hyperlink>
    </w:p>
    <w:p w:rsidR="00CA7252" w:rsidRPr="00CA7252" w:rsidRDefault="00CA7252" w:rsidP="00CA7252">
      <w:pPr>
        <w:rPr>
          <w:rFonts w:eastAsiaTheme="minorEastAsia"/>
          <w:noProof/>
        </w:rPr>
      </w:pPr>
    </w:p>
    <w:p w:rsidR="006E4BC2" w:rsidRDefault="009C6D74">
      <w:pPr>
        <w:pStyle w:val="Verzeichnis1"/>
        <w:tabs>
          <w:tab w:val="right" w:leader="dot" w:pos="4383"/>
        </w:tabs>
        <w:rPr>
          <w:rFonts w:asciiTheme="minorHAnsi" w:eastAsiaTheme="minorEastAsia" w:hAnsiTheme="minorHAnsi" w:cstheme="minorBidi"/>
          <w:b w:val="0"/>
          <w:noProof/>
        </w:rPr>
      </w:pPr>
      <w:hyperlink w:anchor="_Toc511290253" w:history="1">
        <w:r w:rsidR="006E4BC2" w:rsidRPr="0037631A">
          <w:rPr>
            <w:rStyle w:val="Hyperlink"/>
            <w:noProof/>
          </w:rPr>
          <w:t>Geschäftsbereich des Staatsministeriums der Finanzen, für Landesentwicklung und Heimat</w:t>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54" w:history="1">
        <w:r w:rsidR="006E4BC2" w:rsidRPr="0037631A">
          <w:rPr>
            <w:rStyle w:val="Hyperlink"/>
          </w:rPr>
          <w:t>Mistol, Jürgen (BÜNDNIS 90/DIE GRÜNEN)</w:t>
        </w:r>
        <w:r w:rsidR="006E4BC2" w:rsidRPr="0037631A">
          <w:rPr>
            <w:rStyle w:val="Hyperlink"/>
          </w:rPr>
          <w:br/>
          <w:t>Öffentliche Schwimmbäder in der Oberpfalz</w:t>
        </w:r>
        <w:r w:rsidR="006E4BC2">
          <w:rPr>
            <w:webHidden/>
          </w:rPr>
          <w:tab/>
        </w:r>
        <w:r w:rsidR="006E4BC2">
          <w:rPr>
            <w:webHidden/>
          </w:rPr>
          <w:fldChar w:fldCharType="begin"/>
        </w:r>
        <w:r w:rsidR="006E4BC2">
          <w:rPr>
            <w:webHidden/>
          </w:rPr>
          <w:instrText xml:space="preserve"> PAGEREF _Toc511290254 \h </w:instrText>
        </w:r>
        <w:r w:rsidR="006E4BC2">
          <w:rPr>
            <w:webHidden/>
          </w:rPr>
        </w:r>
        <w:r w:rsidR="006E4BC2">
          <w:rPr>
            <w:webHidden/>
          </w:rPr>
          <w:fldChar w:fldCharType="separate"/>
        </w:r>
        <w:r w:rsidR="006850C7">
          <w:rPr>
            <w:webHidden/>
          </w:rPr>
          <w:t>30</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55" w:history="1">
        <w:r w:rsidR="006E4BC2" w:rsidRPr="0037631A">
          <w:rPr>
            <w:rStyle w:val="Hyperlink"/>
          </w:rPr>
          <w:t xml:space="preserve">Osgyan, Verena (BÜNDNIS </w:t>
        </w:r>
        <w:r w:rsidR="008F1B15">
          <w:rPr>
            <w:rStyle w:val="Hyperlink"/>
          </w:rPr>
          <w:t>90/DIE GRÜNEN)</w:t>
        </w:r>
        <w:r w:rsidR="008F1B15">
          <w:rPr>
            <w:rStyle w:val="Hyperlink"/>
          </w:rPr>
          <w:br/>
          <w:t xml:space="preserve">Blacklisting im </w:t>
        </w:r>
        <w:r w:rsidR="006E4BC2" w:rsidRPr="0037631A">
          <w:rPr>
            <w:rStyle w:val="Hyperlink"/>
          </w:rPr>
          <w:t>BayernWLAN</w:t>
        </w:r>
        <w:r w:rsidR="006E4BC2">
          <w:rPr>
            <w:webHidden/>
          </w:rPr>
          <w:tab/>
        </w:r>
        <w:r w:rsidR="006E4BC2">
          <w:rPr>
            <w:webHidden/>
          </w:rPr>
          <w:fldChar w:fldCharType="begin"/>
        </w:r>
        <w:r w:rsidR="006E4BC2">
          <w:rPr>
            <w:webHidden/>
          </w:rPr>
          <w:instrText xml:space="preserve"> PAGEREF _Toc511290255 \h </w:instrText>
        </w:r>
        <w:r w:rsidR="006E4BC2">
          <w:rPr>
            <w:webHidden/>
          </w:rPr>
        </w:r>
        <w:r w:rsidR="006E4BC2">
          <w:rPr>
            <w:webHidden/>
          </w:rPr>
          <w:fldChar w:fldCharType="separate"/>
        </w:r>
        <w:r w:rsidR="006850C7">
          <w:rPr>
            <w:webHidden/>
          </w:rPr>
          <w:t>30</w:t>
        </w:r>
        <w:r w:rsidR="006E4BC2">
          <w:rPr>
            <w:webHidden/>
          </w:rPr>
          <w:fldChar w:fldCharType="end"/>
        </w:r>
      </w:hyperlink>
    </w:p>
    <w:p w:rsidR="006E4BC2" w:rsidRDefault="009C6D74">
      <w:pPr>
        <w:pStyle w:val="Verzeichnis2"/>
        <w:tabs>
          <w:tab w:val="right" w:leader="dot" w:pos="4383"/>
        </w:tabs>
        <w:rPr>
          <w:rStyle w:val="Hyperlink"/>
        </w:rPr>
      </w:pPr>
      <w:hyperlink w:anchor="_Toc511290256" w:history="1">
        <w:r w:rsidR="006E4BC2" w:rsidRPr="0037631A">
          <w:rPr>
            <w:rStyle w:val="Hyperlink"/>
          </w:rPr>
          <w:t>Streibl, Florian (FREIE WÄHLER)</w:t>
        </w:r>
        <w:r w:rsidR="006E4BC2" w:rsidRPr="0037631A">
          <w:rPr>
            <w:rStyle w:val="Hyperlink"/>
          </w:rPr>
          <w:br/>
          <w:t>Kostensteigerung der Venusgrotte von Schloss Linderhof</w:t>
        </w:r>
        <w:r w:rsidR="006E4BC2">
          <w:rPr>
            <w:webHidden/>
          </w:rPr>
          <w:tab/>
        </w:r>
        <w:r w:rsidR="006E4BC2">
          <w:rPr>
            <w:webHidden/>
          </w:rPr>
          <w:fldChar w:fldCharType="begin"/>
        </w:r>
        <w:r w:rsidR="006E4BC2">
          <w:rPr>
            <w:webHidden/>
          </w:rPr>
          <w:instrText xml:space="preserve"> PAGEREF _Toc511290256 \h </w:instrText>
        </w:r>
        <w:r w:rsidR="006E4BC2">
          <w:rPr>
            <w:webHidden/>
          </w:rPr>
        </w:r>
        <w:r w:rsidR="006E4BC2">
          <w:rPr>
            <w:webHidden/>
          </w:rPr>
          <w:fldChar w:fldCharType="separate"/>
        </w:r>
        <w:r w:rsidR="006850C7">
          <w:rPr>
            <w:webHidden/>
          </w:rPr>
          <w:t>31</w:t>
        </w:r>
        <w:r w:rsidR="006E4BC2">
          <w:rPr>
            <w:webHidden/>
          </w:rPr>
          <w:fldChar w:fldCharType="end"/>
        </w:r>
      </w:hyperlink>
    </w:p>
    <w:p w:rsidR="00CA7252" w:rsidRPr="00CA7252" w:rsidRDefault="00CA7252" w:rsidP="00CA7252">
      <w:pPr>
        <w:rPr>
          <w:rFonts w:eastAsiaTheme="minorEastAsia"/>
          <w:noProof/>
        </w:rPr>
      </w:pPr>
    </w:p>
    <w:p w:rsidR="006E4BC2" w:rsidRDefault="009C6D74">
      <w:pPr>
        <w:pStyle w:val="Verzeichnis1"/>
        <w:tabs>
          <w:tab w:val="right" w:leader="dot" w:pos="4383"/>
        </w:tabs>
        <w:rPr>
          <w:rFonts w:asciiTheme="minorHAnsi" w:eastAsiaTheme="minorEastAsia" w:hAnsiTheme="minorHAnsi" w:cstheme="minorBidi"/>
          <w:b w:val="0"/>
          <w:noProof/>
        </w:rPr>
      </w:pPr>
      <w:hyperlink w:anchor="_Toc511290257" w:history="1">
        <w:r w:rsidR="006E4BC2" w:rsidRPr="0037631A">
          <w:rPr>
            <w:rStyle w:val="Hyperlink"/>
            <w:noProof/>
          </w:rPr>
          <w:t>Geschäftsbereich des Staatsministeriums für Wirtschaft, Energie und Technologie</w:t>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58" w:history="1">
        <w:r w:rsidR="006E4BC2" w:rsidRPr="0037631A">
          <w:rPr>
            <w:rStyle w:val="Hyperlink"/>
          </w:rPr>
          <w:t>Muthmann, Alexander (Fraktionslos)</w:t>
        </w:r>
        <w:r w:rsidR="006E4BC2" w:rsidRPr="0037631A">
          <w:rPr>
            <w:rStyle w:val="Hyperlink"/>
          </w:rPr>
          <w:br/>
          <w:t>Bayernweite Förderung des natur</w:t>
        </w:r>
        <w:r w:rsidR="00CA7252">
          <w:rPr>
            <w:rStyle w:val="Hyperlink"/>
          </w:rPr>
          <w:softHyphen/>
        </w:r>
        <w:r w:rsidR="006E4BC2" w:rsidRPr="0037631A">
          <w:rPr>
            <w:rStyle w:val="Hyperlink"/>
          </w:rPr>
          <w:t>nahen Tourismus</w:t>
        </w:r>
        <w:r w:rsidR="006E4BC2">
          <w:rPr>
            <w:webHidden/>
          </w:rPr>
          <w:tab/>
        </w:r>
        <w:r w:rsidR="006E4BC2">
          <w:rPr>
            <w:webHidden/>
          </w:rPr>
          <w:fldChar w:fldCharType="begin"/>
        </w:r>
        <w:r w:rsidR="006E4BC2">
          <w:rPr>
            <w:webHidden/>
          </w:rPr>
          <w:instrText xml:space="preserve"> PAGEREF _Toc511290258 \h </w:instrText>
        </w:r>
        <w:r w:rsidR="006E4BC2">
          <w:rPr>
            <w:webHidden/>
          </w:rPr>
        </w:r>
        <w:r w:rsidR="006E4BC2">
          <w:rPr>
            <w:webHidden/>
          </w:rPr>
          <w:fldChar w:fldCharType="separate"/>
        </w:r>
        <w:r w:rsidR="006850C7">
          <w:rPr>
            <w:webHidden/>
          </w:rPr>
          <w:t>33</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59" w:history="1">
        <w:r w:rsidR="006E4BC2" w:rsidRPr="0037631A">
          <w:rPr>
            <w:rStyle w:val="Hyperlink"/>
          </w:rPr>
          <w:t>Stümpfig, Martin (BÜNDNIS 90/DIE GRÜNEN)</w:t>
        </w:r>
        <w:r w:rsidR="006E4BC2" w:rsidRPr="0037631A">
          <w:rPr>
            <w:rStyle w:val="Hyperlink"/>
          </w:rPr>
          <w:br/>
          <w:t>Stromversorgung in Bayern</w:t>
        </w:r>
        <w:r w:rsidR="006E4BC2">
          <w:rPr>
            <w:webHidden/>
          </w:rPr>
          <w:tab/>
        </w:r>
        <w:r w:rsidR="006E4BC2">
          <w:rPr>
            <w:webHidden/>
          </w:rPr>
          <w:fldChar w:fldCharType="begin"/>
        </w:r>
        <w:r w:rsidR="006E4BC2">
          <w:rPr>
            <w:webHidden/>
          </w:rPr>
          <w:instrText xml:space="preserve"> PAGEREF _Toc511290259 \h </w:instrText>
        </w:r>
        <w:r w:rsidR="006E4BC2">
          <w:rPr>
            <w:webHidden/>
          </w:rPr>
        </w:r>
        <w:r w:rsidR="006E4BC2">
          <w:rPr>
            <w:webHidden/>
          </w:rPr>
          <w:fldChar w:fldCharType="separate"/>
        </w:r>
        <w:r w:rsidR="006850C7">
          <w:rPr>
            <w:webHidden/>
          </w:rPr>
          <w:t>34</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60" w:history="1">
        <w:r w:rsidR="006E4BC2" w:rsidRPr="0037631A">
          <w:rPr>
            <w:rStyle w:val="Hyperlink"/>
          </w:rPr>
          <w:t>Weikert, Angelika (SPD)</w:t>
        </w:r>
        <w:r w:rsidR="006E4BC2" w:rsidRPr="0037631A">
          <w:rPr>
            <w:rStyle w:val="Hyperlink"/>
          </w:rPr>
          <w:br/>
          <w:t>Öffentliche Auftragsvergaben im Freistaat Bayern</w:t>
        </w:r>
        <w:r w:rsidR="006E4BC2">
          <w:rPr>
            <w:webHidden/>
          </w:rPr>
          <w:tab/>
        </w:r>
        <w:r w:rsidR="006E4BC2">
          <w:rPr>
            <w:webHidden/>
          </w:rPr>
          <w:fldChar w:fldCharType="begin"/>
        </w:r>
        <w:r w:rsidR="006E4BC2">
          <w:rPr>
            <w:webHidden/>
          </w:rPr>
          <w:instrText xml:space="preserve"> PAGEREF _Toc511290260 \h </w:instrText>
        </w:r>
        <w:r w:rsidR="006E4BC2">
          <w:rPr>
            <w:webHidden/>
          </w:rPr>
        </w:r>
        <w:r w:rsidR="006E4BC2">
          <w:rPr>
            <w:webHidden/>
          </w:rPr>
          <w:fldChar w:fldCharType="separate"/>
        </w:r>
        <w:r w:rsidR="006850C7">
          <w:rPr>
            <w:webHidden/>
          </w:rPr>
          <w:t>34</w:t>
        </w:r>
        <w:r w:rsidR="006E4BC2">
          <w:rPr>
            <w:webHidden/>
          </w:rPr>
          <w:fldChar w:fldCharType="end"/>
        </w:r>
      </w:hyperlink>
    </w:p>
    <w:p w:rsidR="006E4BC2" w:rsidRDefault="009C6D74">
      <w:pPr>
        <w:pStyle w:val="Verzeichnis1"/>
        <w:tabs>
          <w:tab w:val="right" w:leader="dot" w:pos="4383"/>
        </w:tabs>
        <w:rPr>
          <w:rFonts w:asciiTheme="minorHAnsi" w:eastAsiaTheme="minorEastAsia" w:hAnsiTheme="minorHAnsi" w:cstheme="minorBidi"/>
          <w:b w:val="0"/>
          <w:noProof/>
        </w:rPr>
      </w:pPr>
      <w:hyperlink w:anchor="_Toc511290261" w:history="1">
        <w:r w:rsidR="006E4BC2" w:rsidRPr="0037631A">
          <w:rPr>
            <w:rStyle w:val="Hyperlink"/>
            <w:noProof/>
          </w:rPr>
          <w:t>Geschäftsbereich des Staatsministeriums für Umwelt und Verbraucherschutz</w:t>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62" w:history="1">
        <w:r w:rsidR="006E4BC2" w:rsidRPr="0037631A">
          <w:rPr>
            <w:rStyle w:val="Hyperlink"/>
          </w:rPr>
          <w:t>Adelt, Klaus (SPD)</w:t>
        </w:r>
        <w:r w:rsidR="006E4BC2" w:rsidRPr="0037631A">
          <w:rPr>
            <w:rStyle w:val="Hyperlink"/>
          </w:rPr>
          <w:br/>
          <w:t>Fragen zum Entwurf des Mindest</w:t>
        </w:r>
        <w:r w:rsidR="00CA7252">
          <w:rPr>
            <w:rStyle w:val="Hyperlink"/>
          </w:rPr>
          <w:softHyphen/>
        </w:r>
        <w:r w:rsidR="006E4BC2" w:rsidRPr="0037631A">
          <w:rPr>
            <w:rStyle w:val="Hyperlink"/>
          </w:rPr>
          <w:t>wasserleitfadens</w:t>
        </w:r>
        <w:r w:rsidR="006E4BC2">
          <w:rPr>
            <w:webHidden/>
          </w:rPr>
          <w:tab/>
        </w:r>
        <w:r w:rsidR="006E4BC2">
          <w:rPr>
            <w:webHidden/>
          </w:rPr>
          <w:fldChar w:fldCharType="begin"/>
        </w:r>
        <w:r w:rsidR="006E4BC2">
          <w:rPr>
            <w:webHidden/>
          </w:rPr>
          <w:instrText xml:space="preserve"> PAGEREF _Toc511290262 \h </w:instrText>
        </w:r>
        <w:r w:rsidR="006E4BC2">
          <w:rPr>
            <w:webHidden/>
          </w:rPr>
        </w:r>
        <w:r w:rsidR="006E4BC2">
          <w:rPr>
            <w:webHidden/>
          </w:rPr>
          <w:fldChar w:fldCharType="separate"/>
        </w:r>
        <w:r w:rsidR="006850C7">
          <w:rPr>
            <w:webHidden/>
          </w:rPr>
          <w:t>36</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63" w:history="1">
        <w:r w:rsidR="006E4BC2" w:rsidRPr="0037631A">
          <w:rPr>
            <w:rStyle w:val="Hyperlink"/>
          </w:rPr>
          <w:t>Celina, Kerstin (BÜNDNIS 90/DIE GRÜNEN)</w:t>
        </w:r>
        <w:r w:rsidR="006E4BC2" w:rsidRPr="0037631A">
          <w:rPr>
            <w:rStyle w:val="Hyperlink"/>
          </w:rPr>
          <w:br/>
          <w:t xml:space="preserve">Schotterwerk Aub </w:t>
        </w:r>
        <w:r w:rsidR="00CA7252">
          <w:rPr>
            <w:rStyle w:val="Hyperlink"/>
          </w:rPr>
          <w:t>–</w:t>
        </w:r>
        <w:r w:rsidR="006E4BC2" w:rsidRPr="0037631A">
          <w:rPr>
            <w:rStyle w:val="Hyperlink"/>
          </w:rPr>
          <w:t xml:space="preserve"> Kosten der Beseitigung des illegal abgelagerten Mülls</w:t>
        </w:r>
        <w:r w:rsidR="006E4BC2">
          <w:rPr>
            <w:webHidden/>
          </w:rPr>
          <w:tab/>
        </w:r>
        <w:r w:rsidR="006E4BC2">
          <w:rPr>
            <w:webHidden/>
          </w:rPr>
          <w:fldChar w:fldCharType="begin"/>
        </w:r>
        <w:r w:rsidR="006E4BC2">
          <w:rPr>
            <w:webHidden/>
          </w:rPr>
          <w:instrText xml:space="preserve"> PAGEREF _Toc511290263 \h </w:instrText>
        </w:r>
        <w:r w:rsidR="006E4BC2">
          <w:rPr>
            <w:webHidden/>
          </w:rPr>
        </w:r>
        <w:r w:rsidR="006E4BC2">
          <w:rPr>
            <w:webHidden/>
          </w:rPr>
          <w:fldChar w:fldCharType="separate"/>
        </w:r>
        <w:r w:rsidR="006850C7">
          <w:rPr>
            <w:webHidden/>
          </w:rPr>
          <w:t>36</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64" w:history="1">
        <w:r w:rsidR="006E4BC2" w:rsidRPr="0037631A">
          <w:rPr>
            <w:rStyle w:val="Hyperlink"/>
          </w:rPr>
          <w:t>Prof. Dr. Piazolo, Michael (FREIE WÄHLER)</w:t>
        </w:r>
        <w:r w:rsidR="006E4BC2" w:rsidRPr="0037631A">
          <w:rPr>
            <w:rStyle w:val="Hyperlink"/>
          </w:rPr>
          <w:br/>
          <w:t>Kältemittel</w:t>
        </w:r>
        <w:r w:rsidR="006E4BC2">
          <w:rPr>
            <w:webHidden/>
          </w:rPr>
          <w:tab/>
        </w:r>
        <w:r w:rsidR="006E4BC2">
          <w:rPr>
            <w:webHidden/>
          </w:rPr>
          <w:fldChar w:fldCharType="begin"/>
        </w:r>
        <w:r w:rsidR="006E4BC2">
          <w:rPr>
            <w:webHidden/>
          </w:rPr>
          <w:instrText xml:space="preserve"> PAGEREF _Toc511290264 \h </w:instrText>
        </w:r>
        <w:r w:rsidR="006E4BC2">
          <w:rPr>
            <w:webHidden/>
          </w:rPr>
        </w:r>
        <w:r w:rsidR="006E4BC2">
          <w:rPr>
            <w:webHidden/>
          </w:rPr>
          <w:fldChar w:fldCharType="separate"/>
        </w:r>
        <w:r w:rsidR="006850C7">
          <w:rPr>
            <w:webHidden/>
          </w:rPr>
          <w:t>37</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65" w:history="1">
        <w:r w:rsidR="006E4BC2" w:rsidRPr="0037631A">
          <w:rPr>
            <w:rStyle w:val="Hyperlink"/>
          </w:rPr>
          <w:t>Scheuenstuhl, Harry (SPD)</w:t>
        </w:r>
        <w:r w:rsidR="006E4BC2" w:rsidRPr="0037631A">
          <w:rPr>
            <w:rStyle w:val="Hyperlink"/>
          </w:rPr>
          <w:br/>
          <w:t>Fortschreibung und Anpassung des Restwasserleitfadens</w:t>
        </w:r>
        <w:r w:rsidR="006E4BC2">
          <w:rPr>
            <w:webHidden/>
          </w:rPr>
          <w:tab/>
        </w:r>
        <w:r w:rsidR="006E4BC2">
          <w:rPr>
            <w:webHidden/>
          </w:rPr>
          <w:fldChar w:fldCharType="begin"/>
        </w:r>
        <w:r w:rsidR="006E4BC2">
          <w:rPr>
            <w:webHidden/>
          </w:rPr>
          <w:instrText xml:space="preserve"> PAGEREF _Toc511290265 \h </w:instrText>
        </w:r>
        <w:r w:rsidR="006E4BC2">
          <w:rPr>
            <w:webHidden/>
          </w:rPr>
        </w:r>
        <w:r w:rsidR="006E4BC2">
          <w:rPr>
            <w:webHidden/>
          </w:rPr>
          <w:fldChar w:fldCharType="separate"/>
        </w:r>
        <w:r w:rsidR="006850C7">
          <w:rPr>
            <w:webHidden/>
          </w:rPr>
          <w:t>37</w:t>
        </w:r>
        <w:r w:rsidR="006E4BC2">
          <w:rPr>
            <w:webHidden/>
          </w:rPr>
          <w:fldChar w:fldCharType="end"/>
        </w:r>
      </w:hyperlink>
    </w:p>
    <w:p w:rsidR="006E4BC2" w:rsidRDefault="009C6D74">
      <w:pPr>
        <w:pStyle w:val="Verzeichnis2"/>
        <w:tabs>
          <w:tab w:val="right" w:leader="dot" w:pos="4383"/>
        </w:tabs>
        <w:rPr>
          <w:rStyle w:val="Hyperlink"/>
        </w:rPr>
      </w:pPr>
      <w:hyperlink w:anchor="_Toc511290266" w:history="1">
        <w:r w:rsidR="006E4BC2" w:rsidRPr="0037631A">
          <w:rPr>
            <w:rStyle w:val="Hyperlink"/>
          </w:rPr>
          <w:t>Schindler, Franz (SPD)</w:t>
        </w:r>
        <w:r w:rsidR="006E4BC2" w:rsidRPr="0037631A">
          <w:rPr>
            <w:rStyle w:val="Hyperlink"/>
          </w:rPr>
          <w:br/>
          <w:t>Unterhaltslasten und wasserrechtliche Er</w:t>
        </w:r>
        <w:r w:rsidR="00CA7252">
          <w:rPr>
            <w:rStyle w:val="Hyperlink"/>
          </w:rPr>
          <w:softHyphen/>
        </w:r>
        <w:r w:rsidR="006E4BC2" w:rsidRPr="0037631A">
          <w:rPr>
            <w:rStyle w:val="Hyperlink"/>
          </w:rPr>
          <w:t>laubnisse an der Naab im Stadt</w:t>
        </w:r>
        <w:r w:rsidR="00CA7252">
          <w:rPr>
            <w:rStyle w:val="Hyperlink"/>
          </w:rPr>
          <w:softHyphen/>
        </w:r>
        <w:r w:rsidR="006E4BC2" w:rsidRPr="0037631A">
          <w:rPr>
            <w:rStyle w:val="Hyperlink"/>
          </w:rPr>
          <w:t>gebiet von  Schwandorf nördlich der Wasserräder an der sog. Storchen</w:t>
        </w:r>
        <w:r w:rsidR="00CA7252">
          <w:rPr>
            <w:rStyle w:val="Hyperlink"/>
          </w:rPr>
          <w:softHyphen/>
        </w:r>
        <w:r w:rsidR="006E4BC2" w:rsidRPr="0037631A">
          <w:rPr>
            <w:rStyle w:val="Hyperlink"/>
          </w:rPr>
          <w:t>naab am Stadtpark</w:t>
        </w:r>
        <w:r w:rsidR="006E4BC2">
          <w:rPr>
            <w:webHidden/>
          </w:rPr>
          <w:tab/>
        </w:r>
        <w:r w:rsidR="006E4BC2">
          <w:rPr>
            <w:webHidden/>
          </w:rPr>
          <w:fldChar w:fldCharType="begin"/>
        </w:r>
        <w:r w:rsidR="006E4BC2">
          <w:rPr>
            <w:webHidden/>
          </w:rPr>
          <w:instrText xml:space="preserve"> PAGEREF _Toc511290266 \h </w:instrText>
        </w:r>
        <w:r w:rsidR="006E4BC2">
          <w:rPr>
            <w:webHidden/>
          </w:rPr>
        </w:r>
        <w:r w:rsidR="006E4BC2">
          <w:rPr>
            <w:webHidden/>
          </w:rPr>
          <w:fldChar w:fldCharType="separate"/>
        </w:r>
        <w:r w:rsidR="006850C7">
          <w:rPr>
            <w:webHidden/>
          </w:rPr>
          <w:t>38</w:t>
        </w:r>
        <w:r w:rsidR="006E4BC2">
          <w:rPr>
            <w:webHidden/>
          </w:rPr>
          <w:fldChar w:fldCharType="end"/>
        </w:r>
      </w:hyperlink>
    </w:p>
    <w:p w:rsidR="00CA7252" w:rsidRDefault="00CA7252" w:rsidP="00CA7252">
      <w:pPr>
        <w:rPr>
          <w:rFonts w:eastAsiaTheme="minorEastAsia"/>
          <w:noProof/>
        </w:rPr>
      </w:pPr>
    </w:p>
    <w:p w:rsidR="00CA7252" w:rsidRPr="00CA7252" w:rsidRDefault="00CA7252" w:rsidP="00CA7252">
      <w:pPr>
        <w:rPr>
          <w:rFonts w:eastAsiaTheme="minorEastAsia"/>
          <w:noProof/>
        </w:rPr>
      </w:pPr>
    </w:p>
    <w:p w:rsidR="006E4BC2" w:rsidRDefault="009C6D74">
      <w:pPr>
        <w:pStyle w:val="Verzeichnis1"/>
        <w:tabs>
          <w:tab w:val="right" w:leader="dot" w:pos="4383"/>
        </w:tabs>
        <w:rPr>
          <w:rFonts w:asciiTheme="minorHAnsi" w:eastAsiaTheme="minorEastAsia" w:hAnsiTheme="minorHAnsi" w:cstheme="minorBidi"/>
          <w:b w:val="0"/>
          <w:noProof/>
        </w:rPr>
      </w:pPr>
      <w:hyperlink w:anchor="_Toc511290267" w:history="1">
        <w:r w:rsidR="006E4BC2" w:rsidRPr="0037631A">
          <w:rPr>
            <w:rStyle w:val="Hyperlink"/>
            <w:noProof/>
          </w:rPr>
          <w:t>Geschäftsbereich des Staatsministeriums für Ernährung, Landwirtschaft und Forsten</w:t>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68" w:history="1">
        <w:r w:rsidR="00CA7252">
          <w:rPr>
            <w:rStyle w:val="Hyperlink"/>
          </w:rPr>
          <w:t>von B</w:t>
        </w:r>
        <w:r w:rsidR="006E4BC2" w:rsidRPr="0037631A">
          <w:rPr>
            <w:rStyle w:val="Hyperlink"/>
          </w:rPr>
          <w:t>runn, Florian (SPD)</w:t>
        </w:r>
        <w:r w:rsidR="006E4BC2" w:rsidRPr="0037631A">
          <w:rPr>
            <w:rStyle w:val="Hyperlink"/>
          </w:rPr>
          <w:br/>
          <w:t>Zukunft für die bayerische Bergland</w:t>
        </w:r>
        <w:r w:rsidR="00CA7252">
          <w:rPr>
            <w:rStyle w:val="Hyperlink"/>
          </w:rPr>
          <w:softHyphen/>
        </w:r>
        <w:r w:rsidR="006E4BC2" w:rsidRPr="0037631A">
          <w:rPr>
            <w:rStyle w:val="Hyperlink"/>
          </w:rPr>
          <w:t>wirtschaft sowie Alm- und Alpwirtschaft sichern</w:t>
        </w:r>
        <w:r w:rsidR="006E4BC2">
          <w:rPr>
            <w:webHidden/>
          </w:rPr>
          <w:tab/>
        </w:r>
        <w:r w:rsidR="006E4BC2">
          <w:rPr>
            <w:webHidden/>
          </w:rPr>
          <w:fldChar w:fldCharType="begin"/>
        </w:r>
        <w:r w:rsidR="006E4BC2">
          <w:rPr>
            <w:webHidden/>
          </w:rPr>
          <w:instrText xml:space="preserve"> PAGEREF _Toc511290268 \h </w:instrText>
        </w:r>
        <w:r w:rsidR="006E4BC2">
          <w:rPr>
            <w:webHidden/>
          </w:rPr>
        </w:r>
        <w:r w:rsidR="006E4BC2">
          <w:rPr>
            <w:webHidden/>
          </w:rPr>
          <w:fldChar w:fldCharType="separate"/>
        </w:r>
        <w:r w:rsidR="006850C7">
          <w:rPr>
            <w:webHidden/>
          </w:rPr>
          <w:t>39</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69" w:history="1">
        <w:r w:rsidR="006E4BC2" w:rsidRPr="0037631A">
          <w:rPr>
            <w:rStyle w:val="Hyperlink"/>
          </w:rPr>
          <w:t>Karl, Annette (SPD)</w:t>
        </w:r>
        <w:r w:rsidR="006E4BC2" w:rsidRPr="0037631A">
          <w:rPr>
            <w:rStyle w:val="Hyperlink"/>
          </w:rPr>
          <w:br/>
          <w:t>Fischottermanagement</w:t>
        </w:r>
        <w:r w:rsidR="006E4BC2">
          <w:rPr>
            <w:webHidden/>
          </w:rPr>
          <w:tab/>
        </w:r>
        <w:r w:rsidR="006E4BC2">
          <w:rPr>
            <w:webHidden/>
          </w:rPr>
          <w:fldChar w:fldCharType="begin"/>
        </w:r>
        <w:r w:rsidR="006E4BC2">
          <w:rPr>
            <w:webHidden/>
          </w:rPr>
          <w:instrText xml:space="preserve"> PAGEREF _Toc511290269 \h </w:instrText>
        </w:r>
        <w:r w:rsidR="006E4BC2">
          <w:rPr>
            <w:webHidden/>
          </w:rPr>
        </w:r>
        <w:r w:rsidR="006E4BC2">
          <w:rPr>
            <w:webHidden/>
          </w:rPr>
          <w:fldChar w:fldCharType="separate"/>
        </w:r>
        <w:r w:rsidR="006850C7">
          <w:rPr>
            <w:webHidden/>
          </w:rPr>
          <w:t>40</w:t>
        </w:r>
        <w:r w:rsidR="006E4BC2">
          <w:rPr>
            <w:webHidden/>
          </w:rPr>
          <w:fldChar w:fldCharType="end"/>
        </w:r>
      </w:hyperlink>
    </w:p>
    <w:p w:rsidR="006E4BC2" w:rsidRDefault="009C6D74">
      <w:pPr>
        <w:pStyle w:val="Verzeichnis2"/>
        <w:tabs>
          <w:tab w:val="right" w:leader="dot" w:pos="4383"/>
        </w:tabs>
        <w:rPr>
          <w:rStyle w:val="Hyperlink"/>
        </w:rPr>
      </w:pPr>
      <w:hyperlink w:anchor="_Toc511290270" w:history="1">
        <w:r w:rsidR="006E4BC2" w:rsidRPr="0037631A">
          <w:rPr>
            <w:rStyle w:val="Hyperlink"/>
          </w:rPr>
          <w:t>Sengl, Gisela (BÜNDNIS 90/DIE GRÜNEN)</w:t>
        </w:r>
        <w:r w:rsidR="006E4BC2" w:rsidRPr="0037631A">
          <w:rPr>
            <w:rStyle w:val="Hyperlink"/>
          </w:rPr>
          <w:br/>
          <w:t>Maßnahmen zum Gewässerschutz am Waginger See und am Abtsdorfer See</w:t>
        </w:r>
        <w:r w:rsidR="006E4BC2">
          <w:rPr>
            <w:webHidden/>
          </w:rPr>
          <w:tab/>
        </w:r>
        <w:r w:rsidR="006E4BC2">
          <w:rPr>
            <w:webHidden/>
          </w:rPr>
          <w:fldChar w:fldCharType="begin"/>
        </w:r>
        <w:r w:rsidR="006E4BC2">
          <w:rPr>
            <w:webHidden/>
          </w:rPr>
          <w:instrText xml:space="preserve"> PAGEREF _Toc511290270 \h </w:instrText>
        </w:r>
        <w:r w:rsidR="006E4BC2">
          <w:rPr>
            <w:webHidden/>
          </w:rPr>
        </w:r>
        <w:r w:rsidR="006E4BC2">
          <w:rPr>
            <w:webHidden/>
          </w:rPr>
          <w:fldChar w:fldCharType="separate"/>
        </w:r>
        <w:r w:rsidR="006850C7">
          <w:rPr>
            <w:webHidden/>
          </w:rPr>
          <w:t>41</w:t>
        </w:r>
        <w:r w:rsidR="006E4BC2">
          <w:rPr>
            <w:webHidden/>
          </w:rPr>
          <w:fldChar w:fldCharType="end"/>
        </w:r>
      </w:hyperlink>
    </w:p>
    <w:p w:rsidR="00CA7252" w:rsidRDefault="00CA7252" w:rsidP="00CA7252">
      <w:pPr>
        <w:rPr>
          <w:rFonts w:eastAsiaTheme="minorEastAsia"/>
          <w:noProof/>
        </w:rPr>
      </w:pPr>
    </w:p>
    <w:p w:rsidR="00CA7252" w:rsidRDefault="00CA7252" w:rsidP="00CA7252">
      <w:pPr>
        <w:rPr>
          <w:rFonts w:eastAsiaTheme="minorEastAsia"/>
          <w:noProof/>
        </w:rPr>
        <w:sectPr w:rsidR="00CA7252" w:rsidSect="00171CDA">
          <w:type w:val="continuous"/>
          <w:pgSz w:w="11906" w:h="16838" w:code="9"/>
          <w:pgMar w:top="1418" w:right="1418" w:bottom="1134" w:left="1418" w:header="1418" w:footer="1418" w:gutter="0"/>
          <w:pgNumType w:fmt="upperRoman"/>
          <w:cols w:num="2" w:sep="1" w:space="284"/>
          <w:docGrid w:linePitch="360"/>
        </w:sectPr>
      </w:pPr>
    </w:p>
    <w:p w:rsidR="006E4BC2" w:rsidRDefault="009C6D74">
      <w:pPr>
        <w:pStyle w:val="Verzeichnis1"/>
        <w:tabs>
          <w:tab w:val="right" w:leader="dot" w:pos="4383"/>
        </w:tabs>
        <w:rPr>
          <w:rFonts w:asciiTheme="minorHAnsi" w:eastAsiaTheme="minorEastAsia" w:hAnsiTheme="minorHAnsi" w:cstheme="minorBidi"/>
          <w:b w:val="0"/>
          <w:noProof/>
        </w:rPr>
      </w:pPr>
      <w:hyperlink w:anchor="_Toc511290271" w:history="1">
        <w:r w:rsidR="006E4BC2" w:rsidRPr="0037631A">
          <w:rPr>
            <w:rStyle w:val="Hyperlink"/>
            <w:noProof/>
          </w:rPr>
          <w:t>Geschäftsbereich des Staatsministeriums für Familie, Arbeit und Soziales</w:t>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72" w:history="1">
        <w:r w:rsidR="006E4BC2" w:rsidRPr="0037631A">
          <w:rPr>
            <w:rStyle w:val="Hyperlink"/>
          </w:rPr>
          <w:t>Rinderspacher, Markus (SPD)</w:t>
        </w:r>
        <w:r w:rsidR="006E4BC2" w:rsidRPr="0037631A">
          <w:rPr>
            <w:rStyle w:val="Hyperlink"/>
          </w:rPr>
          <w:br/>
          <w:t>Betreuungsquote in Bayern</w:t>
        </w:r>
        <w:r w:rsidR="006E4BC2">
          <w:rPr>
            <w:webHidden/>
          </w:rPr>
          <w:tab/>
        </w:r>
        <w:r w:rsidR="006E4BC2">
          <w:rPr>
            <w:webHidden/>
          </w:rPr>
          <w:fldChar w:fldCharType="begin"/>
        </w:r>
        <w:r w:rsidR="006E4BC2">
          <w:rPr>
            <w:webHidden/>
          </w:rPr>
          <w:instrText xml:space="preserve"> PAGEREF _Toc511290272 \h </w:instrText>
        </w:r>
        <w:r w:rsidR="006E4BC2">
          <w:rPr>
            <w:webHidden/>
          </w:rPr>
        </w:r>
        <w:r w:rsidR="006E4BC2">
          <w:rPr>
            <w:webHidden/>
          </w:rPr>
          <w:fldChar w:fldCharType="separate"/>
        </w:r>
        <w:r w:rsidR="006850C7">
          <w:rPr>
            <w:webHidden/>
          </w:rPr>
          <w:t>43</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73" w:history="1">
        <w:r w:rsidR="006E4BC2" w:rsidRPr="0037631A">
          <w:rPr>
            <w:rStyle w:val="Hyperlink"/>
          </w:rPr>
          <w:t>Schmidt, Gabi (FREIE WÄHLER)</w:t>
        </w:r>
        <w:r w:rsidR="006E4BC2" w:rsidRPr="0037631A">
          <w:rPr>
            <w:rStyle w:val="Hyperlink"/>
          </w:rPr>
          <w:br/>
          <w:t>Cyber-Grooming in Bayern</w:t>
        </w:r>
        <w:r w:rsidR="006E4BC2">
          <w:rPr>
            <w:webHidden/>
          </w:rPr>
          <w:tab/>
        </w:r>
        <w:r w:rsidR="006E4BC2">
          <w:rPr>
            <w:webHidden/>
          </w:rPr>
          <w:fldChar w:fldCharType="begin"/>
        </w:r>
        <w:r w:rsidR="006E4BC2">
          <w:rPr>
            <w:webHidden/>
          </w:rPr>
          <w:instrText xml:space="preserve"> PAGEREF _Toc511290273 \h </w:instrText>
        </w:r>
        <w:r w:rsidR="006E4BC2">
          <w:rPr>
            <w:webHidden/>
          </w:rPr>
        </w:r>
        <w:r w:rsidR="006E4BC2">
          <w:rPr>
            <w:webHidden/>
          </w:rPr>
          <w:fldChar w:fldCharType="separate"/>
        </w:r>
        <w:r w:rsidR="006850C7">
          <w:rPr>
            <w:webHidden/>
          </w:rPr>
          <w:t>49</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74" w:history="1">
        <w:r w:rsidR="006E4BC2" w:rsidRPr="0037631A">
          <w:rPr>
            <w:rStyle w:val="Hyperlink"/>
          </w:rPr>
          <w:t>Woerlein, Herbert (SPD)</w:t>
        </w:r>
        <w:r w:rsidR="006E4BC2" w:rsidRPr="0037631A">
          <w:rPr>
            <w:rStyle w:val="Hyperlink"/>
          </w:rPr>
          <w:br/>
          <w:t>Richtlinie zur Förderung der Jugendsozialarbeit an Schulen (JaS)</w:t>
        </w:r>
        <w:r w:rsidR="006E4BC2">
          <w:rPr>
            <w:webHidden/>
          </w:rPr>
          <w:tab/>
        </w:r>
        <w:r w:rsidR="006E4BC2">
          <w:rPr>
            <w:webHidden/>
          </w:rPr>
          <w:fldChar w:fldCharType="begin"/>
        </w:r>
        <w:r w:rsidR="006E4BC2">
          <w:rPr>
            <w:webHidden/>
          </w:rPr>
          <w:instrText xml:space="preserve"> PAGEREF _Toc511290274 \h </w:instrText>
        </w:r>
        <w:r w:rsidR="006E4BC2">
          <w:rPr>
            <w:webHidden/>
          </w:rPr>
        </w:r>
        <w:r w:rsidR="006E4BC2">
          <w:rPr>
            <w:webHidden/>
          </w:rPr>
          <w:fldChar w:fldCharType="separate"/>
        </w:r>
        <w:r w:rsidR="006850C7">
          <w:rPr>
            <w:webHidden/>
          </w:rPr>
          <w:t>50</w:t>
        </w:r>
        <w:r w:rsidR="006E4BC2">
          <w:rPr>
            <w:webHidden/>
          </w:rPr>
          <w:fldChar w:fldCharType="end"/>
        </w:r>
      </w:hyperlink>
    </w:p>
    <w:p w:rsidR="006E4BC2" w:rsidRDefault="009C6D74">
      <w:pPr>
        <w:pStyle w:val="Verzeichnis1"/>
        <w:tabs>
          <w:tab w:val="right" w:leader="dot" w:pos="4383"/>
        </w:tabs>
        <w:rPr>
          <w:rFonts w:asciiTheme="minorHAnsi" w:eastAsiaTheme="minorEastAsia" w:hAnsiTheme="minorHAnsi" w:cstheme="minorBidi"/>
          <w:b w:val="0"/>
          <w:noProof/>
        </w:rPr>
      </w:pPr>
      <w:hyperlink w:anchor="_Toc511290275" w:history="1">
        <w:r w:rsidR="006E4BC2" w:rsidRPr="0037631A">
          <w:rPr>
            <w:rStyle w:val="Hyperlink"/>
            <w:noProof/>
          </w:rPr>
          <w:t>Geschäftsbereich des Staatsministeriums für Wohnen, Bau und Verkehr</w:t>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76" w:history="1">
        <w:r w:rsidR="006E4BC2" w:rsidRPr="0037631A">
          <w:rPr>
            <w:rStyle w:val="Hyperlink"/>
          </w:rPr>
          <w:t>Biedefeld, Susann (SPD)</w:t>
        </w:r>
        <w:r w:rsidR="006E4BC2" w:rsidRPr="0037631A">
          <w:rPr>
            <w:rStyle w:val="Hyperlink"/>
          </w:rPr>
          <w:br/>
          <w:t>Barrierefreie Bahnhöfe in Oberfranken</w:t>
        </w:r>
        <w:r w:rsidR="006E4BC2">
          <w:rPr>
            <w:webHidden/>
          </w:rPr>
          <w:tab/>
        </w:r>
        <w:r w:rsidR="006E4BC2">
          <w:rPr>
            <w:webHidden/>
          </w:rPr>
          <w:fldChar w:fldCharType="begin"/>
        </w:r>
        <w:r w:rsidR="006E4BC2">
          <w:rPr>
            <w:webHidden/>
          </w:rPr>
          <w:instrText xml:space="preserve"> PAGEREF _Toc511290276 \h </w:instrText>
        </w:r>
        <w:r w:rsidR="006E4BC2">
          <w:rPr>
            <w:webHidden/>
          </w:rPr>
        </w:r>
        <w:r w:rsidR="006E4BC2">
          <w:rPr>
            <w:webHidden/>
          </w:rPr>
          <w:fldChar w:fldCharType="separate"/>
        </w:r>
        <w:r w:rsidR="006850C7">
          <w:rPr>
            <w:webHidden/>
          </w:rPr>
          <w:t>52</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77" w:history="1">
        <w:r w:rsidR="006E4BC2" w:rsidRPr="0037631A">
          <w:rPr>
            <w:rStyle w:val="Hyperlink"/>
          </w:rPr>
          <w:t>Dr. Fahn, Hans Jürgen (FREIE WÄHLER)</w:t>
        </w:r>
        <w:r w:rsidR="006E4BC2" w:rsidRPr="0037631A">
          <w:rPr>
            <w:rStyle w:val="Hyperlink"/>
          </w:rPr>
          <w:br/>
          <w:t>Umsetzung der Ortsumgehung Sulzbach</w:t>
        </w:r>
        <w:r w:rsidR="006E4BC2">
          <w:rPr>
            <w:webHidden/>
          </w:rPr>
          <w:tab/>
        </w:r>
        <w:r w:rsidR="006E4BC2">
          <w:rPr>
            <w:webHidden/>
          </w:rPr>
          <w:fldChar w:fldCharType="begin"/>
        </w:r>
        <w:r w:rsidR="006E4BC2">
          <w:rPr>
            <w:webHidden/>
          </w:rPr>
          <w:instrText xml:space="preserve"> PAGEREF _Toc511290277 \h </w:instrText>
        </w:r>
        <w:r w:rsidR="006E4BC2">
          <w:rPr>
            <w:webHidden/>
          </w:rPr>
        </w:r>
        <w:r w:rsidR="006E4BC2">
          <w:rPr>
            <w:webHidden/>
          </w:rPr>
          <w:fldChar w:fldCharType="separate"/>
        </w:r>
        <w:r w:rsidR="006850C7">
          <w:rPr>
            <w:webHidden/>
          </w:rPr>
          <w:t>53</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78" w:history="1">
        <w:r w:rsidR="006E4BC2" w:rsidRPr="0037631A">
          <w:rPr>
            <w:rStyle w:val="Hyperlink"/>
          </w:rPr>
          <w:t>Freller, Karl (CSU)</w:t>
        </w:r>
        <w:r w:rsidR="006E4BC2" w:rsidRPr="0037631A">
          <w:rPr>
            <w:rStyle w:val="Hyperlink"/>
          </w:rPr>
          <w:br/>
          <w:t>Sozialer Wohnungsbau in Mittel</w:t>
        </w:r>
        <w:r w:rsidR="00CA7252">
          <w:rPr>
            <w:rStyle w:val="Hyperlink"/>
          </w:rPr>
          <w:softHyphen/>
        </w:r>
        <w:r w:rsidR="006E4BC2" w:rsidRPr="0037631A">
          <w:rPr>
            <w:rStyle w:val="Hyperlink"/>
          </w:rPr>
          <w:t>franken</w:t>
        </w:r>
        <w:r w:rsidR="006E4BC2">
          <w:rPr>
            <w:webHidden/>
          </w:rPr>
          <w:tab/>
        </w:r>
        <w:r w:rsidR="006E4BC2">
          <w:rPr>
            <w:webHidden/>
          </w:rPr>
          <w:fldChar w:fldCharType="begin"/>
        </w:r>
        <w:r w:rsidR="006E4BC2">
          <w:rPr>
            <w:webHidden/>
          </w:rPr>
          <w:instrText xml:space="preserve"> PAGEREF _Toc511290278 \h </w:instrText>
        </w:r>
        <w:r w:rsidR="006E4BC2">
          <w:rPr>
            <w:webHidden/>
          </w:rPr>
        </w:r>
        <w:r w:rsidR="006E4BC2">
          <w:rPr>
            <w:webHidden/>
          </w:rPr>
          <w:fldChar w:fldCharType="separate"/>
        </w:r>
        <w:r w:rsidR="006850C7">
          <w:rPr>
            <w:webHidden/>
          </w:rPr>
          <w:t>53</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79" w:history="1">
        <w:r w:rsidR="006E4BC2" w:rsidRPr="0037631A">
          <w:rPr>
            <w:rStyle w:val="Hyperlink"/>
          </w:rPr>
          <w:t>Güller, Harald (SPD)</w:t>
        </w:r>
        <w:r w:rsidR="006E4BC2" w:rsidRPr="0037631A">
          <w:rPr>
            <w:rStyle w:val="Hyperlink"/>
          </w:rPr>
          <w:br/>
          <w:t xml:space="preserve">Wohnungspakt Bayern 2017 </w:t>
        </w:r>
        <w:r w:rsidR="00CA7252">
          <w:rPr>
            <w:rStyle w:val="Hyperlink"/>
          </w:rPr>
          <w:t>–</w:t>
        </w:r>
        <w:r w:rsidR="006E4BC2" w:rsidRPr="0037631A">
          <w:rPr>
            <w:rStyle w:val="Hyperlink"/>
          </w:rPr>
          <w:t xml:space="preserve"> Land</w:t>
        </w:r>
        <w:r w:rsidR="00CA7252">
          <w:rPr>
            <w:rStyle w:val="Hyperlink"/>
          </w:rPr>
          <w:softHyphen/>
        </w:r>
        <w:r w:rsidR="006E4BC2" w:rsidRPr="0037631A">
          <w:rPr>
            <w:rStyle w:val="Hyperlink"/>
          </w:rPr>
          <w:t>kreise Augsburg und Aichach-Fried</w:t>
        </w:r>
        <w:r w:rsidR="00CA7252">
          <w:rPr>
            <w:rStyle w:val="Hyperlink"/>
          </w:rPr>
          <w:softHyphen/>
        </w:r>
        <w:r w:rsidR="006E4BC2" w:rsidRPr="0037631A">
          <w:rPr>
            <w:rStyle w:val="Hyperlink"/>
          </w:rPr>
          <w:t>berg, Stadt Augsburg</w:t>
        </w:r>
        <w:r w:rsidR="006E4BC2">
          <w:rPr>
            <w:webHidden/>
          </w:rPr>
          <w:tab/>
        </w:r>
        <w:r w:rsidR="006E4BC2">
          <w:rPr>
            <w:webHidden/>
          </w:rPr>
          <w:fldChar w:fldCharType="begin"/>
        </w:r>
        <w:r w:rsidR="006E4BC2">
          <w:rPr>
            <w:webHidden/>
          </w:rPr>
          <w:instrText xml:space="preserve"> PAGEREF _Toc511290279 \h </w:instrText>
        </w:r>
        <w:r w:rsidR="006E4BC2">
          <w:rPr>
            <w:webHidden/>
          </w:rPr>
        </w:r>
        <w:r w:rsidR="006E4BC2">
          <w:rPr>
            <w:webHidden/>
          </w:rPr>
          <w:fldChar w:fldCharType="separate"/>
        </w:r>
        <w:r w:rsidR="006850C7">
          <w:rPr>
            <w:webHidden/>
          </w:rPr>
          <w:t>55</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80" w:history="1">
        <w:r w:rsidR="006E4BC2" w:rsidRPr="0037631A">
          <w:rPr>
            <w:rStyle w:val="Hyperlink"/>
          </w:rPr>
          <w:t>Kraus, Nikolaus (FREIE WÄHLER)</w:t>
        </w:r>
        <w:r w:rsidR="006E4BC2" w:rsidRPr="0037631A">
          <w:rPr>
            <w:rStyle w:val="Hyperlink"/>
          </w:rPr>
          <w:br/>
          <w:t>Städtebauliche Entwicklungs</w:t>
        </w:r>
        <w:r w:rsidR="00CA7252">
          <w:rPr>
            <w:rStyle w:val="Hyperlink"/>
          </w:rPr>
          <w:softHyphen/>
        </w:r>
        <w:r w:rsidR="006E4BC2" w:rsidRPr="0037631A">
          <w:rPr>
            <w:rStyle w:val="Hyperlink"/>
          </w:rPr>
          <w:t>maßnahmen</w:t>
        </w:r>
        <w:r w:rsidR="006E4BC2">
          <w:rPr>
            <w:webHidden/>
          </w:rPr>
          <w:tab/>
        </w:r>
        <w:r w:rsidR="006E4BC2">
          <w:rPr>
            <w:webHidden/>
          </w:rPr>
          <w:fldChar w:fldCharType="begin"/>
        </w:r>
        <w:r w:rsidR="006E4BC2">
          <w:rPr>
            <w:webHidden/>
          </w:rPr>
          <w:instrText xml:space="preserve"> PAGEREF _Toc511290280 \h </w:instrText>
        </w:r>
        <w:r w:rsidR="006E4BC2">
          <w:rPr>
            <w:webHidden/>
          </w:rPr>
        </w:r>
        <w:r w:rsidR="006E4BC2">
          <w:rPr>
            <w:webHidden/>
          </w:rPr>
          <w:fldChar w:fldCharType="separate"/>
        </w:r>
        <w:r w:rsidR="006850C7">
          <w:rPr>
            <w:webHidden/>
          </w:rPr>
          <w:t>56</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81" w:history="1">
        <w:r w:rsidR="006E4BC2" w:rsidRPr="0037631A">
          <w:rPr>
            <w:rStyle w:val="Hyperlink"/>
          </w:rPr>
          <w:t>Müller, Ruth (SPD)</w:t>
        </w:r>
        <w:r w:rsidR="006E4BC2" w:rsidRPr="0037631A">
          <w:rPr>
            <w:rStyle w:val="Hyperlink"/>
          </w:rPr>
          <w:br/>
          <w:t>Verkehrsverbund Landshut</w:t>
        </w:r>
        <w:r w:rsidR="006E4BC2">
          <w:rPr>
            <w:webHidden/>
          </w:rPr>
          <w:tab/>
        </w:r>
        <w:r w:rsidR="006E4BC2">
          <w:rPr>
            <w:webHidden/>
          </w:rPr>
          <w:fldChar w:fldCharType="begin"/>
        </w:r>
        <w:r w:rsidR="006E4BC2">
          <w:rPr>
            <w:webHidden/>
          </w:rPr>
          <w:instrText xml:space="preserve"> PAGEREF _Toc511290281 \h </w:instrText>
        </w:r>
        <w:r w:rsidR="006E4BC2">
          <w:rPr>
            <w:webHidden/>
          </w:rPr>
        </w:r>
        <w:r w:rsidR="006E4BC2">
          <w:rPr>
            <w:webHidden/>
          </w:rPr>
          <w:fldChar w:fldCharType="separate"/>
        </w:r>
        <w:r w:rsidR="006850C7">
          <w:rPr>
            <w:webHidden/>
          </w:rPr>
          <w:t>57</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82" w:history="1">
        <w:r w:rsidR="006E4BC2" w:rsidRPr="0037631A">
          <w:rPr>
            <w:rStyle w:val="Hyperlink"/>
          </w:rPr>
          <w:t>Widmann, Jutta (FREIE WÄHLER)</w:t>
        </w:r>
        <w:r w:rsidR="006E4BC2" w:rsidRPr="0037631A">
          <w:rPr>
            <w:rStyle w:val="Hyperlink"/>
          </w:rPr>
          <w:br/>
          <w:t>Wertgutachten für Grünes Zentrum Landshut</w:t>
        </w:r>
        <w:r w:rsidR="006E4BC2">
          <w:rPr>
            <w:webHidden/>
          </w:rPr>
          <w:tab/>
        </w:r>
        <w:r w:rsidR="006E4BC2">
          <w:rPr>
            <w:webHidden/>
          </w:rPr>
          <w:fldChar w:fldCharType="begin"/>
        </w:r>
        <w:r w:rsidR="006E4BC2">
          <w:rPr>
            <w:webHidden/>
          </w:rPr>
          <w:instrText xml:space="preserve"> PAGEREF _Toc511290282 \h </w:instrText>
        </w:r>
        <w:r w:rsidR="006E4BC2">
          <w:rPr>
            <w:webHidden/>
          </w:rPr>
        </w:r>
        <w:r w:rsidR="006E4BC2">
          <w:rPr>
            <w:webHidden/>
          </w:rPr>
          <w:fldChar w:fldCharType="separate"/>
        </w:r>
        <w:r w:rsidR="006850C7">
          <w:rPr>
            <w:webHidden/>
          </w:rPr>
          <w:t>57</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83" w:history="1">
        <w:r w:rsidR="006E4BC2" w:rsidRPr="0037631A">
          <w:rPr>
            <w:rStyle w:val="Hyperlink"/>
          </w:rPr>
          <w:t>Zacharias, Isabell (SPD)</w:t>
        </w:r>
        <w:r w:rsidR="006E4BC2" w:rsidRPr="0037631A">
          <w:rPr>
            <w:rStyle w:val="Hyperlink"/>
          </w:rPr>
          <w:br/>
          <w:t>Studentischer Wohnraum in Garching</w:t>
        </w:r>
        <w:r w:rsidR="006E4BC2">
          <w:rPr>
            <w:webHidden/>
          </w:rPr>
          <w:tab/>
        </w:r>
        <w:r w:rsidR="006E4BC2">
          <w:rPr>
            <w:webHidden/>
          </w:rPr>
          <w:fldChar w:fldCharType="begin"/>
        </w:r>
        <w:r w:rsidR="006E4BC2">
          <w:rPr>
            <w:webHidden/>
          </w:rPr>
          <w:instrText xml:space="preserve"> PAGEREF _Toc511290283 \h </w:instrText>
        </w:r>
        <w:r w:rsidR="006E4BC2">
          <w:rPr>
            <w:webHidden/>
          </w:rPr>
        </w:r>
        <w:r w:rsidR="006E4BC2">
          <w:rPr>
            <w:webHidden/>
          </w:rPr>
          <w:fldChar w:fldCharType="separate"/>
        </w:r>
        <w:r w:rsidR="006850C7">
          <w:rPr>
            <w:webHidden/>
          </w:rPr>
          <w:t>58</w:t>
        </w:r>
        <w:r w:rsidR="006E4BC2">
          <w:rPr>
            <w:webHidden/>
          </w:rPr>
          <w:fldChar w:fldCharType="end"/>
        </w:r>
      </w:hyperlink>
    </w:p>
    <w:p w:rsidR="006E4BC2" w:rsidRDefault="009C6D74">
      <w:pPr>
        <w:pStyle w:val="Verzeichnis1"/>
        <w:tabs>
          <w:tab w:val="right" w:leader="dot" w:pos="4383"/>
        </w:tabs>
        <w:rPr>
          <w:rFonts w:asciiTheme="minorHAnsi" w:eastAsiaTheme="minorEastAsia" w:hAnsiTheme="minorHAnsi" w:cstheme="minorBidi"/>
          <w:b w:val="0"/>
          <w:noProof/>
        </w:rPr>
      </w:pPr>
      <w:hyperlink w:anchor="_Toc511290284" w:history="1">
        <w:r w:rsidR="006E4BC2" w:rsidRPr="0037631A">
          <w:rPr>
            <w:rStyle w:val="Hyperlink"/>
            <w:noProof/>
          </w:rPr>
          <w:t>Geschäftsbereich des Staatsministeriums für Wissenschaft und Kunst</w:t>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85" w:history="1">
        <w:r w:rsidR="006E4BC2" w:rsidRPr="0037631A">
          <w:rPr>
            <w:rStyle w:val="Hyperlink"/>
          </w:rPr>
          <w:t>Mütze, Thomas (BÜNDNIS 90/DIE GRÜNEN)</w:t>
        </w:r>
        <w:r w:rsidR="006E4BC2" w:rsidRPr="0037631A">
          <w:rPr>
            <w:rStyle w:val="Hyperlink"/>
          </w:rPr>
          <w:br/>
          <w:t>Raumnot Staatliche Graphische Samm</w:t>
        </w:r>
        <w:r w:rsidR="00CA7252">
          <w:rPr>
            <w:rStyle w:val="Hyperlink"/>
          </w:rPr>
          <w:softHyphen/>
        </w:r>
        <w:r w:rsidR="006E4BC2" w:rsidRPr="0037631A">
          <w:rPr>
            <w:rStyle w:val="Hyperlink"/>
          </w:rPr>
          <w:t>lung und Ludwig-Maximilians-Uni</w:t>
        </w:r>
        <w:r w:rsidR="00CA7252">
          <w:rPr>
            <w:rStyle w:val="Hyperlink"/>
          </w:rPr>
          <w:softHyphen/>
        </w:r>
        <w:r w:rsidR="006E4BC2" w:rsidRPr="0037631A">
          <w:rPr>
            <w:rStyle w:val="Hyperlink"/>
          </w:rPr>
          <w:t>versität München</w:t>
        </w:r>
        <w:r w:rsidR="006E4BC2">
          <w:rPr>
            <w:webHidden/>
          </w:rPr>
          <w:tab/>
        </w:r>
        <w:r w:rsidR="006E4BC2">
          <w:rPr>
            <w:webHidden/>
          </w:rPr>
          <w:fldChar w:fldCharType="begin"/>
        </w:r>
        <w:r w:rsidR="006E4BC2">
          <w:rPr>
            <w:webHidden/>
          </w:rPr>
          <w:instrText xml:space="preserve"> PAGEREF _Toc511290285 \h </w:instrText>
        </w:r>
        <w:r w:rsidR="006E4BC2">
          <w:rPr>
            <w:webHidden/>
          </w:rPr>
        </w:r>
        <w:r w:rsidR="006E4BC2">
          <w:rPr>
            <w:webHidden/>
          </w:rPr>
          <w:fldChar w:fldCharType="separate"/>
        </w:r>
        <w:r w:rsidR="006850C7">
          <w:rPr>
            <w:webHidden/>
          </w:rPr>
          <w:t>59</w:t>
        </w:r>
        <w:r w:rsidR="006E4BC2">
          <w:rPr>
            <w:webHidden/>
          </w:rPr>
          <w:fldChar w:fldCharType="end"/>
        </w:r>
      </w:hyperlink>
    </w:p>
    <w:p w:rsidR="006E4BC2" w:rsidRDefault="009C6D74">
      <w:pPr>
        <w:pStyle w:val="Verzeichnis2"/>
        <w:tabs>
          <w:tab w:val="right" w:leader="dot" w:pos="4383"/>
        </w:tabs>
        <w:rPr>
          <w:rFonts w:asciiTheme="minorHAnsi" w:eastAsiaTheme="minorEastAsia" w:hAnsiTheme="minorHAnsi" w:cstheme="minorBidi"/>
          <w:sz w:val="22"/>
        </w:rPr>
      </w:pPr>
      <w:hyperlink w:anchor="_Toc511290286" w:history="1">
        <w:r w:rsidR="006E4BC2" w:rsidRPr="0037631A">
          <w:rPr>
            <w:rStyle w:val="Hyperlink"/>
          </w:rPr>
          <w:t>Steinberger, Rosi (BÜNDNIS 90/DIE GRÜNEN)</w:t>
        </w:r>
        <w:r w:rsidR="006E4BC2" w:rsidRPr="0037631A">
          <w:rPr>
            <w:rStyle w:val="Hyperlink"/>
          </w:rPr>
          <w:br/>
          <w:t>Forschungsreaktor München: Fach</w:t>
        </w:r>
        <w:r w:rsidR="00CA7252">
          <w:rPr>
            <w:rStyle w:val="Hyperlink"/>
          </w:rPr>
          <w:softHyphen/>
        </w:r>
        <w:r w:rsidR="006E4BC2" w:rsidRPr="0037631A">
          <w:rPr>
            <w:rStyle w:val="Hyperlink"/>
          </w:rPr>
          <w:t>kunde der Schichtleiter</w:t>
        </w:r>
        <w:r w:rsidR="006E4BC2">
          <w:rPr>
            <w:webHidden/>
          </w:rPr>
          <w:tab/>
        </w:r>
        <w:r w:rsidR="006E4BC2">
          <w:rPr>
            <w:webHidden/>
          </w:rPr>
          <w:fldChar w:fldCharType="begin"/>
        </w:r>
        <w:r w:rsidR="006E4BC2">
          <w:rPr>
            <w:webHidden/>
          </w:rPr>
          <w:instrText xml:space="preserve"> PAGEREF _Toc511290286 \h </w:instrText>
        </w:r>
        <w:r w:rsidR="006E4BC2">
          <w:rPr>
            <w:webHidden/>
          </w:rPr>
        </w:r>
        <w:r w:rsidR="006E4BC2">
          <w:rPr>
            <w:webHidden/>
          </w:rPr>
          <w:fldChar w:fldCharType="separate"/>
        </w:r>
        <w:r w:rsidR="006850C7">
          <w:rPr>
            <w:webHidden/>
          </w:rPr>
          <w:t>59</w:t>
        </w:r>
        <w:r w:rsidR="006E4BC2">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CA7252">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6E4BC2" w:rsidP="006E4BC2">
      <w:pPr>
        <w:pStyle w:val="LTUeberschrRessort"/>
      </w:pPr>
      <w:r>
        <w:t>Geschäftsbereich des Staatsministeriums des Innern und für Integration</w:t>
      </w:r>
      <w:r>
        <w:fldChar w:fldCharType="begin"/>
      </w:r>
      <w:r>
        <w:instrText xml:space="preserve"> TC </w:instrText>
      </w:r>
      <w:r w:rsidR="004A62EF">
        <w:instrText>„</w:instrText>
      </w:r>
      <w:bookmarkStart w:id="3" w:name="_Toc511290222"/>
      <w:r>
        <w:instrText>Geschäftsbereich des Staatsministeriums des Innern und für Integration</w:instrText>
      </w:r>
      <w:bookmarkEnd w:id="3"/>
      <w:r w:rsidR="004A62E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Hubert</w:t>
            </w:r>
            <w:r w:rsidRPr="006E4BC2">
              <w:rPr>
                <w:b/>
              </w:rPr>
              <w:br/>
              <w:t>Aiwanger</w:t>
            </w:r>
            <w:r w:rsidRPr="006E4BC2">
              <w:rPr>
                <w:b/>
              </w:rPr>
              <w:br/>
            </w:r>
            <w:r w:rsidRPr="006E4BC2">
              <w:t>(FREIE WÄHLER)</w:t>
            </w:r>
            <w:r>
              <w:fldChar w:fldCharType="begin"/>
            </w:r>
            <w:r>
              <w:instrText xml:space="preserve"> TC </w:instrText>
            </w:r>
            <w:r w:rsidR="004A62EF">
              <w:instrText>„</w:instrText>
            </w:r>
            <w:bookmarkStart w:id="4" w:name="_Toc511290223"/>
            <w:r>
              <w:instrText>Aiwanger, Hubert (FREIE WÄHLER)</w:instrText>
            </w:r>
            <w:r>
              <w:br/>
              <w:instrText>Straßenausbaubeiträge</w:instrText>
            </w:r>
            <w:bookmarkEnd w:id="4"/>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Nachdem die Staatsregierung für den 22.03.2018 ein eigenes Gesetz zur Abschaffung der Straßenausbaubeiträge angekündigt hatte, aber bis heute weder ein Gesetz noch ein Datum zur Vorlage des Gesetzes bekannt ist, was mittlerweile zu großer Rechtsunsicherheit bei Kommunen und Bürgerinnen bzw. Bürgern führt, frage ich die Staatsregierung, wann sie das Gesetz vorstellen wird, ob sich dabei sowohl Kommunen, die bisher eine Straßenausbaubeitragssatzung hatten als auch Kommunen ohne einer solchen Satzung darauf verlasse</w:t>
            </w:r>
            <w:r w:rsidR="009F23AC">
              <w:t>n können, dass Straßenausbaumaß</w:t>
            </w:r>
            <w:r>
              <w:t>nahmen durch einen staatlichen Fördertopf künftig vergleichbar unterstützt werden, als wenn sie die Beiträge auf die Anlieger umlegen könnten und ob die Staatsregierung nicht auch der Meinung ist, dass es angebracht ist, betroffenen Anliegern bis zum 01.01.2014 rückwirkend bereits bezahlte Straßenausbaubeiträge zu ersetzen?</w:t>
            </w:r>
          </w:p>
          <w:p w:rsidR="006E4BC2" w:rsidRDefault="006E4BC2" w:rsidP="006E4BC2">
            <w:pPr>
              <w:pStyle w:val="LTAnfrageText"/>
            </w:pP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Die Staatsregierung beabsichtigt nicht, zur Fortentwicklung des Straßenausbaubeitragsrechts einen eigenen Gesetzentwurf vorzulegen. Die CSU-Landtagsfraktion hat am 11.04.2018 einen Gesetzentwurf zur Beratung beim Landtag eingereicht.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Inge</w:t>
            </w:r>
            <w:r w:rsidRPr="006E4BC2">
              <w:rPr>
                <w:b/>
              </w:rPr>
              <w:br/>
              <w:t>Aures</w:t>
            </w:r>
            <w:r w:rsidRPr="006E4BC2">
              <w:rPr>
                <w:b/>
              </w:rPr>
              <w:br/>
            </w:r>
            <w:r w:rsidRPr="006E4BC2">
              <w:t>(SPD)</w:t>
            </w:r>
            <w:r>
              <w:fldChar w:fldCharType="begin"/>
            </w:r>
            <w:r>
              <w:instrText xml:space="preserve"> TC </w:instrText>
            </w:r>
            <w:r w:rsidR="004A62EF">
              <w:instrText>„</w:instrText>
            </w:r>
            <w:bookmarkStart w:id="5" w:name="_Toc511290224"/>
            <w:r>
              <w:instrText>Aures, Inge (SPD)</w:instrText>
            </w:r>
            <w:r>
              <w:br/>
              <w:instrText>Polizeiwache Selb</w:instrText>
            </w:r>
            <w:bookmarkEnd w:id="5"/>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welche exakte Personalstärke ist für die Polizeiwache in Selb für die kommenden fünf Jahre eingeplant und gibt es diesbezüglich Unterschiede bei der Besetzung der Tag- bzw. der Nachtschicht?</w:t>
            </w:r>
          </w:p>
          <w:p w:rsidR="006E4BC2" w:rsidRDefault="006E4BC2" w:rsidP="006E4BC2">
            <w:pPr>
              <w:pStyle w:val="LTAnfrageText"/>
            </w:pP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In der Polizeiwache Selb werden derzeit acht Beamte als Wac</w:t>
      </w:r>
      <w:r w:rsidR="009F23AC">
        <w:t>hbesetzung im sonstig wechseln</w:t>
      </w:r>
      <w:r>
        <w:t>den Dienst, drei Ermittler sowie ein Verkehrserzieher eingeset</w:t>
      </w:r>
      <w:r w:rsidR="009F23AC">
        <w:t>zt. Eine Änderung dieser Beset</w:t>
      </w:r>
      <w:r>
        <w:t>zung ist durch das Polizeipräsidium Oberfranken aktuell nicht geplant. Sie ist jedoch abhängig von der mittelfristigen polizeilichen Lagebeurteilung, wesha</w:t>
      </w:r>
      <w:r w:rsidR="009F23AC">
        <w:t>lb ein Ausblick für die kommen</w:t>
      </w:r>
      <w:r>
        <w:t>den fünf Jahre nicht getroffen werden kann.</w:t>
      </w:r>
    </w:p>
    <w:p w:rsidR="006E4BC2" w:rsidRDefault="006E4BC2" w:rsidP="006E4BC2">
      <w:pPr>
        <w:pStyle w:val="LTAntwortRessortText"/>
      </w:pPr>
      <w:r>
        <w:t>D</w:t>
      </w:r>
      <w:r w:rsidR="00200FE9">
        <w:t>ie Polizeiwache ist zwischen 06.</w:t>
      </w:r>
      <w:r>
        <w:t>00 Uhr und 22</w:t>
      </w:r>
      <w:r w:rsidR="00200FE9">
        <w:t>.</w:t>
      </w:r>
      <w:r>
        <w:t>00 U</w:t>
      </w:r>
      <w:r w:rsidR="00200FE9">
        <w:t>hr (Montag bis Samstag) bzw. 08.00 Uhr bis 18.</w:t>
      </w:r>
      <w:r>
        <w:t>00 Uhr (Sonn- und Feiertage) besetzt. Zusätzlich wird durch die Polizeiinspektion Marktredwitz ganztägig mindestens eine Streife für den Streifen</w:t>
      </w:r>
      <w:r w:rsidR="009F23AC">
        <w:t>bereich Selb zur Aufrechterhal</w:t>
      </w:r>
      <w:r>
        <w:t>tung der öffentlichen Sicherheit und Ordnung in Selb und Umgebung gestellt.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Prof. (Univ. Lima) Dr. Peter</w:t>
            </w:r>
            <w:r w:rsidRPr="006E4BC2">
              <w:rPr>
                <w:b/>
              </w:rPr>
              <w:br/>
              <w:t>Bauer</w:t>
            </w:r>
            <w:r w:rsidRPr="006E4BC2">
              <w:rPr>
                <w:b/>
              </w:rPr>
              <w:br/>
            </w:r>
            <w:r w:rsidRPr="006E4BC2">
              <w:t>(FREIE WÄHLER)</w:t>
            </w:r>
            <w:r>
              <w:fldChar w:fldCharType="begin"/>
            </w:r>
            <w:r>
              <w:instrText xml:space="preserve"> TC </w:instrText>
            </w:r>
            <w:r w:rsidR="004A62EF">
              <w:instrText>„</w:instrText>
            </w:r>
            <w:bookmarkStart w:id="6" w:name="_Toc511290225"/>
            <w:r>
              <w:instrText>Prof. (Univ. Lima) Dr. Bauer, Peter (FREIE WÄHLER)</w:instrText>
            </w:r>
            <w:r>
              <w:br/>
              <w:instrText>Familiennachzug</w:instrText>
            </w:r>
            <w:bookmarkEnd w:id="6"/>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 xml:space="preserve">Ich frage die Staatsregierung, wie viele Fälle gibt es in Bayern, bei denen Zweit- oder noch mehrere </w:t>
            </w:r>
            <w:r w:rsidR="004A62EF">
              <w:t>„</w:t>
            </w:r>
            <w:r>
              <w:t>Ehefrauen</w:t>
            </w:r>
            <w:r w:rsidR="004A62EF">
              <w:t>“</w:t>
            </w:r>
            <w:r>
              <w:t xml:space="preserve"> zu ihren </w:t>
            </w:r>
            <w:r w:rsidR="004A62EF">
              <w:t>„</w:t>
            </w:r>
            <w:r>
              <w:t>Ehemännern</w:t>
            </w:r>
            <w:r w:rsidR="004A62EF">
              <w:t>“</w:t>
            </w:r>
            <w:r>
              <w:t xml:space="preserve"> nachziehen konnten bzw. können, wie viele Kinder betraf bzw. betrifft diese Regelung und wie ist die Rechtsauffassung der Staatsregierung zu dieser Problematik, insbesondere vor dem Hinte</w:t>
            </w:r>
            <w:r w:rsidR="00200FE9">
              <w:t>rgrund, eine einheitliche Recht</w:t>
            </w:r>
            <w:r>
              <w:t>sprechung in ganz Deutschland sicherzustellen?</w:t>
            </w:r>
          </w:p>
          <w:p w:rsidR="006E4BC2" w:rsidRDefault="006E4BC2" w:rsidP="006E4BC2">
            <w:pPr>
              <w:pStyle w:val="LTAnfrageText"/>
            </w:pP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Auf die Antwort der Staatsregierung auf die Anfrage zum Plenum des Abgeordneten Alexander König (Drs. 17/20552 vom 01.02.2018, Seite 10</w:t>
      </w:r>
      <w:r w:rsidR="00200FE9">
        <w:t xml:space="preserve"> ff.</w:t>
      </w:r>
      <w:r>
        <w:t>), wird verwiesen.</w:t>
      </w:r>
    </w:p>
    <w:p w:rsidR="006E4BC2" w:rsidRDefault="006E4BC2" w:rsidP="006E4BC2">
      <w:pPr>
        <w:pStyle w:val="LTAntwortRessortText"/>
      </w:pPr>
      <w:r>
        <w:t xml:space="preserve">Im Übrigen gelten die in vorgenannter Antwort in Bezug genommenen Vorschriften (§ 30 Abs. 4 und § 36 Abs. 2 Satz 1 Aufenthaltsgesetz </w:t>
      </w:r>
      <w:r w:rsidR="00200FE9">
        <w:t>–</w:t>
      </w:r>
      <w:r>
        <w:t xml:space="preserve"> AufenthG) für den Kindernachzug nicht, wenn es sich um leibliche Kinder des Stammberechtigten handelt und dieser personensorgeberechtigt ist. In diesen Fällen besteht gemäß § 32 AufenthG zumeist ein Anspruch auf Kindernachzug.</w:t>
      </w:r>
    </w:p>
    <w:p w:rsidR="006E4BC2" w:rsidRDefault="006E4BC2" w:rsidP="006E4BC2">
      <w:pPr>
        <w:pStyle w:val="LTAntwortRessortText"/>
      </w:pPr>
      <w:r>
        <w:t>Handelt es sich zwar um ein leibliches Kind, fehlt dem St</w:t>
      </w:r>
      <w:r w:rsidR="00200FE9">
        <w:t>ammberechtigten aber die Perso</w:t>
      </w:r>
      <w:r>
        <w:t>nensorgeberechtigung für dieses, ist gemäß § 32 Abs. 4 AufenthG ein Kindernachzug nur im Einzelfall und nur zur Vermeidung einer besonderen Härte möglich. Handelt es sich bei dem nachzugswilligen Kind um ein Stiefkind des Stammberechtigten</w:t>
      </w:r>
      <w:r w:rsidR="00200FE9">
        <w:t>, gilt das in vorgenannter Ant</w:t>
      </w:r>
      <w:r>
        <w:t xml:space="preserve">wort vom 01.02.2018 zu </w:t>
      </w:r>
      <w:r w:rsidR="004A62EF">
        <w:t>„</w:t>
      </w:r>
      <w:r>
        <w:t>sonstigen Familienangehörigen</w:t>
      </w:r>
      <w:r w:rsidR="004A62EF">
        <w:t>“</w:t>
      </w:r>
      <w:r>
        <w:t xml:space="preserve"> im S</w:t>
      </w:r>
      <w:r w:rsidR="00200FE9">
        <w:t>inn des § 36 Abs. 2 Satz 1 Auf</w:t>
      </w:r>
      <w:r>
        <w:t>enthG Ausgeführte entsprechend.</w:t>
      </w:r>
    </w:p>
    <w:p w:rsidR="006E4BC2" w:rsidRDefault="006E4BC2" w:rsidP="006E4BC2">
      <w:pPr>
        <w:pStyle w:val="LTAntwortRessortText"/>
      </w:pPr>
      <w:r>
        <w:t xml:space="preserve">Die Rechtsauffassung der Staatsregierung zur anfragegegenständlichen Problematik ergibt sich aus der vorgenannten Antwort vom 01.02.2018. Im Übrigen obliegt es </w:t>
      </w:r>
      <w:r w:rsidR="00200FE9">
        <w:t>– schon weil das Auf</w:t>
      </w:r>
      <w:r>
        <w:t xml:space="preserve">enthaltsrecht Bundesrecht ist </w:t>
      </w:r>
      <w:r w:rsidR="00200FE9">
        <w:t>–</w:t>
      </w:r>
      <w:r>
        <w:t xml:space="preserve"> dem Bundesverwaltungsgericht</w:t>
      </w:r>
      <w:r w:rsidR="00200FE9">
        <w:t>, nicht der Exekutive eines be</w:t>
      </w:r>
      <w:r>
        <w:t>stimmten Landes, eine einheitliche Rechtsprechung in Deutschland zu gewährleisten.</w:t>
      </w:r>
    </w:p>
    <w:p w:rsidR="00276106" w:rsidRDefault="00276106" w:rsidP="006E4BC2">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Prof. Dr. Peter Paul</w:t>
            </w:r>
            <w:r w:rsidRPr="006E4BC2">
              <w:rPr>
                <w:b/>
              </w:rPr>
              <w:br/>
              <w:t>Gantzer</w:t>
            </w:r>
            <w:r w:rsidRPr="006E4BC2">
              <w:rPr>
                <w:b/>
              </w:rPr>
              <w:br/>
            </w:r>
            <w:r w:rsidRPr="006E4BC2">
              <w:t>(SPD)</w:t>
            </w:r>
            <w:r>
              <w:fldChar w:fldCharType="begin"/>
            </w:r>
            <w:r>
              <w:instrText xml:space="preserve"> TC </w:instrText>
            </w:r>
            <w:r w:rsidR="004A62EF">
              <w:instrText>„</w:instrText>
            </w:r>
            <w:bookmarkStart w:id="7" w:name="_Toc511290226"/>
            <w:r>
              <w:instrText>Prof. Dr. Gantzer, Peter Paul (SPD)</w:instrText>
            </w:r>
            <w:r>
              <w:br/>
              <w:instrText>Regelwerk PDV 300 zur Polizeidienst(un)fähigkeit</w:instrText>
            </w:r>
            <w:bookmarkEnd w:id="7"/>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inwieweit sieht sie Veranlassung und Notwendigkeit, aufgrund des medizinischen Fortschritts das Regelwerk Polizeidienstvorschrift (PDV) 300 zur Polizeidienst(un)fähigkeit anpassend zu überarbeiten, welchen Ermessensspielraum gibt es mit Blick auf die Feststellung der Polizeidienstfähigkeit bei einer Rot-Grün-Sehschwäche (Deuteranomalie) und wie beurteilt die Staatsregierung zusammenfassend die einschlägigen Urteile der Verwaltungsgerichte seit dem Jahr 2012 im Zusammenhang mit dem Regelwerk PDV 300?</w:t>
            </w:r>
          </w:p>
          <w:p w:rsidR="006E4BC2" w:rsidRDefault="006E4BC2" w:rsidP="006E4BC2">
            <w:pPr>
              <w:pStyle w:val="LTAnfrageText"/>
            </w:pPr>
          </w:p>
        </w:tc>
      </w:tr>
    </w:tbl>
    <w:p w:rsidR="00276106" w:rsidRDefault="00276106" w:rsidP="006E4BC2">
      <w:pPr>
        <w:pStyle w:val="LTUeberschrAntwortRessort"/>
      </w:pPr>
    </w:p>
    <w:p w:rsidR="006E4BC2" w:rsidRDefault="006E4BC2" w:rsidP="006E4BC2">
      <w:pPr>
        <w:pStyle w:val="LTUeberschrAntwortRessort"/>
      </w:pPr>
      <w:r>
        <w:t>Antwort des Staatsministeriums des Innern und für Integration</w:t>
      </w:r>
    </w:p>
    <w:p w:rsidR="00200FE9" w:rsidRDefault="00200FE9" w:rsidP="00200FE9">
      <w:pPr>
        <w:pStyle w:val="LTAntwortRessortText"/>
      </w:pPr>
      <w:r>
        <w:t>Das Bundesverwaltungsgericht (BVerwG)hat mit seinen Urteilen vom 25.07.2013 und vom 30.10.2013 seine bisherige Rechtsprechung zur Feststellung der gesundheitlichen Eignung für die Berufung in ein Beamtenverhältnis in wesentlichen Punkten aufgegeben und festgelegt, dass die Beurteilung der gesundheitlichen Eignung nunmehr voll gerichtlich überprüfbar ist, „nachhaltige Zweifel“ des Dienstherrn an der Dienstfähigkeit nicht ausreichen und für die Feststellung der erforderlichen überwiegenden Wahrscheinlichkeit des Eintritts einer Dienstunfähigkeit vor Erreichen der gesetzlichen Altersgrenze tatsächliche Anknüpfungspunkte im Sinne einer fundierten medizinischen Tatsachenbasis und die gebotene konkrete Betrachtung des jeweiligen Einzelfalls erforderlich sind.</w:t>
      </w:r>
    </w:p>
    <w:p w:rsidR="00200FE9" w:rsidRDefault="00200FE9" w:rsidP="00200FE9">
      <w:pPr>
        <w:pStyle w:val="LTAntwortRessortText"/>
      </w:pPr>
      <w:r>
        <w:t>Aufgrund der neuen Rechtsprechung des BVerwG wird die PDV 300 durch eine Arbeitsgruppe des Arbeitskreises II der Innenministerkonferenz in medizinischer und rechtlicher Hinsicht überarbeitet.</w:t>
      </w:r>
    </w:p>
    <w:p w:rsidR="00200FE9" w:rsidRDefault="00200FE9" w:rsidP="00200FE9">
      <w:pPr>
        <w:pStyle w:val="LTAntwortRessortText"/>
      </w:pPr>
      <w:r>
        <w:t>Konsens ist, es auch künftig als erforderlich anzusehen, dass jede neu eingestellte Polizeibeamtin und jeder neu eingestellte Polizeibeamte der Vollzugspolizei zu jeder Zeit, an jedem Ort und in jeder seiner Amtsbezeichnung entsprechenden Stellung, ohne Rücksicht darauf, ob sie bzw. er im Außen- oder Innendienst eingesetzt ist, verwendbar sein muss.</w:t>
      </w:r>
    </w:p>
    <w:p w:rsidR="00200FE9" w:rsidRDefault="00200FE9" w:rsidP="00200FE9">
      <w:pPr>
        <w:pStyle w:val="LTAntwortRessortText"/>
      </w:pPr>
      <w:r>
        <w:t>Ein Ermessensspielraum bei einer Rot-Grün-Sehschwäche für die Einstellungseignung besteht nicht. Gerade die Sehleistung mit gutem Farbunterscheidungsvermögen stellt für Polizeivollzugsbeamte ein sehr wesentliches Eignungsmerkmal dar, weil nahezu alle polizeilichen Aufgaben mit hohen Anforderungen an das Sehorgan verbunden sind, die über die alltäglichen Anforderungen hinausgehen. Für die polizeiliche Aufgabenwahrnehmung spielt gerade auch das Farbensehen im Rotbereich eine wesentliche Rolle. Die Rot-Grün-Blindheit führt u. a. dazu, dass rote Farben bzw. rotes Licht mit einem anderen Farbton wahrgenommen werden. Überdies ist eine höhere Leuchtdichte erforderlich, um rote Lichtquellen wahrzunehmen. Im Straßenverkehr führt dies beispielsweise dazu, dass Bremslichter vorausfahrender Fahrzeuge verspätet wahrgenommen werden. Insbesondere bei Fahrten mit Blaulicht und Martinshorn – zumal bei schlechten Beleuchtungsverhältnissen und hohen Geschwindigkeiten – resultiert hieraus ein deutlich erhöhtes Unfallrisiko.</w:t>
      </w:r>
    </w:p>
    <w:p w:rsidR="006E4BC2" w:rsidRDefault="00200FE9" w:rsidP="00200FE9">
      <w:pPr>
        <w:pStyle w:val="LTAntwortRessortText"/>
      </w:pPr>
      <w:r>
        <w:t xml:space="preserve">In schwierigen Einsatzsituationen, bei denen von schnellen und korrekten Entscheidungen auch die körperliche Unversehrtheit oder das Leben abhängen, ist die Wahrnehmungsfähigkeit </w:t>
      </w:r>
      <w:r w:rsidR="00871411">
        <w:t>der</w:t>
      </w:r>
      <w:r>
        <w:t xml:space="preserve"> Polizeibeamten sehr wichtig. Ein Abweichen von den gesundheitlichen Anforderungen ist auch im Interesse der Allgemeinheit nicht möglich.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Eva</w:t>
            </w:r>
            <w:r w:rsidRPr="006E4BC2">
              <w:rPr>
                <w:b/>
              </w:rPr>
              <w:br/>
              <w:t>Gottstein</w:t>
            </w:r>
            <w:r w:rsidRPr="006E4BC2">
              <w:rPr>
                <w:b/>
              </w:rPr>
              <w:br/>
            </w:r>
            <w:r w:rsidRPr="006E4BC2">
              <w:t>(FREIE WÄHLER)</w:t>
            </w:r>
            <w:r>
              <w:fldChar w:fldCharType="begin"/>
            </w:r>
            <w:r>
              <w:instrText xml:space="preserve"> TC </w:instrText>
            </w:r>
            <w:r w:rsidR="004A62EF">
              <w:instrText>„</w:instrText>
            </w:r>
            <w:bookmarkStart w:id="8" w:name="_Toc511290227"/>
            <w:r>
              <w:instrText>Gottstein, Eva (FREIE WÄHLER)</w:instrText>
            </w:r>
            <w:r>
              <w:br/>
              <w:instrText>Einrichtung einer Bayerischen Grenzpolizei I</w:instrText>
            </w:r>
            <w:bookmarkEnd w:id="8"/>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wann wurde</w:t>
            </w:r>
            <w:r w:rsidR="004A62EF">
              <w:t xml:space="preserve"> </w:t>
            </w:r>
            <w:r>
              <w:t xml:space="preserve">Herr Leitender Kriminaldirektor Alois Mannichl zur Errichtung einer Arbeitsgruppe </w:t>
            </w:r>
            <w:r w:rsidR="00200FE9">
              <w:t>–</w:t>
            </w:r>
            <w:r w:rsidR="004A62EF">
              <w:t xml:space="preserve"> </w:t>
            </w:r>
            <w:r>
              <w:t>zum Aufbau der von Ministerpräsident Dr. Markus Söder angekündigten neue</w:t>
            </w:r>
            <w:r w:rsidR="00871411">
              <w:t>n</w:t>
            </w:r>
            <w:r w:rsidR="004A62EF">
              <w:t xml:space="preserve"> </w:t>
            </w:r>
            <w:r>
              <w:t>Bayerische</w:t>
            </w:r>
            <w:r w:rsidR="004A62EF">
              <w:t xml:space="preserve"> </w:t>
            </w:r>
            <w:r>
              <w:t xml:space="preserve">Grenzpolizei </w:t>
            </w:r>
            <w:r w:rsidR="00200FE9">
              <w:t>–</w:t>
            </w:r>
            <w:r w:rsidR="004A62EF">
              <w:t xml:space="preserve"> </w:t>
            </w:r>
            <w:r>
              <w:t>beauftragt,</w:t>
            </w:r>
            <w:r w:rsidR="004A62EF">
              <w:t xml:space="preserve"> </w:t>
            </w:r>
            <w:r>
              <w:t>wo</w:t>
            </w:r>
            <w:r w:rsidR="004A62EF">
              <w:t xml:space="preserve"> </w:t>
            </w:r>
            <w:r>
              <w:t>ist der</w:t>
            </w:r>
            <w:r w:rsidR="004A62EF">
              <w:t xml:space="preserve"> </w:t>
            </w:r>
            <w:r>
              <w:t>Sitz dieser Stabsstelle und wann ist mit einer Vereinbarung mit dem Bund zu diesem Vorhaben zu rechnen?</w:t>
            </w:r>
          </w:p>
          <w:p w:rsidR="006E4BC2" w:rsidRDefault="006E4BC2" w:rsidP="006E4BC2">
            <w:pPr>
              <w:pStyle w:val="LTAnfrageText"/>
            </w:pP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 xml:space="preserve">Herr Leitender Kriminaldirektor </w:t>
      </w:r>
      <w:r w:rsidR="00200FE9">
        <w:t xml:space="preserve">Alois </w:t>
      </w:r>
      <w:r>
        <w:t>Mannichl wurde Mitte Februar 2018 als polizeilicher Experte seitens des vormaligen Staatsministeriums des Innern, für Bau und Verkehr eingebunden, um fachpraktische Aspekte im weiteren Verfahrens</w:t>
      </w:r>
      <w:r w:rsidR="00200FE9">
        <w:t>gang der Errichtung einer Bayerischen</w:t>
      </w:r>
      <w:r>
        <w:t xml:space="preserve"> Grenzpolizei berücksichtigen zu können. Hierbei war in Teilbereichen zur konzeptionellen Vorbereitung auch die Ei</w:t>
      </w:r>
      <w:r w:rsidR="00200FE9">
        <w:t>nbindung der Verbände der Bayerischen</w:t>
      </w:r>
      <w:r>
        <w:t xml:space="preserve"> Polizei notwendig. Der Ministerrat nahm am 23.03.2018 den Bericht </w:t>
      </w:r>
      <w:r w:rsidR="00200FE9">
        <w:t>des</w:t>
      </w:r>
      <w:r>
        <w:t xml:space="preserve"> </w:t>
      </w:r>
      <w:r w:rsidR="00200FE9">
        <w:t xml:space="preserve">damaligen </w:t>
      </w:r>
      <w:r>
        <w:t>Staatsminister</w:t>
      </w:r>
      <w:r w:rsidR="00200FE9">
        <w:t xml:space="preserve">s des Innern, für Bau und Verkehr, Joachim </w:t>
      </w:r>
      <w:r>
        <w:t>Herrmann</w:t>
      </w:r>
      <w:r w:rsidR="00200FE9">
        <w:t>, zur Errichtung der Bayerischen</w:t>
      </w:r>
      <w:r>
        <w:t xml:space="preserve"> Grenzpolizei zustimmend zur Kenntnis. Der Bericht umfasste auch den Umstan</w:t>
      </w:r>
      <w:r w:rsidR="00200FE9">
        <w:t>d der Errichtung des Auf</w:t>
      </w:r>
      <w:r w:rsidR="00196271">
        <w:t>baustab</w:t>
      </w:r>
      <w:r>
        <w:t>s sowie die Übertragung der Leitung an Herrn Leitenden Kriminaldirektor</w:t>
      </w:r>
      <w:r w:rsidR="00200FE9">
        <w:t xml:space="preserve"> Alois</w:t>
      </w:r>
      <w:r>
        <w:t xml:space="preserve"> Mannichl.</w:t>
      </w:r>
    </w:p>
    <w:p w:rsidR="006E4BC2" w:rsidRDefault="00200FE9" w:rsidP="006E4BC2">
      <w:pPr>
        <w:pStyle w:val="LTAntwortRessortText"/>
      </w:pPr>
      <w:r>
        <w:t>Der Aufbaustab der Bayerischen</w:t>
      </w:r>
      <w:r w:rsidR="006E4BC2">
        <w:t xml:space="preserve"> Grenzpolizei hat seinen Sitz in Passau.</w:t>
      </w:r>
    </w:p>
    <w:p w:rsidR="006E4BC2" w:rsidRDefault="006E4BC2" w:rsidP="006E4BC2">
      <w:pPr>
        <w:pStyle w:val="LTAntwortRessortText"/>
      </w:pPr>
      <w:r>
        <w:t xml:space="preserve">Verhandlungen betreffend Änderungen des </w:t>
      </w:r>
      <w:r w:rsidR="004A62EF">
        <w:t>„</w:t>
      </w:r>
      <w:r>
        <w:t xml:space="preserve">Verwaltungsabkommens zwischen </w:t>
      </w:r>
      <w:r w:rsidR="00200FE9">
        <w:t>dem Bundesministerium</w:t>
      </w:r>
      <w:r>
        <w:t xml:space="preserve"> des Innern und der Bayerischen Staatsregierun</w:t>
      </w:r>
      <w:r w:rsidR="00200FE9">
        <w:t>g über die Wahrnehmung von Auf</w:t>
      </w:r>
      <w:r>
        <w:t>gaben des grenzpolizeilichen Einzeldienstes in Bayern</w:t>
      </w:r>
      <w:r w:rsidR="004A62EF">
        <w:t>“</w:t>
      </w:r>
      <w:r>
        <w:t xml:space="preserve"> waren</w:t>
      </w:r>
      <w:r w:rsidR="00200FE9">
        <w:t xml:space="preserve"> bereits unabhängig von der ge</w:t>
      </w:r>
      <w:r w:rsidR="000673D7">
        <w:t>planten Errichtung der Bayerischen</w:t>
      </w:r>
      <w:r>
        <w:t xml:space="preserve"> Grenzpolizei beabsichtigt. Auf Grundlage der dazu getroffenen Vereinbarungen zwischen Staatsminister </w:t>
      </w:r>
      <w:r w:rsidR="000673D7">
        <w:t xml:space="preserve">Joachim </w:t>
      </w:r>
      <w:r>
        <w:t>Herrmann und dem früheren Bundesinnenmi</w:t>
      </w:r>
      <w:r w:rsidR="000673D7">
        <w:t>nister</w:t>
      </w:r>
      <w:r>
        <w:t xml:space="preserve"> Dr.</w:t>
      </w:r>
      <w:r w:rsidR="000673D7">
        <w:t xml:space="preserve"> Thomas </w:t>
      </w:r>
      <w:r>
        <w:t>de Maizière sind weitere Erörterungen zwischen den betro</w:t>
      </w:r>
      <w:r w:rsidR="000673D7">
        <w:t>ffenen Fachabteilungen des Bun</w:t>
      </w:r>
      <w:r>
        <w:t>desministeriums des Innern, für Bau und Heimat sowie dem Staatsministerium des Innern und für Integration vereinbart.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Ludwig</w:t>
            </w:r>
            <w:r w:rsidRPr="006E4BC2">
              <w:rPr>
                <w:b/>
              </w:rPr>
              <w:br/>
              <w:t>Hartmann</w:t>
            </w:r>
            <w:r w:rsidRPr="006E4BC2">
              <w:rPr>
                <w:b/>
              </w:rPr>
              <w:br/>
            </w:r>
            <w:r w:rsidRPr="006E4BC2">
              <w:t>(BÜNDNIS 90/DIE GRÜNEN)</w:t>
            </w:r>
            <w:r>
              <w:fldChar w:fldCharType="begin"/>
            </w:r>
            <w:r>
              <w:instrText xml:space="preserve"> TC </w:instrText>
            </w:r>
            <w:r w:rsidR="004A62EF">
              <w:instrText>„</w:instrText>
            </w:r>
            <w:bookmarkStart w:id="9" w:name="_Toc511290228"/>
            <w:r>
              <w:instrText>Hartmann, Ludwig (BÜNDNIS 90/DIE GRÜNEN)</w:instrText>
            </w:r>
            <w:r>
              <w:br/>
              <w:instrText>Software-Update von Polizeiautos</w:instrText>
            </w:r>
            <w:bookmarkEnd w:id="9"/>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Nachdem sich laut Medienberichten vom Februar 2017 das damalige Staatsministerium des Innern, für Bau und Verkehr (StMI) weigerte, 500 betroffene Polizeiautos einem umstrittenen Software-Update zu unterziehen, um eine spätere Geltendmachung von Ansprüchen nicht zu erschweren, frage ich hiermit die Staatsregierung, ob die Situation sich nach wie vor so darstellt, ob schon betroffene Polizeiautos stillgelegt wurden und mit welchem Ergebnis die rechtliche Bewertung des damaligen StMI mittlerweile abgeschlossen ist?</w:t>
            </w:r>
          </w:p>
          <w:p w:rsidR="006E4BC2" w:rsidRDefault="006E4BC2" w:rsidP="006E4BC2">
            <w:pPr>
              <w:pStyle w:val="LTAnfrageText"/>
            </w:pP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Mitte 2017 konnte mit der VW AG eine Einigung über die Abwicklung der Rückrufaktion und des damit verbundenen Software</w:t>
      </w:r>
      <w:r w:rsidR="00FC6AB5">
        <w:t>-U</w:t>
      </w:r>
      <w:r>
        <w:t>pdates für die betroffenen Dieselfahrzeuge erzielt werden.</w:t>
      </w:r>
    </w:p>
    <w:p w:rsidR="006E4BC2" w:rsidRDefault="006E4BC2" w:rsidP="006E4BC2">
      <w:pPr>
        <w:pStyle w:val="LTAntwortRessortText"/>
      </w:pPr>
      <w:r>
        <w:t xml:space="preserve">Die VW AG hatte im </w:t>
      </w:r>
      <w:r w:rsidR="00FC6AB5">
        <w:t>zweiten</w:t>
      </w:r>
      <w:r>
        <w:t xml:space="preserve"> Halbjahr 2017 mit der Umrüstung der betroffenen Fahrzeuge der Bayerischen Polizei begonnen. Die Umrüstung konnte im Januar 2018 abgeschlossen werden.</w:t>
      </w:r>
    </w:p>
    <w:p w:rsidR="006E4BC2" w:rsidRDefault="006E4BC2" w:rsidP="006E4BC2">
      <w:pPr>
        <w:pStyle w:val="LTAntwortRessortText"/>
      </w:pPr>
      <w:r>
        <w:t>Die VW AG hat erklärt, dass durch die Umrüstung keine Nach</w:t>
      </w:r>
      <w:r w:rsidR="00FC6AB5">
        <w:t>teile an den Fahrzeugen entste</w:t>
      </w:r>
      <w:r>
        <w:t>hen. Sollten nach der Umrüstung Fragen oder Beschwerden auftreten, wird die VW AG diese im Einzelfall aufgreifen und eine individuelle Lösung prüfen.</w:t>
      </w:r>
    </w:p>
    <w:p w:rsidR="006E4BC2" w:rsidRDefault="006E4BC2" w:rsidP="006E4BC2">
      <w:pPr>
        <w:pStyle w:val="LTAntwortRessortText"/>
      </w:pPr>
      <w:r>
        <w:t>Bislang sind keine nennenswerten Probleme aufgrund der Umrüstung aufgetreten.</w:t>
      </w:r>
    </w:p>
    <w:p w:rsidR="00276106" w:rsidRDefault="00276106" w:rsidP="006E4BC2">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Christine</w:t>
            </w:r>
            <w:r w:rsidRPr="006E4BC2">
              <w:rPr>
                <w:b/>
              </w:rPr>
              <w:br/>
              <w:t>Kamm</w:t>
            </w:r>
            <w:r w:rsidRPr="006E4BC2">
              <w:rPr>
                <w:b/>
              </w:rPr>
              <w:br/>
            </w:r>
            <w:r w:rsidRPr="006E4BC2">
              <w:t>(BÜNDNIS 90/DIE GRÜNEN)</w:t>
            </w:r>
            <w:r>
              <w:fldChar w:fldCharType="begin"/>
            </w:r>
            <w:r>
              <w:instrText xml:space="preserve"> TC </w:instrText>
            </w:r>
            <w:r w:rsidR="004A62EF">
              <w:instrText>„</w:instrText>
            </w:r>
            <w:bookmarkStart w:id="10" w:name="_Toc511290229"/>
            <w:r>
              <w:instrText>Kamm, Christine (BÜNDNIS 90/DIE GRÜNEN)</w:instrText>
            </w:r>
            <w:r>
              <w:br/>
              <w:instrText>Sozialleistungssanktionen bei Asylsuchenden</w:instrText>
            </w:r>
            <w:bookmarkEnd w:id="10"/>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276106">
            <w:pPr>
              <w:pStyle w:val="LTAnfrageText"/>
            </w:pPr>
            <w:r>
              <w:t>Ich frage die Staatsregierung, wann genau werden bei welchen Personengruppen von Asylsuchenden in Bayern Sozialleistungssanktionen verhängt und möchte die Staatsregierung in Zukunft</w:t>
            </w:r>
            <w:r w:rsidR="004A62EF">
              <w:t xml:space="preserve"> </w:t>
            </w:r>
            <w:r>
              <w:t>von Sozialleistungssanktionen</w:t>
            </w:r>
            <w:r w:rsidR="004A62EF">
              <w:t xml:space="preserve"> </w:t>
            </w:r>
            <w:r>
              <w:t>nach dem Beschluss des Bayerischen</w:t>
            </w:r>
            <w:r w:rsidR="004A62EF">
              <w:t xml:space="preserve"> </w:t>
            </w:r>
            <w:r>
              <w:t xml:space="preserve">Landessozialgerichts </w:t>
            </w:r>
            <w:r w:rsidR="00EE4F2F">
              <w:t xml:space="preserve">(LSG) </w:t>
            </w:r>
            <w:r>
              <w:t xml:space="preserve">vom 01.03.2018 (LSG München, Beschluss v. 01.03.2018 </w:t>
            </w:r>
            <w:r w:rsidR="00EE4F2F">
              <w:t>–</w:t>
            </w:r>
            <w:r>
              <w:t xml:space="preserve"> L 18 AY 2/18 B ER) absehen?</w:t>
            </w:r>
          </w:p>
        </w:tc>
      </w:tr>
    </w:tbl>
    <w:p w:rsidR="006E4BC2" w:rsidRDefault="006E4BC2" w:rsidP="006E4BC2">
      <w:pPr>
        <w:pStyle w:val="LTUeberschrAntwortRessort"/>
      </w:pPr>
      <w:r>
        <w:t>Antwort des Staatsministeriums des Innern und für Integration</w:t>
      </w:r>
    </w:p>
    <w:p w:rsidR="006E4BC2" w:rsidRDefault="006E4BC2" w:rsidP="00276106">
      <w:pPr>
        <w:pStyle w:val="LTAntwortRessortText"/>
        <w:spacing w:before="120"/>
      </w:pPr>
      <w:r>
        <w:t>Die Sanktionsmöglichkeiten im Leistungsrecht gegen Asylbewerber</w:t>
      </w:r>
      <w:r w:rsidR="00EE4F2F">
        <w:t>innen und -bewerber ergeben sich aus der bun</w:t>
      </w:r>
      <w:r>
        <w:t>desrechtlichen Norm des §1a Asylbewerberleistungsgesetz und r</w:t>
      </w:r>
      <w:r w:rsidR="00EE4F2F">
        <w:t>ichten sich gegen die dort auf</w:t>
      </w:r>
      <w:r>
        <w:t>geführten Personengruppen in diesen Fallkonstellationen. Die Sanktionsmöglichkeiten werden von den zuständigen Behörden im Rahmen des ordnungsge</w:t>
      </w:r>
      <w:r w:rsidR="00EE4F2F">
        <w:t>mäßen Verwaltungshandelns voll</w:t>
      </w:r>
      <w:r>
        <w:t>zogen, entscheidend ist jeder Einzelfall.</w:t>
      </w:r>
    </w:p>
    <w:p w:rsidR="006E4BC2" w:rsidRDefault="006E4BC2" w:rsidP="00276106">
      <w:pPr>
        <w:pStyle w:val="LTAntwortRessortText"/>
        <w:spacing w:before="120"/>
      </w:pPr>
      <w:r>
        <w:t xml:space="preserve">Das </w:t>
      </w:r>
      <w:r w:rsidR="00EE4F2F">
        <w:t>LSG</w:t>
      </w:r>
      <w:r>
        <w:t xml:space="preserve"> hatte in der genannten Entscheidung bei einer Leistungsbehörde Verstöße gegen formale Vorschriften gerügt. Die Vorgaben des Gerichts werden beachtet.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Alexander</w:t>
            </w:r>
            <w:r w:rsidRPr="006E4BC2">
              <w:rPr>
                <w:b/>
              </w:rPr>
              <w:br/>
              <w:t>König</w:t>
            </w:r>
            <w:r w:rsidRPr="006E4BC2">
              <w:rPr>
                <w:b/>
              </w:rPr>
              <w:br/>
            </w:r>
            <w:r w:rsidRPr="006E4BC2">
              <w:t>(CSU)</w:t>
            </w:r>
            <w:r>
              <w:fldChar w:fldCharType="begin"/>
            </w:r>
            <w:r>
              <w:instrText xml:space="preserve"> TC </w:instrText>
            </w:r>
            <w:r w:rsidR="004A62EF">
              <w:instrText>„</w:instrText>
            </w:r>
            <w:bookmarkStart w:id="11" w:name="_Toc511290230"/>
            <w:r>
              <w:instrText>König, Alexander (CSU)</w:instrText>
            </w:r>
            <w:r>
              <w:br/>
              <w:instrText>Ist- und Sollstärke bei den Polizeipräsidien</w:instrText>
            </w:r>
            <w:bookmarkEnd w:id="11"/>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 xml:space="preserve">Ich frage die Staatsregierung, wie hoch </w:t>
            </w:r>
            <w:r w:rsidR="00871411">
              <w:t>sind</w:t>
            </w:r>
            <w:r>
              <w:t xml:space="preserve"> die Iststärke und die Sollstärke der Bayerischen Polizei bei den einzelnen Polizeipräsidien am 09.04.2018, welche prozentuale Abweichung errechnet sich hieraus und welche unvermeidlichen Gründe gibt es hierfür?</w:t>
            </w:r>
          </w:p>
          <w:p w:rsidR="006E4BC2" w:rsidRDefault="006E4BC2" w:rsidP="006E4BC2">
            <w:pPr>
              <w:pStyle w:val="LTAnfrageText"/>
            </w:pPr>
          </w:p>
        </w:tc>
      </w:tr>
    </w:tbl>
    <w:p w:rsidR="006E4BC2" w:rsidRDefault="006E4BC2" w:rsidP="00276106">
      <w:pPr>
        <w:pStyle w:val="LTUeberschrAntwortRessort"/>
        <w:spacing w:before="0"/>
      </w:pPr>
      <w:r>
        <w:t>Antwort des Staatsministeriums des Innern und für Integration</w:t>
      </w:r>
    </w:p>
    <w:p w:rsidR="006E4BC2" w:rsidRDefault="006E4BC2" w:rsidP="00276106">
      <w:pPr>
        <w:pStyle w:val="LTAntwortRessortText"/>
        <w:spacing w:before="120"/>
      </w:pPr>
      <w:r>
        <w:t>Der nachfolgenden Tabelle sind die Soll- und Iststärken der Bayerischen Polizei mit Stand 01.01.2018 (</w:t>
      </w:r>
      <w:r w:rsidR="00871411">
        <w:t>Polizeiverwaltungsamt</w:t>
      </w:r>
      <w:r w:rsidR="00EE4F2F">
        <w:t xml:space="preserve">) – </w:t>
      </w:r>
      <w:r>
        <w:t>PVA mit Stand 01.12.2017) zu entnehmen:</w:t>
      </w:r>
    </w:p>
    <w:p w:rsidR="00EE4F2F" w:rsidRDefault="00EE4F2F" w:rsidP="00276106">
      <w:pPr>
        <w:pStyle w:val="LTAntwortRessortText"/>
        <w:spacing w:before="0"/>
      </w:pPr>
    </w:p>
    <w:tbl>
      <w:tblPr>
        <w:tblStyle w:val="TableNormal"/>
        <w:tblW w:w="0" w:type="auto"/>
        <w:tblInd w:w="432" w:type="dxa"/>
        <w:tblLayout w:type="fixed"/>
        <w:tblLook w:val="01E0" w:firstRow="1" w:lastRow="1" w:firstColumn="1" w:lastColumn="1" w:noHBand="0" w:noVBand="0"/>
      </w:tblPr>
      <w:tblGrid>
        <w:gridCol w:w="3687"/>
        <w:gridCol w:w="1277"/>
        <w:gridCol w:w="1558"/>
      </w:tblGrid>
      <w:tr w:rsidR="00EE4F2F" w:rsidRPr="007E1A78" w:rsidTr="00EE4F2F">
        <w:trPr>
          <w:trHeight w:hRule="exact" w:val="463"/>
        </w:trPr>
        <w:tc>
          <w:tcPr>
            <w:tcW w:w="3687" w:type="dxa"/>
            <w:tcBorders>
              <w:top w:val="single" w:sz="5" w:space="0" w:color="000000"/>
              <w:left w:val="single" w:sz="5" w:space="0" w:color="000000"/>
              <w:bottom w:val="single" w:sz="5" w:space="0" w:color="000000"/>
              <w:right w:val="single" w:sz="8" w:space="0" w:color="000000"/>
            </w:tcBorders>
          </w:tcPr>
          <w:p w:rsidR="00EE4F2F" w:rsidRPr="007E1A78" w:rsidRDefault="00EE4F2F" w:rsidP="002C4514">
            <w:pPr>
              <w:pStyle w:val="TableParagraph"/>
              <w:spacing w:before="17"/>
              <w:ind w:left="66"/>
              <w:rPr>
                <w:rFonts w:ascii="Times New Roman" w:eastAsia="Times New Roman" w:hAnsi="Times New Roman" w:cs="Times New Roman"/>
                <w:sz w:val="20"/>
                <w:szCs w:val="20"/>
              </w:rPr>
            </w:pPr>
            <w:r w:rsidRPr="007E1A78">
              <w:rPr>
                <w:rFonts w:ascii="Times New Roman" w:hAnsi="Times New Roman"/>
                <w:b/>
                <w:spacing w:val="-1"/>
                <w:sz w:val="20"/>
                <w:szCs w:val="20"/>
              </w:rPr>
              <w:t>Landespolizeipräsidien</w:t>
            </w:r>
          </w:p>
        </w:tc>
        <w:tc>
          <w:tcPr>
            <w:tcW w:w="1277" w:type="dxa"/>
            <w:tcBorders>
              <w:top w:val="single" w:sz="5" w:space="0" w:color="000000"/>
              <w:left w:val="single" w:sz="8" w:space="0" w:color="000000"/>
              <w:bottom w:val="single" w:sz="5" w:space="0" w:color="000000"/>
              <w:right w:val="single" w:sz="5" w:space="0" w:color="000000"/>
            </w:tcBorders>
          </w:tcPr>
          <w:p w:rsidR="00EE4F2F" w:rsidRPr="007E1A78" w:rsidRDefault="00EE4F2F" w:rsidP="002C4514">
            <w:pPr>
              <w:pStyle w:val="TableParagraph"/>
              <w:spacing w:before="17"/>
              <w:ind w:left="59"/>
              <w:rPr>
                <w:rFonts w:ascii="Times New Roman" w:eastAsia="Times New Roman" w:hAnsi="Times New Roman" w:cs="Times New Roman"/>
                <w:sz w:val="20"/>
                <w:szCs w:val="20"/>
              </w:rPr>
            </w:pPr>
            <w:r w:rsidRPr="007E1A78">
              <w:rPr>
                <w:rFonts w:ascii="Times New Roman" w:hAnsi="Times New Roman"/>
                <w:b/>
                <w:spacing w:val="-1"/>
                <w:sz w:val="20"/>
                <w:szCs w:val="20"/>
              </w:rPr>
              <w:t>Sollstärke</w:t>
            </w:r>
          </w:p>
        </w:tc>
        <w:tc>
          <w:tcPr>
            <w:tcW w:w="1558" w:type="dxa"/>
            <w:tcBorders>
              <w:top w:val="single" w:sz="5" w:space="0" w:color="000000"/>
              <w:left w:val="single" w:sz="5" w:space="0" w:color="000000"/>
              <w:bottom w:val="single" w:sz="5" w:space="0" w:color="000000"/>
              <w:right w:val="single" w:sz="5" w:space="0" w:color="000000"/>
            </w:tcBorders>
          </w:tcPr>
          <w:p w:rsidR="00EE4F2F" w:rsidRPr="007E1A78" w:rsidRDefault="00EE4F2F" w:rsidP="002C4514">
            <w:pPr>
              <w:pStyle w:val="TableParagraph"/>
              <w:spacing w:before="17"/>
              <w:ind w:left="63"/>
              <w:rPr>
                <w:rFonts w:ascii="Times New Roman" w:eastAsia="Times New Roman" w:hAnsi="Times New Roman" w:cs="Times New Roman"/>
                <w:sz w:val="20"/>
                <w:szCs w:val="20"/>
              </w:rPr>
            </w:pPr>
            <w:r w:rsidRPr="007E1A78">
              <w:rPr>
                <w:rFonts w:ascii="Times New Roman" w:hAnsi="Times New Roman"/>
                <w:b/>
                <w:spacing w:val="-1"/>
                <w:sz w:val="20"/>
                <w:szCs w:val="20"/>
              </w:rPr>
              <w:t>Iststärke</w:t>
            </w:r>
          </w:p>
        </w:tc>
      </w:tr>
      <w:tr w:rsidR="00EE4F2F" w:rsidRPr="007E1A78" w:rsidTr="00EE4F2F">
        <w:trPr>
          <w:trHeight w:hRule="exact" w:val="473"/>
        </w:trPr>
        <w:tc>
          <w:tcPr>
            <w:tcW w:w="3687" w:type="dxa"/>
            <w:tcBorders>
              <w:top w:val="single" w:sz="5" w:space="0" w:color="000000"/>
              <w:left w:val="single" w:sz="5" w:space="0" w:color="000000"/>
              <w:bottom w:val="single" w:sz="8" w:space="0" w:color="000000"/>
              <w:right w:val="single" w:sz="8" w:space="0" w:color="000000"/>
            </w:tcBorders>
          </w:tcPr>
          <w:p w:rsidR="00EE4F2F" w:rsidRPr="007E1A78" w:rsidRDefault="007E1A78" w:rsidP="002C4514">
            <w:pPr>
              <w:pStyle w:val="TableParagraph"/>
              <w:spacing w:before="13"/>
              <w:ind w:left="66"/>
              <w:rPr>
                <w:rFonts w:ascii="Times New Roman" w:eastAsia="Times New Roman" w:hAnsi="Times New Roman" w:cs="Times New Roman"/>
                <w:sz w:val="20"/>
                <w:szCs w:val="20"/>
              </w:rPr>
            </w:pPr>
            <w:r>
              <w:rPr>
                <w:rFonts w:ascii="Times New Roman"/>
                <w:sz w:val="20"/>
                <w:szCs w:val="20"/>
              </w:rPr>
              <w:t>Polizeipr</w:t>
            </w:r>
            <w:r>
              <w:rPr>
                <w:rFonts w:ascii="Times New Roman"/>
                <w:sz w:val="20"/>
                <w:szCs w:val="20"/>
              </w:rPr>
              <w:t>ä</w:t>
            </w:r>
            <w:r>
              <w:rPr>
                <w:rFonts w:ascii="Times New Roman"/>
                <w:sz w:val="20"/>
                <w:szCs w:val="20"/>
              </w:rPr>
              <w:t>sidium (</w:t>
            </w:r>
            <w:r w:rsidR="00EE4F2F" w:rsidRPr="007E1A78">
              <w:rPr>
                <w:rFonts w:ascii="Times New Roman"/>
                <w:sz w:val="20"/>
                <w:szCs w:val="20"/>
              </w:rPr>
              <w:t>PP</w:t>
            </w:r>
            <w:r>
              <w:rPr>
                <w:rFonts w:ascii="Times New Roman"/>
                <w:sz w:val="20"/>
                <w:szCs w:val="20"/>
              </w:rPr>
              <w:t>)</w:t>
            </w:r>
            <w:r w:rsidR="00EE4F2F" w:rsidRPr="007E1A78">
              <w:rPr>
                <w:rFonts w:ascii="Times New Roman"/>
                <w:spacing w:val="-9"/>
                <w:sz w:val="20"/>
                <w:szCs w:val="20"/>
              </w:rPr>
              <w:t xml:space="preserve"> </w:t>
            </w:r>
            <w:r w:rsidR="00EE4F2F" w:rsidRPr="007E1A78">
              <w:rPr>
                <w:rFonts w:ascii="Times New Roman"/>
                <w:spacing w:val="-1"/>
                <w:sz w:val="20"/>
                <w:szCs w:val="20"/>
              </w:rPr>
              <w:t>Mittelfranken</w:t>
            </w:r>
            <w:r w:rsidR="00EE4F2F" w:rsidRPr="007E1A78">
              <w:rPr>
                <w:rFonts w:ascii="Times New Roman"/>
                <w:spacing w:val="-8"/>
                <w:sz w:val="20"/>
                <w:szCs w:val="20"/>
              </w:rPr>
              <w:t xml:space="preserve"> </w:t>
            </w:r>
            <w:r w:rsidR="00EE4F2F" w:rsidRPr="007E1A78">
              <w:rPr>
                <w:rFonts w:ascii="Times New Roman"/>
                <w:spacing w:val="-1"/>
                <w:sz w:val="20"/>
                <w:szCs w:val="20"/>
              </w:rPr>
              <w:t>gesamt</w:t>
            </w:r>
          </w:p>
        </w:tc>
        <w:tc>
          <w:tcPr>
            <w:tcW w:w="1277" w:type="dxa"/>
            <w:tcBorders>
              <w:top w:val="single" w:sz="5" w:space="0" w:color="000000"/>
              <w:left w:val="single" w:sz="8" w:space="0" w:color="000000"/>
              <w:bottom w:val="single" w:sz="8" w:space="0" w:color="000000"/>
              <w:right w:val="single" w:sz="5" w:space="0" w:color="000000"/>
            </w:tcBorders>
          </w:tcPr>
          <w:p w:rsidR="00EE4F2F" w:rsidRPr="007E1A78" w:rsidRDefault="00EE4F2F" w:rsidP="002C4514">
            <w:pPr>
              <w:pStyle w:val="TableParagraph"/>
              <w:spacing w:before="13"/>
              <w:ind w:left="59"/>
              <w:rPr>
                <w:rFonts w:ascii="Times New Roman" w:eastAsia="Times New Roman" w:hAnsi="Times New Roman" w:cs="Times New Roman"/>
                <w:sz w:val="20"/>
                <w:szCs w:val="20"/>
              </w:rPr>
            </w:pPr>
            <w:r w:rsidRPr="007E1A78">
              <w:rPr>
                <w:rFonts w:ascii="Times New Roman"/>
                <w:sz w:val="20"/>
                <w:szCs w:val="20"/>
              </w:rPr>
              <w:t>4.278</w:t>
            </w:r>
          </w:p>
        </w:tc>
        <w:tc>
          <w:tcPr>
            <w:tcW w:w="1558" w:type="dxa"/>
            <w:tcBorders>
              <w:top w:val="single" w:sz="5" w:space="0" w:color="000000"/>
              <w:left w:val="single" w:sz="5" w:space="0" w:color="000000"/>
              <w:bottom w:val="single" w:sz="8" w:space="0" w:color="000000"/>
              <w:right w:val="single" w:sz="5" w:space="0" w:color="000000"/>
            </w:tcBorders>
          </w:tcPr>
          <w:p w:rsidR="00EE4F2F" w:rsidRPr="007E1A78" w:rsidRDefault="00EE4F2F" w:rsidP="002C4514">
            <w:pPr>
              <w:pStyle w:val="TableParagraph"/>
              <w:spacing w:before="13"/>
              <w:ind w:left="63"/>
              <w:rPr>
                <w:rFonts w:ascii="Times New Roman" w:eastAsia="Times New Roman" w:hAnsi="Times New Roman" w:cs="Times New Roman"/>
                <w:sz w:val="20"/>
                <w:szCs w:val="20"/>
              </w:rPr>
            </w:pPr>
            <w:r w:rsidRPr="007E1A78">
              <w:rPr>
                <w:rFonts w:ascii="Times New Roman"/>
                <w:sz w:val="20"/>
                <w:szCs w:val="20"/>
              </w:rPr>
              <w:t>4.267</w:t>
            </w:r>
          </w:p>
        </w:tc>
      </w:tr>
      <w:tr w:rsidR="00EE4F2F" w:rsidRPr="007E1A78" w:rsidTr="00EE4F2F">
        <w:trPr>
          <w:trHeight w:hRule="exact" w:val="475"/>
        </w:trPr>
        <w:tc>
          <w:tcPr>
            <w:tcW w:w="3687" w:type="dxa"/>
            <w:tcBorders>
              <w:top w:val="single" w:sz="8" w:space="0" w:color="000000"/>
              <w:left w:val="single" w:sz="5" w:space="0" w:color="000000"/>
              <w:bottom w:val="single" w:sz="8" w:space="0" w:color="000000"/>
              <w:right w:val="single" w:sz="8" w:space="0" w:color="000000"/>
            </w:tcBorders>
          </w:tcPr>
          <w:p w:rsidR="00EE4F2F" w:rsidRPr="007E1A78" w:rsidRDefault="00EE4F2F" w:rsidP="002C4514">
            <w:pPr>
              <w:pStyle w:val="TableParagraph"/>
              <w:spacing w:before="15"/>
              <w:ind w:left="66"/>
              <w:rPr>
                <w:rFonts w:ascii="Times New Roman" w:eastAsia="Times New Roman" w:hAnsi="Times New Roman" w:cs="Times New Roman"/>
                <w:sz w:val="20"/>
                <w:szCs w:val="20"/>
              </w:rPr>
            </w:pPr>
            <w:r w:rsidRPr="007E1A78">
              <w:rPr>
                <w:rFonts w:ascii="Times New Roman" w:hAnsi="Times New Roman"/>
                <w:sz w:val="20"/>
                <w:szCs w:val="20"/>
              </w:rPr>
              <w:t>PP</w:t>
            </w:r>
            <w:r w:rsidRPr="007E1A78">
              <w:rPr>
                <w:rFonts w:ascii="Times New Roman" w:hAnsi="Times New Roman"/>
                <w:spacing w:val="-4"/>
                <w:sz w:val="20"/>
                <w:szCs w:val="20"/>
              </w:rPr>
              <w:t xml:space="preserve"> </w:t>
            </w:r>
            <w:r w:rsidRPr="007E1A78">
              <w:rPr>
                <w:rFonts w:ascii="Times New Roman" w:hAnsi="Times New Roman"/>
                <w:spacing w:val="-1"/>
                <w:sz w:val="20"/>
                <w:szCs w:val="20"/>
              </w:rPr>
              <w:t>München</w:t>
            </w:r>
            <w:r w:rsidRPr="007E1A78">
              <w:rPr>
                <w:rFonts w:ascii="Times New Roman" w:hAnsi="Times New Roman"/>
                <w:spacing w:val="-3"/>
                <w:sz w:val="20"/>
                <w:szCs w:val="20"/>
              </w:rPr>
              <w:t xml:space="preserve"> </w:t>
            </w:r>
            <w:r w:rsidRPr="007E1A78">
              <w:rPr>
                <w:rFonts w:ascii="Times New Roman" w:hAnsi="Times New Roman"/>
                <w:spacing w:val="-1"/>
                <w:sz w:val="20"/>
                <w:szCs w:val="20"/>
              </w:rPr>
              <w:t>gesamt</w:t>
            </w:r>
          </w:p>
        </w:tc>
        <w:tc>
          <w:tcPr>
            <w:tcW w:w="1277" w:type="dxa"/>
            <w:tcBorders>
              <w:top w:val="single" w:sz="8" w:space="0" w:color="000000"/>
              <w:left w:val="single" w:sz="8" w:space="0" w:color="000000"/>
              <w:bottom w:val="single" w:sz="8" w:space="0" w:color="000000"/>
              <w:right w:val="single" w:sz="5" w:space="0" w:color="000000"/>
            </w:tcBorders>
          </w:tcPr>
          <w:p w:rsidR="00EE4F2F" w:rsidRPr="007E1A78" w:rsidRDefault="00EE4F2F" w:rsidP="002C4514">
            <w:pPr>
              <w:pStyle w:val="TableParagraph"/>
              <w:spacing w:before="15"/>
              <w:ind w:left="59"/>
              <w:rPr>
                <w:rFonts w:ascii="Times New Roman" w:eastAsia="Times New Roman" w:hAnsi="Times New Roman" w:cs="Times New Roman"/>
                <w:sz w:val="20"/>
                <w:szCs w:val="20"/>
              </w:rPr>
            </w:pPr>
            <w:r w:rsidRPr="007E1A78">
              <w:rPr>
                <w:rFonts w:ascii="Times New Roman"/>
                <w:sz w:val="20"/>
                <w:szCs w:val="20"/>
              </w:rPr>
              <w:t>5.622</w:t>
            </w:r>
          </w:p>
        </w:tc>
        <w:tc>
          <w:tcPr>
            <w:tcW w:w="1558" w:type="dxa"/>
            <w:tcBorders>
              <w:top w:val="single" w:sz="8" w:space="0" w:color="000000"/>
              <w:left w:val="single" w:sz="5" w:space="0" w:color="000000"/>
              <w:bottom w:val="single" w:sz="8" w:space="0" w:color="000000"/>
              <w:right w:val="single" w:sz="5" w:space="0" w:color="000000"/>
            </w:tcBorders>
          </w:tcPr>
          <w:p w:rsidR="00EE4F2F" w:rsidRPr="007E1A78" w:rsidRDefault="00EE4F2F" w:rsidP="002C4514">
            <w:pPr>
              <w:pStyle w:val="TableParagraph"/>
              <w:spacing w:before="15"/>
              <w:ind w:left="63"/>
              <w:rPr>
                <w:rFonts w:ascii="Times New Roman" w:eastAsia="Times New Roman" w:hAnsi="Times New Roman" w:cs="Times New Roman"/>
                <w:sz w:val="20"/>
                <w:szCs w:val="20"/>
              </w:rPr>
            </w:pPr>
            <w:r w:rsidRPr="007E1A78">
              <w:rPr>
                <w:rFonts w:ascii="Times New Roman"/>
                <w:sz w:val="20"/>
                <w:szCs w:val="20"/>
              </w:rPr>
              <w:t>5.711</w:t>
            </w:r>
          </w:p>
        </w:tc>
      </w:tr>
      <w:tr w:rsidR="00EE4F2F" w:rsidRPr="007E1A78" w:rsidTr="00EE4F2F">
        <w:trPr>
          <w:trHeight w:hRule="exact" w:val="473"/>
        </w:trPr>
        <w:tc>
          <w:tcPr>
            <w:tcW w:w="3687" w:type="dxa"/>
            <w:tcBorders>
              <w:top w:val="single" w:sz="8" w:space="0" w:color="000000"/>
              <w:left w:val="single" w:sz="5" w:space="0" w:color="000000"/>
              <w:bottom w:val="single" w:sz="8" w:space="0" w:color="000000"/>
              <w:right w:val="single" w:sz="8" w:space="0" w:color="000000"/>
            </w:tcBorders>
          </w:tcPr>
          <w:p w:rsidR="00EE4F2F" w:rsidRPr="007E1A78" w:rsidRDefault="00EE4F2F" w:rsidP="002C4514">
            <w:pPr>
              <w:pStyle w:val="TableParagraph"/>
              <w:spacing w:before="12"/>
              <w:ind w:left="66"/>
              <w:rPr>
                <w:rFonts w:ascii="Times New Roman" w:eastAsia="Times New Roman" w:hAnsi="Times New Roman" w:cs="Times New Roman"/>
                <w:sz w:val="20"/>
                <w:szCs w:val="20"/>
              </w:rPr>
            </w:pPr>
            <w:r w:rsidRPr="007E1A78">
              <w:rPr>
                <w:rFonts w:ascii="Times New Roman"/>
                <w:sz w:val="20"/>
                <w:szCs w:val="20"/>
              </w:rPr>
              <w:t>PP</w:t>
            </w:r>
            <w:r w:rsidRPr="007E1A78">
              <w:rPr>
                <w:rFonts w:ascii="Times New Roman"/>
                <w:spacing w:val="-8"/>
                <w:sz w:val="20"/>
                <w:szCs w:val="20"/>
              </w:rPr>
              <w:t xml:space="preserve"> </w:t>
            </w:r>
            <w:r w:rsidRPr="007E1A78">
              <w:rPr>
                <w:rFonts w:ascii="Times New Roman"/>
                <w:spacing w:val="-1"/>
                <w:sz w:val="20"/>
                <w:szCs w:val="20"/>
              </w:rPr>
              <w:t>Niederbayern</w:t>
            </w:r>
            <w:r w:rsidRPr="007E1A78">
              <w:rPr>
                <w:rFonts w:ascii="Times New Roman"/>
                <w:spacing w:val="-6"/>
                <w:sz w:val="20"/>
                <w:szCs w:val="20"/>
              </w:rPr>
              <w:t xml:space="preserve"> </w:t>
            </w:r>
            <w:r w:rsidRPr="007E1A78">
              <w:rPr>
                <w:rFonts w:ascii="Times New Roman"/>
                <w:spacing w:val="-1"/>
                <w:sz w:val="20"/>
                <w:szCs w:val="20"/>
              </w:rPr>
              <w:t>gesamt</w:t>
            </w:r>
          </w:p>
        </w:tc>
        <w:tc>
          <w:tcPr>
            <w:tcW w:w="1277" w:type="dxa"/>
            <w:tcBorders>
              <w:top w:val="single" w:sz="8" w:space="0" w:color="000000"/>
              <w:left w:val="single" w:sz="8" w:space="0" w:color="000000"/>
              <w:bottom w:val="single" w:sz="8" w:space="0" w:color="000000"/>
              <w:right w:val="single" w:sz="5" w:space="0" w:color="000000"/>
            </w:tcBorders>
          </w:tcPr>
          <w:p w:rsidR="00EE4F2F" w:rsidRPr="007E1A78" w:rsidRDefault="00EE4F2F" w:rsidP="002C4514">
            <w:pPr>
              <w:pStyle w:val="TableParagraph"/>
              <w:spacing w:before="12"/>
              <w:ind w:left="59"/>
              <w:rPr>
                <w:rFonts w:ascii="Times New Roman" w:eastAsia="Times New Roman" w:hAnsi="Times New Roman" w:cs="Times New Roman"/>
                <w:sz w:val="20"/>
                <w:szCs w:val="20"/>
              </w:rPr>
            </w:pPr>
            <w:r w:rsidRPr="007E1A78">
              <w:rPr>
                <w:rFonts w:ascii="Times New Roman"/>
                <w:sz w:val="20"/>
                <w:szCs w:val="20"/>
              </w:rPr>
              <w:t>2.149</w:t>
            </w:r>
          </w:p>
        </w:tc>
        <w:tc>
          <w:tcPr>
            <w:tcW w:w="1558" w:type="dxa"/>
            <w:tcBorders>
              <w:top w:val="single" w:sz="8" w:space="0" w:color="000000"/>
              <w:left w:val="single" w:sz="5" w:space="0" w:color="000000"/>
              <w:bottom w:val="single" w:sz="8" w:space="0" w:color="000000"/>
              <w:right w:val="single" w:sz="5" w:space="0" w:color="000000"/>
            </w:tcBorders>
          </w:tcPr>
          <w:p w:rsidR="00EE4F2F" w:rsidRPr="007E1A78" w:rsidRDefault="00EE4F2F" w:rsidP="002C4514">
            <w:pPr>
              <w:pStyle w:val="TableParagraph"/>
              <w:spacing w:before="12"/>
              <w:ind w:left="63"/>
              <w:rPr>
                <w:rFonts w:ascii="Times New Roman" w:eastAsia="Times New Roman" w:hAnsi="Times New Roman" w:cs="Times New Roman"/>
                <w:sz w:val="20"/>
                <w:szCs w:val="20"/>
              </w:rPr>
            </w:pPr>
            <w:r w:rsidRPr="007E1A78">
              <w:rPr>
                <w:rFonts w:ascii="Times New Roman"/>
                <w:sz w:val="20"/>
                <w:szCs w:val="20"/>
              </w:rPr>
              <w:t>2.129</w:t>
            </w:r>
          </w:p>
        </w:tc>
      </w:tr>
      <w:tr w:rsidR="00EE4F2F" w:rsidRPr="007E1A78" w:rsidTr="00EE4F2F">
        <w:trPr>
          <w:trHeight w:hRule="exact" w:val="475"/>
        </w:trPr>
        <w:tc>
          <w:tcPr>
            <w:tcW w:w="3687" w:type="dxa"/>
            <w:tcBorders>
              <w:top w:val="single" w:sz="8" w:space="0" w:color="000000"/>
              <w:left w:val="single" w:sz="5" w:space="0" w:color="000000"/>
              <w:bottom w:val="single" w:sz="8" w:space="0" w:color="000000"/>
              <w:right w:val="single" w:sz="8" w:space="0" w:color="000000"/>
            </w:tcBorders>
          </w:tcPr>
          <w:p w:rsidR="00EE4F2F" w:rsidRPr="007E1A78" w:rsidRDefault="00EE4F2F" w:rsidP="002C4514">
            <w:pPr>
              <w:pStyle w:val="TableParagraph"/>
              <w:spacing w:before="15"/>
              <w:ind w:left="66"/>
              <w:rPr>
                <w:rFonts w:ascii="Times New Roman" w:eastAsia="Times New Roman" w:hAnsi="Times New Roman" w:cs="Times New Roman"/>
                <w:sz w:val="20"/>
                <w:szCs w:val="20"/>
              </w:rPr>
            </w:pPr>
            <w:r w:rsidRPr="007E1A78">
              <w:rPr>
                <w:rFonts w:ascii="Times New Roman"/>
                <w:sz w:val="20"/>
                <w:szCs w:val="20"/>
              </w:rPr>
              <w:t>PP</w:t>
            </w:r>
            <w:r w:rsidRPr="007E1A78">
              <w:rPr>
                <w:rFonts w:ascii="Times New Roman"/>
                <w:spacing w:val="-3"/>
                <w:sz w:val="20"/>
                <w:szCs w:val="20"/>
              </w:rPr>
              <w:t xml:space="preserve"> </w:t>
            </w:r>
            <w:r w:rsidRPr="007E1A78">
              <w:rPr>
                <w:rFonts w:ascii="Times New Roman"/>
                <w:spacing w:val="-1"/>
                <w:sz w:val="20"/>
                <w:szCs w:val="20"/>
              </w:rPr>
              <w:t>Oberbayern</w:t>
            </w:r>
            <w:r w:rsidRPr="007E1A78">
              <w:rPr>
                <w:rFonts w:ascii="Times New Roman"/>
                <w:spacing w:val="-3"/>
                <w:sz w:val="20"/>
                <w:szCs w:val="20"/>
              </w:rPr>
              <w:t xml:space="preserve"> </w:t>
            </w:r>
            <w:r w:rsidRPr="007E1A78">
              <w:rPr>
                <w:rFonts w:ascii="Times New Roman"/>
                <w:sz w:val="20"/>
                <w:szCs w:val="20"/>
              </w:rPr>
              <w:t>Nord</w:t>
            </w:r>
            <w:r w:rsidRPr="007E1A78">
              <w:rPr>
                <w:rFonts w:ascii="Times New Roman"/>
                <w:spacing w:val="-2"/>
                <w:sz w:val="20"/>
                <w:szCs w:val="20"/>
              </w:rPr>
              <w:t xml:space="preserve"> </w:t>
            </w:r>
            <w:r w:rsidRPr="007E1A78">
              <w:rPr>
                <w:rFonts w:ascii="Times New Roman"/>
                <w:spacing w:val="-1"/>
                <w:sz w:val="20"/>
                <w:szCs w:val="20"/>
              </w:rPr>
              <w:t>gesamt</w:t>
            </w:r>
          </w:p>
        </w:tc>
        <w:tc>
          <w:tcPr>
            <w:tcW w:w="1277" w:type="dxa"/>
            <w:tcBorders>
              <w:top w:val="single" w:sz="8" w:space="0" w:color="000000"/>
              <w:left w:val="single" w:sz="8" w:space="0" w:color="000000"/>
              <w:bottom w:val="single" w:sz="8" w:space="0" w:color="000000"/>
              <w:right w:val="single" w:sz="5" w:space="0" w:color="000000"/>
            </w:tcBorders>
          </w:tcPr>
          <w:p w:rsidR="00EE4F2F" w:rsidRPr="007E1A78" w:rsidRDefault="00EE4F2F" w:rsidP="002C4514">
            <w:pPr>
              <w:pStyle w:val="TableParagraph"/>
              <w:spacing w:before="15"/>
              <w:ind w:left="59"/>
              <w:rPr>
                <w:rFonts w:ascii="Times New Roman" w:eastAsia="Times New Roman" w:hAnsi="Times New Roman" w:cs="Times New Roman"/>
                <w:sz w:val="20"/>
                <w:szCs w:val="20"/>
              </w:rPr>
            </w:pPr>
            <w:r w:rsidRPr="007E1A78">
              <w:rPr>
                <w:rFonts w:ascii="Times New Roman"/>
                <w:sz w:val="20"/>
                <w:szCs w:val="20"/>
              </w:rPr>
              <w:t>2.536</w:t>
            </w:r>
          </w:p>
        </w:tc>
        <w:tc>
          <w:tcPr>
            <w:tcW w:w="1558" w:type="dxa"/>
            <w:tcBorders>
              <w:top w:val="single" w:sz="8" w:space="0" w:color="000000"/>
              <w:left w:val="single" w:sz="5" w:space="0" w:color="000000"/>
              <w:bottom w:val="single" w:sz="8" w:space="0" w:color="000000"/>
              <w:right w:val="single" w:sz="5" w:space="0" w:color="000000"/>
            </w:tcBorders>
          </w:tcPr>
          <w:p w:rsidR="00EE4F2F" w:rsidRPr="007E1A78" w:rsidRDefault="00EE4F2F" w:rsidP="002C4514">
            <w:pPr>
              <w:pStyle w:val="TableParagraph"/>
              <w:spacing w:before="15"/>
              <w:ind w:left="63"/>
              <w:rPr>
                <w:rFonts w:ascii="Times New Roman" w:eastAsia="Times New Roman" w:hAnsi="Times New Roman" w:cs="Times New Roman"/>
                <w:sz w:val="20"/>
                <w:szCs w:val="20"/>
              </w:rPr>
            </w:pPr>
            <w:r w:rsidRPr="007E1A78">
              <w:rPr>
                <w:rFonts w:ascii="Times New Roman"/>
                <w:sz w:val="20"/>
                <w:szCs w:val="20"/>
              </w:rPr>
              <w:t>2.477</w:t>
            </w:r>
          </w:p>
        </w:tc>
      </w:tr>
      <w:tr w:rsidR="00EE4F2F" w:rsidRPr="007E1A78" w:rsidTr="00EE4F2F">
        <w:trPr>
          <w:trHeight w:hRule="exact" w:val="473"/>
        </w:trPr>
        <w:tc>
          <w:tcPr>
            <w:tcW w:w="3687" w:type="dxa"/>
            <w:tcBorders>
              <w:top w:val="single" w:sz="8" w:space="0" w:color="000000"/>
              <w:left w:val="single" w:sz="5" w:space="0" w:color="000000"/>
              <w:bottom w:val="single" w:sz="8" w:space="0" w:color="000000"/>
              <w:right w:val="single" w:sz="8" w:space="0" w:color="000000"/>
            </w:tcBorders>
          </w:tcPr>
          <w:p w:rsidR="00EE4F2F" w:rsidRPr="007E1A78" w:rsidRDefault="00EE4F2F" w:rsidP="002C4514">
            <w:pPr>
              <w:pStyle w:val="TableParagraph"/>
              <w:spacing w:before="12"/>
              <w:ind w:left="66"/>
              <w:rPr>
                <w:rFonts w:ascii="Times New Roman" w:eastAsia="Times New Roman" w:hAnsi="Times New Roman" w:cs="Times New Roman"/>
                <w:sz w:val="20"/>
                <w:szCs w:val="20"/>
              </w:rPr>
            </w:pPr>
            <w:r w:rsidRPr="007E1A78">
              <w:rPr>
                <w:rFonts w:ascii="Times New Roman" w:hAnsi="Times New Roman"/>
                <w:sz w:val="20"/>
                <w:szCs w:val="20"/>
              </w:rPr>
              <w:t>PP</w:t>
            </w:r>
            <w:r w:rsidRPr="007E1A78">
              <w:rPr>
                <w:rFonts w:ascii="Times New Roman" w:hAnsi="Times New Roman"/>
                <w:spacing w:val="-3"/>
                <w:sz w:val="20"/>
                <w:szCs w:val="20"/>
              </w:rPr>
              <w:t xml:space="preserve"> </w:t>
            </w:r>
            <w:r w:rsidRPr="007E1A78">
              <w:rPr>
                <w:rFonts w:ascii="Times New Roman" w:hAnsi="Times New Roman"/>
                <w:spacing w:val="-1"/>
                <w:sz w:val="20"/>
                <w:szCs w:val="20"/>
              </w:rPr>
              <w:t>Oberbayern</w:t>
            </w:r>
            <w:r w:rsidRPr="007E1A78">
              <w:rPr>
                <w:rFonts w:ascii="Times New Roman" w:hAnsi="Times New Roman"/>
                <w:spacing w:val="-3"/>
                <w:sz w:val="20"/>
                <w:szCs w:val="20"/>
              </w:rPr>
              <w:t xml:space="preserve"> </w:t>
            </w:r>
            <w:r w:rsidRPr="007E1A78">
              <w:rPr>
                <w:rFonts w:ascii="Times New Roman" w:hAnsi="Times New Roman"/>
                <w:sz w:val="20"/>
                <w:szCs w:val="20"/>
              </w:rPr>
              <w:t>Süd</w:t>
            </w:r>
            <w:r w:rsidRPr="007E1A78">
              <w:rPr>
                <w:rFonts w:ascii="Times New Roman" w:hAnsi="Times New Roman"/>
                <w:spacing w:val="-1"/>
                <w:sz w:val="20"/>
                <w:szCs w:val="20"/>
              </w:rPr>
              <w:t xml:space="preserve"> gesamt</w:t>
            </w:r>
          </w:p>
        </w:tc>
        <w:tc>
          <w:tcPr>
            <w:tcW w:w="1277" w:type="dxa"/>
            <w:tcBorders>
              <w:top w:val="single" w:sz="8" w:space="0" w:color="000000"/>
              <w:left w:val="single" w:sz="8" w:space="0" w:color="000000"/>
              <w:bottom w:val="single" w:sz="8" w:space="0" w:color="000000"/>
              <w:right w:val="single" w:sz="5" w:space="0" w:color="000000"/>
            </w:tcBorders>
          </w:tcPr>
          <w:p w:rsidR="00EE4F2F" w:rsidRPr="007E1A78" w:rsidRDefault="00EE4F2F" w:rsidP="002C4514">
            <w:pPr>
              <w:pStyle w:val="TableParagraph"/>
              <w:spacing w:before="12"/>
              <w:ind w:left="59"/>
              <w:rPr>
                <w:rFonts w:ascii="Times New Roman" w:eastAsia="Times New Roman" w:hAnsi="Times New Roman" w:cs="Times New Roman"/>
                <w:sz w:val="20"/>
                <w:szCs w:val="20"/>
              </w:rPr>
            </w:pPr>
            <w:r w:rsidRPr="007E1A78">
              <w:rPr>
                <w:rFonts w:ascii="Times New Roman"/>
                <w:sz w:val="20"/>
                <w:szCs w:val="20"/>
              </w:rPr>
              <w:t>2.481</w:t>
            </w:r>
          </w:p>
        </w:tc>
        <w:tc>
          <w:tcPr>
            <w:tcW w:w="1558" w:type="dxa"/>
            <w:tcBorders>
              <w:top w:val="single" w:sz="8" w:space="0" w:color="000000"/>
              <w:left w:val="single" w:sz="5" w:space="0" w:color="000000"/>
              <w:bottom w:val="single" w:sz="8" w:space="0" w:color="000000"/>
              <w:right w:val="single" w:sz="5" w:space="0" w:color="000000"/>
            </w:tcBorders>
          </w:tcPr>
          <w:p w:rsidR="00EE4F2F" w:rsidRPr="007E1A78" w:rsidRDefault="00EE4F2F" w:rsidP="002C4514">
            <w:pPr>
              <w:pStyle w:val="TableParagraph"/>
              <w:spacing w:before="12"/>
              <w:ind w:left="63"/>
              <w:rPr>
                <w:rFonts w:ascii="Times New Roman" w:eastAsia="Times New Roman" w:hAnsi="Times New Roman" w:cs="Times New Roman"/>
                <w:sz w:val="20"/>
                <w:szCs w:val="20"/>
              </w:rPr>
            </w:pPr>
            <w:r w:rsidRPr="007E1A78">
              <w:rPr>
                <w:rFonts w:ascii="Times New Roman"/>
                <w:sz w:val="20"/>
                <w:szCs w:val="20"/>
              </w:rPr>
              <w:t>2.462</w:t>
            </w:r>
          </w:p>
        </w:tc>
      </w:tr>
      <w:tr w:rsidR="00EE4F2F" w:rsidRPr="007E1A78" w:rsidTr="00EE4F2F">
        <w:trPr>
          <w:trHeight w:hRule="exact" w:val="475"/>
        </w:trPr>
        <w:tc>
          <w:tcPr>
            <w:tcW w:w="3687" w:type="dxa"/>
            <w:tcBorders>
              <w:top w:val="single" w:sz="8" w:space="0" w:color="000000"/>
              <w:left w:val="single" w:sz="5" w:space="0" w:color="000000"/>
              <w:bottom w:val="single" w:sz="8" w:space="0" w:color="000000"/>
              <w:right w:val="single" w:sz="8" w:space="0" w:color="000000"/>
            </w:tcBorders>
          </w:tcPr>
          <w:p w:rsidR="00EE4F2F" w:rsidRPr="007E1A78" w:rsidRDefault="00EE4F2F" w:rsidP="002C4514">
            <w:pPr>
              <w:pStyle w:val="TableParagraph"/>
              <w:spacing w:before="15"/>
              <w:ind w:left="66"/>
              <w:rPr>
                <w:rFonts w:ascii="Times New Roman" w:eastAsia="Times New Roman" w:hAnsi="Times New Roman" w:cs="Times New Roman"/>
                <w:sz w:val="20"/>
                <w:szCs w:val="20"/>
              </w:rPr>
            </w:pPr>
            <w:r w:rsidRPr="007E1A78">
              <w:rPr>
                <w:rFonts w:ascii="Times New Roman"/>
                <w:sz w:val="20"/>
                <w:szCs w:val="20"/>
              </w:rPr>
              <w:t>PP</w:t>
            </w:r>
            <w:r w:rsidRPr="007E1A78">
              <w:rPr>
                <w:rFonts w:ascii="Times New Roman"/>
                <w:spacing w:val="-4"/>
                <w:sz w:val="20"/>
                <w:szCs w:val="20"/>
              </w:rPr>
              <w:t xml:space="preserve"> </w:t>
            </w:r>
            <w:r w:rsidRPr="007E1A78">
              <w:rPr>
                <w:rFonts w:ascii="Times New Roman"/>
                <w:spacing w:val="-1"/>
                <w:sz w:val="20"/>
                <w:szCs w:val="20"/>
              </w:rPr>
              <w:t>Oberfranken gesamt</w:t>
            </w:r>
          </w:p>
        </w:tc>
        <w:tc>
          <w:tcPr>
            <w:tcW w:w="1277" w:type="dxa"/>
            <w:tcBorders>
              <w:top w:val="single" w:sz="8" w:space="0" w:color="000000"/>
              <w:left w:val="single" w:sz="8" w:space="0" w:color="000000"/>
              <w:bottom w:val="single" w:sz="8" w:space="0" w:color="000000"/>
              <w:right w:val="single" w:sz="5" w:space="0" w:color="000000"/>
            </w:tcBorders>
          </w:tcPr>
          <w:p w:rsidR="00EE4F2F" w:rsidRPr="007E1A78" w:rsidRDefault="00EE4F2F" w:rsidP="002C4514">
            <w:pPr>
              <w:pStyle w:val="TableParagraph"/>
              <w:spacing w:before="15"/>
              <w:ind w:left="59"/>
              <w:rPr>
                <w:rFonts w:ascii="Times New Roman" w:eastAsia="Times New Roman" w:hAnsi="Times New Roman" w:cs="Times New Roman"/>
                <w:sz w:val="20"/>
                <w:szCs w:val="20"/>
              </w:rPr>
            </w:pPr>
            <w:r w:rsidRPr="007E1A78">
              <w:rPr>
                <w:rFonts w:ascii="Times New Roman"/>
                <w:sz w:val="20"/>
                <w:szCs w:val="20"/>
              </w:rPr>
              <w:t>2.279</w:t>
            </w:r>
          </w:p>
        </w:tc>
        <w:tc>
          <w:tcPr>
            <w:tcW w:w="1558" w:type="dxa"/>
            <w:tcBorders>
              <w:top w:val="single" w:sz="8" w:space="0" w:color="000000"/>
              <w:left w:val="single" w:sz="5" w:space="0" w:color="000000"/>
              <w:bottom w:val="single" w:sz="8" w:space="0" w:color="000000"/>
              <w:right w:val="single" w:sz="5" w:space="0" w:color="000000"/>
            </w:tcBorders>
          </w:tcPr>
          <w:p w:rsidR="00EE4F2F" w:rsidRPr="007E1A78" w:rsidRDefault="00EE4F2F" w:rsidP="002C4514">
            <w:pPr>
              <w:pStyle w:val="TableParagraph"/>
              <w:spacing w:before="15"/>
              <w:ind w:left="63"/>
              <w:rPr>
                <w:rFonts w:ascii="Times New Roman" w:eastAsia="Times New Roman" w:hAnsi="Times New Roman" w:cs="Times New Roman"/>
                <w:sz w:val="20"/>
                <w:szCs w:val="20"/>
              </w:rPr>
            </w:pPr>
            <w:r w:rsidRPr="007E1A78">
              <w:rPr>
                <w:rFonts w:ascii="Times New Roman"/>
                <w:sz w:val="20"/>
                <w:szCs w:val="20"/>
              </w:rPr>
              <w:t>2.223</w:t>
            </w:r>
          </w:p>
        </w:tc>
      </w:tr>
      <w:tr w:rsidR="00EE4F2F" w:rsidRPr="007E1A78" w:rsidTr="00EE4F2F">
        <w:trPr>
          <w:trHeight w:hRule="exact" w:val="473"/>
        </w:trPr>
        <w:tc>
          <w:tcPr>
            <w:tcW w:w="3687" w:type="dxa"/>
            <w:tcBorders>
              <w:top w:val="single" w:sz="8" w:space="0" w:color="000000"/>
              <w:left w:val="single" w:sz="5" w:space="0" w:color="000000"/>
              <w:bottom w:val="single" w:sz="8" w:space="0" w:color="000000"/>
              <w:right w:val="single" w:sz="8" w:space="0" w:color="000000"/>
            </w:tcBorders>
          </w:tcPr>
          <w:p w:rsidR="00EE4F2F" w:rsidRPr="007E1A78" w:rsidRDefault="00EE4F2F" w:rsidP="002C4514">
            <w:pPr>
              <w:pStyle w:val="TableParagraph"/>
              <w:spacing w:before="12"/>
              <w:ind w:left="66"/>
              <w:rPr>
                <w:rFonts w:ascii="Times New Roman" w:eastAsia="Times New Roman" w:hAnsi="Times New Roman" w:cs="Times New Roman"/>
                <w:sz w:val="20"/>
                <w:szCs w:val="20"/>
              </w:rPr>
            </w:pPr>
            <w:r w:rsidRPr="007E1A78">
              <w:rPr>
                <w:rFonts w:ascii="Times New Roman"/>
                <w:sz w:val="20"/>
                <w:szCs w:val="20"/>
              </w:rPr>
              <w:t>PP</w:t>
            </w:r>
            <w:r w:rsidRPr="007E1A78">
              <w:rPr>
                <w:rFonts w:ascii="Times New Roman"/>
                <w:spacing w:val="-4"/>
                <w:sz w:val="20"/>
                <w:szCs w:val="20"/>
              </w:rPr>
              <w:t xml:space="preserve"> </w:t>
            </w:r>
            <w:r w:rsidRPr="007E1A78">
              <w:rPr>
                <w:rFonts w:ascii="Times New Roman"/>
                <w:spacing w:val="-1"/>
                <w:sz w:val="20"/>
                <w:szCs w:val="20"/>
              </w:rPr>
              <w:t>Oberpfalz</w:t>
            </w:r>
            <w:r w:rsidRPr="007E1A78">
              <w:rPr>
                <w:rFonts w:ascii="Times New Roman"/>
                <w:spacing w:val="-3"/>
                <w:sz w:val="20"/>
                <w:szCs w:val="20"/>
              </w:rPr>
              <w:t xml:space="preserve"> </w:t>
            </w:r>
            <w:r w:rsidRPr="007E1A78">
              <w:rPr>
                <w:rFonts w:ascii="Times New Roman"/>
                <w:spacing w:val="-1"/>
                <w:sz w:val="20"/>
                <w:szCs w:val="20"/>
              </w:rPr>
              <w:t>gesamt</w:t>
            </w:r>
          </w:p>
        </w:tc>
        <w:tc>
          <w:tcPr>
            <w:tcW w:w="1277" w:type="dxa"/>
            <w:tcBorders>
              <w:top w:val="single" w:sz="8" w:space="0" w:color="000000"/>
              <w:left w:val="single" w:sz="8" w:space="0" w:color="000000"/>
              <w:bottom w:val="single" w:sz="8" w:space="0" w:color="000000"/>
              <w:right w:val="single" w:sz="5" w:space="0" w:color="000000"/>
            </w:tcBorders>
          </w:tcPr>
          <w:p w:rsidR="00EE4F2F" w:rsidRPr="007E1A78" w:rsidRDefault="00EE4F2F" w:rsidP="002C4514">
            <w:pPr>
              <w:pStyle w:val="TableParagraph"/>
              <w:spacing w:before="12"/>
              <w:ind w:left="59"/>
              <w:rPr>
                <w:rFonts w:ascii="Times New Roman" w:eastAsia="Times New Roman" w:hAnsi="Times New Roman" w:cs="Times New Roman"/>
                <w:sz w:val="20"/>
                <w:szCs w:val="20"/>
              </w:rPr>
            </w:pPr>
            <w:r w:rsidRPr="007E1A78">
              <w:rPr>
                <w:rFonts w:ascii="Times New Roman"/>
                <w:sz w:val="20"/>
                <w:szCs w:val="20"/>
              </w:rPr>
              <w:t>2.242</w:t>
            </w:r>
          </w:p>
        </w:tc>
        <w:tc>
          <w:tcPr>
            <w:tcW w:w="1558" w:type="dxa"/>
            <w:tcBorders>
              <w:top w:val="single" w:sz="8" w:space="0" w:color="000000"/>
              <w:left w:val="single" w:sz="5" w:space="0" w:color="000000"/>
              <w:bottom w:val="single" w:sz="8" w:space="0" w:color="000000"/>
              <w:right w:val="single" w:sz="5" w:space="0" w:color="000000"/>
            </w:tcBorders>
          </w:tcPr>
          <w:p w:rsidR="00EE4F2F" w:rsidRPr="007E1A78" w:rsidRDefault="00EE4F2F" w:rsidP="002C4514">
            <w:pPr>
              <w:pStyle w:val="TableParagraph"/>
              <w:spacing w:before="12"/>
              <w:ind w:left="63"/>
              <w:rPr>
                <w:rFonts w:ascii="Times New Roman" w:eastAsia="Times New Roman" w:hAnsi="Times New Roman" w:cs="Times New Roman"/>
                <w:sz w:val="20"/>
                <w:szCs w:val="20"/>
              </w:rPr>
            </w:pPr>
            <w:r w:rsidRPr="007E1A78">
              <w:rPr>
                <w:rFonts w:ascii="Times New Roman"/>
                <w:sz w:val="20"/>
                <w:szCs w:val="20"/>
              </w:rPr>
              <w:t>2.226</w:t>
            </w:r>
          </w:p>
        </w:tc>
      </w:tr>
      <w:tr w:rsidR="00EE4F2F" w:rsidRPr="007E1A78" w:rsidTr="00EE4F2F">
        <w:trPr>
          <w:trHeight w:hRule="exact" w:val="476"/>
        </w:trPr>
        <w:tc>
          <w:tcPr>
            <w:tcW w:w="3687" w:type="dxa"/>
            <w:tcBorders>
              <w:top w:val="single" w:sz="8" w:space="0" w:color="000000"/>
              <w:left w:val="single" w:sz="5" w:space="0" w:color="000000"/>
              <w:bottom w:val="single" w:sz="8" w:space="0" w:color="000000"/>
              <w:right w:val="single" w:sz="8" w:space="0" w:color="000000"/>
            </w:tcBorders>
          </w:tcPr>
          <w:p w:rsidR="00EE4F2F" w:rsidRPr="007E1A78" w:rsidRDefault="00EE4F2F" w:rsidP="002C4514">
            <w:pPr>
              <w:pStyle w:val="TableParagraph"/>
              <w:spacing w:before="15"/>
              <w:ind w:left="66"/>
              <w:rPr>
                <w:rFonts w:ascii="Times New Roman" w:eastAsia="Times New Roman" w:hAnsi="Times New Roman" w:cs="Times New Roman"/>
                <w:sz w:val="20"/>
                <w:szCs w:val="20"/>
              </w:rPr>
            </w:pPr>
            <w:r w:rsidRPr="007E1A78">
              <w:rPr>
                <w:rFonts w:ascii="Times New Roman"/>
                <w:sz w:val="20"/>
                <w:szCs w:val="20"/>
              </w:rPr>
              <w:t>PP</w:t>
            </w:r>
            <w:r w:rsidRPr="007E1A78">
              <w:rPr>
                <w:rFonts w:ascii="Times New Roman"/>
                <w:spacing w:val="-3"/>
                <w:sz w:val="20"/>
                <w:szCs w:val="20"/>
              </w:rPr>
              <w:t xml:space="preserve"> </w:t>
            </w:r>
            <w:r w:rsidRPr="007E1A78">
              <w:rPr>
                <w:rFonts w:ascii="Times New Roman"/>
                <w:spacing w:val="-1"/>
                <w:sz w:val="20"/>
                <w:szCs w:val="20"/>
              </w:rPr>
              <w:t>Schwaben</w:t>
            </w:r>
            <w:r w:rsidRPr="007E1A78">
              <w:rPr>
                <w:rFonts w:ascii="Times New Roman"/>
                <w:spacing w:val="-2"/>
                <w:sz w:val="20"/>
                <w:szCs w:val="20"/>
              </w:rPr>
              <w:t xml:space="preserve"> </w:t>
            </w:r>
            <w:r w:rsidRPr="007E1A78">
              <w:rPr>
                <w:rFonts w:ascii="Times New Roman"/>
                <w:spacing w:val="-1"/>
                <w:sz w:val="20"/>
                <w:szCs w:val="20"/>
              </w:rPr>
              <w:t>Nord</w:t>
            </w:r>
            <w:r w:rsidRPr="007E1A78">
              <w:rPr>
                <w:rFonts w:ascii="Times New Roman"/>
                <w:sz w:val="20"/>
                <w:szCs w:val="20"/>
              </w:rPr>
              <w:t xml:space="preserve"> </w:t>
            </w:r>
            <w:r w:rsidRPr="007E1A78">
              <w:rPr>
                <w:rFonts w:ascii="Times New Roman"/>
                <w:spacing w:val="-1"/>
                <w:sz w:val="20"/>
                <w:szCs w:val="20"/>
              </w:rPr>
              <w:t>gesamt</w:t>
            </w:r>
          </w:p>
        </w:tc>
        <w:tc>
          <w:tcPr>
            <w:tcW w:w="1277" w:type="dxa"/>
            <w:tcBorders>
              <w:top w:val="single" w:sz="8" w:space="0" w:color="000000"/>
              <w:left w:val="single" w:sz="8" w:space="0" w:color="000000"/>
              <w:bottom w:val="single" w:sz="8" w:space="0" w:color="000000"/>
              <w:right w:val="single" w:sz="5" w:space="0" w:color="000000"/>
            </w:tcBorders>
          </w:tcPr>
          <w:p w:rsidR="00EE4F2F" w:rsidRPr="007E1A78" w:rsidRDefault="00EE4F2F" w:rsidP="002C4514">
            <w:pPr>
              <w:pStyle w:val="TableParagraph"/>
              <w:spacing w:before="15"/>
              <w:ind w:left="59"/>
              <w:rPr>
                <w:rFonts w:ascii="Times New Roman" w:eastAsia="Times New Roman" w:hAnsi="Times New Roman" w:cs="Times New Roman"/>
                <w:sz w:val="20"/>
                <w:szCs w:val="20"/>
              </w:rPr>
            </w:pPr>
            <w:r w:rsidRPr="007E1A78">
              <w:rPr>
                <w:rFonts w:ascii="Times New Roman"/>
                <w:sz w:val="20"/>
                <w:szCs w:val="20"/>
              </w:rPr>
              <w:t>1.688</w:t>
            </w:r>
          </w:p>
        </w:tc>
        <w:tc>
          <w:tcPr>
            <w:tcW w:w="1558" w:type="dxa"/>
            <w:tcBorders>
              <w:top w:val="single" w:sz="8" w:space="0" w:color="000000"/>
              <w:left w:val="single" w:sz="5" w:space="0" w:color="000000"/>
              <w:bottom w:val="single" w:sz="8" w:space="0" w:color="000000"/>
              <w:right w:val="single" w:sz="5" w:space="0" w:color="000000"/>
            </w:tcBorders>
          </w:tcPr>
          <w:p w:rsidR="00EE4F2F" w:rsidRPr="007E1A78" w:rsidRDefault="00EE4F2F" w:rsidP="002C4514">
            <w:pPr>
              <w:pStyle w:val="TableParagraph"/>
              <w:spacing w:before="15"/>
              <w:ind w:left="63"/>
              <w:rPr>
                <w:rFonts w:ascii="Times New Roman" w:eastAsia="Times New Roman" w:hAnsi="Times New Roman" w:cs="Times New Roman"/>
                <w:sz w:val="20"/>
                <w:szCs w:val="20"/>
              </w:rPr>
            </w:pPr>
            <w:r w:rsidRPr="007E1A78">
              <w:rPr>
                <w:rFonts w:ascii="Times New Roman"/>
                <w:sz w:val="20"/>
                <w:szCs w:val="20"/>
              </w:rPr>
              <w:t>1.695</w:t>
            </w:r>
          </w:p>
        </w:tc>
      </w:tr>
      <w:tr w:rsidR="00EE4F2F" w:rsidRPr="007E1A78" w:rsidTr="00EE4F2F">
        <w:trPr>
          <w:trHeight w:hRule="exact" w:val="473"/>
        </w:trPr>
        <w:tc>
          <w:tcPr>
            <w:tcW w:w="3687" w:type="dxa"/>
            <w:tcBorders>
              <w:top w:val="single" w:sz="8" w:space="0" w:color="000000"/>
              <w:left w:val="single" w:sz="5" w:space="0" w:color="000000"/>
              <w:bottom w:val="single" w:sz="8" w:space="0" w:color="000000"/>
              <w:right w:val="single" w:sz="8" w:space="0" w:color="000000"/>
            </w:tcBorders>
          </w:tcPr>
          <w:p w:rsidR="00EE4F2F" w:rsidRPr="007E1A78" w:rsidRDefault="00EE4F2F" w:rsidP="002C4514">
            <w:pPr>
              <w:pStyle w:val="TableParagraph"/>
              <w:spacing w:before="12"/>
              <w:ind w:left="66"/>
              <w:rPr>
                <w:rFonts w:ascii="Times New Roman" w:eastAsia="Times New Roman" w:hAnsi="Times New Roman" w:cs="Times New Roman"/>
                <w:sz w:val="20"/>
                <w:szCs w:val="20"/>
              </w:rPr>
            </w:pPr>
            <w:r w:rsidRPr="007E1A78">
              <w:rPr>
                <w:rFonts w:ascii="Times New Roman" w:hAnsi="Times New Roman"/>
                <w:sz w:val="20"/>
                <w:szCs w:val="20"/>
              </w:rPr>
              <w:t>PP</w:t>
            </w:r>
            <w:r w:rsidRPr="007E1A78">
              <w:rPr>
                <w:rFonts w:ascii="Times New Roman" w:hAnsi="Times New Roman"/>
                <w:spacing w:val="-6"/>
                <w:sz w:val="20"/>
                <w:szCs w:val="20"/>
              </w:rPr>
              <w:t xml:space="preserve"> </w:t>
            </w:r>
            <w:r w:rsidRPr="007E1A78">
              <w:rPr>
                <w:rFonts w:ascii="Times New Roman" w:hAnsi="Times New Roman"/>
                <w:spacing w:val="-1"/>
                <w:sz w:val="20"/>
                <w:szCs w:val="20"/>
              </w:rPr>
              <w:t>Schwaben</w:t>
            </w:r>
            <w:r w:rsidRPr="007E1A78">
              <w:rPr>
                <w:rFonts w:ascii="Times New Roman" w:hAnsi="Times New Roman"/>
                <w:spacing w:val="-5"/>
                <w:sz w:val="20"/>
                <w:szCs w:val="20"/>
              </w:rPr>
              <w:t xml:space="preserve"> </w:t>
            </w:r>
            <w:r w:rsidRPr="007E1A78">
              <w:rPr>
                <w:rFonts w:ascii="Times New Roman" w:hAnsi="Times New Roman"/>
                <w:spacing w:val="-1"/>
                <w:sz w:val="20"/>
                <w:szCs w:val="20"/>
              </w:rPr>
              <w:t>Süd/West</w:t>
            </w:r>
            <w:r w:rsidRPr="007E1A78">
              <w:rPr>
                <w:rFonts w:ascii="Times New Roman" w:hAnsi="Times New Roman"/>
                <w:spacing w:val="-7"/>
                <w:sz w:val="20"/>
                <w:szCs w:val="20"/>
              </w:rPr>
              <w:t xml:space="preserve"> </w:t>
            </w:r>
            <w:r w:rsidRPr="007E1A78">
              <w:rPr>
                <w:rFonts w:ascii="Times New Roman" w:hAnsi="Times New Roman"/>
                <w:spacing w:val="-1"/>
                <w:sz w:val="20"/>
                <w:szCs w:val="20"/>
              </w:rPr>
              <w:t>gesamt</w:t>
            </w:r>
          </w:p>
        </w:tc>
        <w:tc>
          <w:tcPr>
            <w:tcW w:w="1277" w:type="dxa"/>
            <w:tcBorders>
              <w:top w:val="single" w:sz="8" w:space="0" w:color="000000"/>
              <w:left w:val="single" w:sz="8" w:space="0" w:color="000000"/>
              <w:bottom w:val="single" w:sz="8" w:space="0" w:color="000000"/>
              <w:right w:val="single" w:sz="5" w:space="0" w:color="000000"/>
            </w:tcBorders>
          </w:tcPr>
          <w:p w:rsidR="00EE4F2F" w:rsidRPr="007E1A78" w:rsidRDefault="00EE4F2F" w:rsidP="002C4514">
            <w:pPr>
              <w:pStyle w:val="TableParagraph"/>
              <w:spacing w:before="12"/>
              <w:ind w:left="59"/>
              <w:rPr>
                <w:rFonts w:ascii="Times New Roman" w:eastAsia="Times New Roman" w:hAnsi="Times New Roman" w:cs="Times New Roman"/>
                <w:sz w:val="20"/>
                <w:szCs w:val="20"/>
              </w:rPr>
            </w:pPr>
            <w:r w:rsidRPr="007E1A78">
              <w:rPr>
                <w:rFonts w:ascii="Times New Roman"/>
                <w:sz w:val="20"/>
                <w:szCs w:val="20"/>
              </w:rPr>
              <w:t>1.795</w:t>
            </w:r>
          </w:p>
        </w:tc>
        <w:tc>
          <w:tcPr>
            <w:tcW w:w="1558" w:type="dxa"/>
            <w:tcBorders>
              <w:top w:val="single" w:sz="8" w:space="0" w:color="000000"/>
              <w:left w:val="single" w:sz="5" w:space="0" w:color="000000"/>
              <w:bottom w:val="single" w:sz="8" w:space="0" w:color="000000"/>
              <w:right w:val="single" w:sz="5" w:space="0" w:color="000000"/>
            </w:tcBorders>
          </w:tcPr>
          <w:p w:rsidR="00EE4F2F" w:rsidRPr="007E1A78" w:rsidRDefault="00EE4F2F" w:rsidP="002C4514">
            <w:pPr>
              <w:pStyle w:val="TableParagraph"/>
              <w:spacing w:before="12"/>
              <w:ind w:left="63"/>
              <w:rPr>
                <w:rFonts w:ascii="Times New Roman" w:eastAsia="Times New Roman" w:hAnsi="Times New Roman" w:cs="Times New Roman"/>
                <w:sz w:val="20"/>
                <w:szCs w:val="20"/>
              </w:rPr>
            </w:pPr>
            <w:r w:rsidRPr="007E1A78">
              <w:rPr>
                <w:rFonts w:ascii="Times New Roman"/>
                <w:sz w:val="20"/>
                <w:szCs w:val="20"/>
              </w:rPr>
              <w:t>1.816</w:t>
            </w:r>
          </w:p>
        </w:tc>
      </w:tr>
      <w:tr w:rsidR="00EE4F2F" w:rsidRPr="007E1A78" w:rsidTr="00EE4F2F">
        <w:trPr>
          <w:trHeight w:hRule="exact" w:val="475"/>
        </w:trPr>
        <w:tc>
          <w:tcPr>
            <w:tcW w:w="3687" w:type="dxa"/>
            <w:tcBorders>
              <w:top w:val="single" w:sz="8" w:space="0" w:color="000000"/>
              <w:left w:val="single" w:sz="5" w:space="0" w:color="000000"/>
              <w:bottom w:val="single" w:sz="8" w:space="0" w:color="000000"/>
              <w:right w:val="single" w:sz="8" w:space="0" w:color="000000"/>
            </w:tcBorders>
          </w:tcPr>
          <w:p w:rsidR="00EE4F2F" w:rsidRPr="007E1A78" w:rsidRDefault="00EE4F2F" w:rsidP="002C4514">
            <w:pPr>
              <w:pStyle w:val="TableParagraph"/>
              <w:spacing w:before="15"/>
              <w:ind w:left="66"/>
              <w:rPr>
                <w:rFonts w:ascii="Times New Roman" w:eastAsia="Times New Roman" w:hAnsi="Times New Roman" w:cs="Times New Roman"/>
                <w:sz w:val="20"/>
                <w:szCs w:val="20"/>
              </w:rPr>
            </w:pPr>
            <w:r w:rsidRPr="007E1A78">
              <w:rPr>
                <w:rFonts w:ascii="Times New Roman"/>
                <w:sz w:val="20"/>
                <w:szCs w:val="20"/>
              </w:rPr>
              <w:t>PP</w:t>
            </w:r>
            <w:r w:rsidRPr="007E1A78">
              <w:rPr>
                <w:rFonts w:ascii="Times New Roman"/>
                <w:spacing w:val="-8"/>
                <w:sz w:val="20"/>
                <w:szCs w:val="20"/>
              </w:rPr>
              <w:t xml:space="preserve"> </w:t>
            </w:r>
            <w:r w:rsidRPr="007E1A78">
              <w:rPr>
                <w:rFonts w:ascii="Times New Roman"/>
                <w:spacing w:val="-1"/>
                <w:sz w:val="20"/>
                <w:szCs w:val="20"/>
              </w:rPr>
              <w:t>Unterfranken</w:t>
            </w:r>
            <w:r w:rsidRPr="007E1A78">
              <w:rPr>
                <w:rFonts w:ascii="Times New Roman"/>
                <w:spacing w:val="-5"/>
                <w:sz w:val="20"/>
                <w:szCs w:val="20"/>
              </w:rPr>
              <w:t xml:space="preserve"> </w:t>
            </w:r>
            <w:r w:rsidRPr="007E1A78">
              <w:rPr>
                <w:rFonts w:ascii="Times New Roman"/>
                <w:spacing w:val="-1"/>
                <w:sz w:val="20"/>
                <w:szCs w:val="20"/>
              </w:rPr>
              <w:t>gesamt</w:t>
            </w:r>
          </w:p>
        </w:tc>
        <w:tc>
          <w:tcPr>
            <w:tcW w:w="1277" w:type="dxa"/>
            <w:tcBorders>
              <w:top w:val="single" w:sz="8" w:space="0" w:color="000000"/>
              <w:left w:val="single" w:sz="8" w:space="0" w:color="000000"/>
              <w:bottom w:val="single" w:sz="8" w:space="0" w:color="000000"/>
              <w:right w:val="single" w:sz="5" w:space="0" w:color="000000"/>
            </w:tcBorders>
          </w:tcPr>
          <w:p w:rsidR="00EE4F2F" w:rsidRPr="007E1A78" w:rsidRDefault="00EE4F2F" w:rsidP="002C4514">
            <w:pPr>
              <w:pStyle w:val="TableParagraph"/>
              <w:spacing w:before="15"/>
              <w:ind w:left="59"/>
              <w:rPr>
                <w:rFonts w:ascii="Times New Roman" w:eastAsia="Times New Roman" w:hAnsi="Times New Roman" w:cs="Times New Roman"/>
                <w:sz w:val="20"/>
                <w:szCs w:val="20"/>
              </w:rPr>
            </w:pPr>
            <w:r w:rsidRPr="007E1A78">
              <w:rPr>
                <w:rFonts w:ascii="Times New Roman"/>
                <w:sz w:val="20"/>
                <w:szCs w:val="20"/>
              </w:rPr>
              <w:t>2.591</w:t>
            </w:r>
          </w:p>
        </w:tc>
        <w:tc>
          <w:tcPr>
            <w:tcW w:w="1558" w:type="dxa"/>
            <w:tcBorders>
              <w:top w:val="single" w:sz="8" w:space="0" w:color="000000"/>
              <w:left w:val="single" w:sz="5" w:space="0" w:color="000000"/>
              <w:bottom w:val="single" w:sz="8" w:space="0" w:color="000000"/>
              <w:right w:val="single" w:sz="5" w:space="0" w:color="000000"/>
            </w:tcBorders>
          </w:tcPr>
          <w:p w:rsidR="00EE4F2F" w:rsidRPr="007E1A78" w:rsidRDefault="00EE4F2F" w:rsidP="002C4514">
            <w:pPr>
              <w:pStyle w:val="TableParagraph"/>
              <w:spacing w:before="15"/>
              <w:ind w:left="63"/>
              <w:rPr>
                <w:rFonts w:ascii="Times New Roman" w:eastAsia="Times New Roman" w:hAnsi="Times New Roman" w:cs="Times New Roman"/>
                <w:sz w:val="20"/>
                <w:szCs w:val="20"/>
              </w:rPr>
            </w:pPr>
            <w:r w:rsidRPr="007E1A78">
              <w:rPr>
                <w:rFonts w:ascii="Times New Roman"/>
                <w:sz w:val="20"/>
                <w:szCs w:val="20"/>
              </w:rPr>
              <w:t>2.600</w:t>
            </w:r>
          </w:p>
        </w:tc>
      </w:tr>
      <w:tr w:rsidR="00EE4F2F" w:rsidRPr="007E1A78" w:rsidTr="00EE4F2F">
        <w:trPr>
          <w:trHeight w:hRule="exact" w:val="473"/>
        </w:trPr>
        <w:tc>
          <w:tcPr>
            <w:tcW w:w="3687" w:type="dxa"/>
            <w:tcBorders>
              <w:top w:val="single" w:sz="8" w:space="0" w:color="000000"/>
              <w:left w:val="single" w:sz="5" w:space="0" w:color="000000"/>
              <w:bottom w:val="single" w:sz="8" w:space="0" w:color="000000"/>
              <w:right w:val="single" w:sz="8" w:space="0" w:color="000000"/>
            </w:tcBorders>
          </w:tcPr>
          <w:p w:rsidR="00EE4F2F" w:rsidRPr="007E1A78" w:rsidRDefault="00EE4F2F" w:rsidP="002C4514">
            <w:pPr>
              <w:pStyle w:val="TableParagraph"/>
              <w:spacing w:before="12"/>
              <w:ind w:left="66"/>
              <w:rPr>
                <w:rFonts w:ascii="Times New Roman" w:eastAsia="Times New Roman" w:hAnsi="Times New Roman" w:cs="Times New Roman"/>
                <w:sz w:val="20"/>
                <w:szCs w:val="20"/>
              </w:rPr>
            </w:pPr>
            <w:r w:rsidRPr="007E1A78">
              <w:rPr>
                <w:rFonts w:ascii="Times New Roman"/>
                <w:spacing w:val="-1"/>
                <w:sz w:val="20"/>
                <w:szCs w:val="20"/>
              </w:rPr>
              <w:t>Bayerische</w:t>
            </w:r>
            <w:r w:rsidRPr="007E1A78">
              <w:rPr>
                <w:rFonts w:ascii="Times New Roman"/>
                <w:spacing w:val="-26"/>
                <w:sz w:val="20"/>
                <w:szCs w:val="20"/>
              </w:rPr>
              <w:t xml:space="preserve"> </w:t>
            </w:r>
            <w:r w:rsidRPr="007E1A78">
              <w:rPr>
                <w:rFonts w:ascii="Times New Roman"/>
                <w:spacing w:val="-1"/>
                <w:sz w:val="20"/>
                <w:szCs w:val="20"/>
              </w:rPr>
              <w:t>Bereitschaftspolizei</w:t>
            </w:r>
          </w:p>
        </w:tc>
        <w:tc>
          <w:tcPr>
            <w:tcW w:w="1277" w:type="dxa"/>
            <w:tcBorders>
              <w:top w:val="single" w:sz="8" w:space="0" w:color="000000"/>
              <w:left w:val="single" w:sz="8" w:space="0" w:color="000000"/>
              <w:bottom w:val="single" w:sz="8" w:space="0" w:color="000000"/>
              <w:right w:val="single" w:sz="5" w:space="0" w:color="000000"/>
            </w:tcBorders>
          </w:tcPr>
          <w:p w:rsidR="00EE4F2F" w:rsidRPr="007E1A78" w:rsidRDefault="00EE4F2F" w:rsidP="002C4514">
            <w:pPr>
              <w:pStyle w:val="TableParagraph"/>
              <w:spacing w:before="12"/>
              <w:ind w:left="59"/>
              <w:rPr>
                <w:rFonts w:ascii="Times New Roman" w:eastAsia="Times New Roman" w:hAnsi="Times New Roman" w:cs="Times New Roman"/>
                <w:sz w:val="20"/>
                <w:szCs w:val="20"/>
              </w:rPr>
            </w:pPr>
            <w:r w:rsidRPr="007E1A78">
              <w:rPr>
                <w:rFonts w:ascii="Times New Roman"/>
                <w:sz w:val="20"/>
                <w:szCs w:val="20"/>
              </w:rPr>
              <w:t>5.363</w:t>
            </w:r>
          </w:p>
        </w:tc>
        <w:tc>
          <w:tcPr>
            <w:tcW w:w="1558" w:type="dxa"/>
            <w:tcBorders>
              <w:top w:val="single" w:sz="8" w:space="0" w:color="000000"/>
              <w:left w:val="single" w:sz="5" w:space="0" w:color="000000"/>
              <w:bottom w:val="single" w:sz="8" w:space="0" w:color="000000"/>
              <w:right w:val="single" w:sz="5" w:space="0" w:color="000000"/>
            </w:tcBorders>
          </w:tcPr>
          <w:p w:rsidR="00EE4F2F" w:rsidRPr="007E1A78" w:rsidRDefault="00EE4F2F" w:rsidP="002C4514">
            <w:pPr>
              <w:pStyle w:val="TableParagraph"/>
              <w:spacing w:before="12"/>
              <w:ind w:left="63"/>
              <w:rPr>
                <w:rFonts w:ascii="Times New Roman" w:eastAsia="Times New Roman" w:hAnsi="Times New Roman" w:cs="Times New Roman"/>
                <w:sz w:val="20"/>
                <w:szCs w:val="20"/>
              </w:rPr>
            </w:pPr>
            <w:r w:rsidRPr="007E1A78">
              <w:rPr>
                <w:rFonts w:ascii="Times New Roman"/>
                <w:sz w:val="20"/>
                <w:szCs w:val="20"/>
              </w:rPr>
              <w:t>6.901</w:t>
            </w:r>
          </w:p>
        </w:tc>
      </w:tr>
      <w:tr w:rsidR="00EE4F2F" w:rsidRPr="007E1A78" w:rsidTr="00EE4F2F">
        <w:trPr>
          <w:trHeight w:hRule="exact" w:val="475"/>
        </w:trPr>
        <w:tc>
          <w:tcPr>
            <w:tcW w:w="3687" w:type="dxa"/>
            <w:tcBorders>
              <w:top w:val="single" w:sz="8" w:space="0" w:color="000000"/>
              <w:left w:val="single" w:sz="5" w:space="0" w:color="000000"/>
              <w:bottom w:val="single" w:sz="8" w:space="0" w:color="000000"/>
              <w:right w:val="single" w:sz="8" w:space="0" w:color="000000"/>
            </w:tcBorders>
          </w:tcPr>
          <w:p w:rsidR="00EE4F2F" w:rsidRPr="007E1A78" w:rsidRDefault="00EE4F2F" w:rsidP="002C4514">
            <w:pPr>
              <w:pStyle w:val="TableParagraph"/>
              <w:spacing w:before="15"/>
              <w:ind w:left="66"/>
              <w:rPr>
                <w:rFonts w:ascii="Times New Roman" w:eastAsia="Times New Roman" w:hAnsi="Times New Roman" w:cs="Times New Roman"/>
                <w:sz w:val="20"/>
                <w:szCs w:val="20"/>
              </w:rPr>
            </w:pPr>
            <w:r w:rsidRPr="007E1A78">
              <w:rPr>
                <w:rFonts w:ascii="Times New Roman"/>
                <w:spacing w:val="-1"/>
                <w:sz w:val="20"/>
                <w:szCs w:val="20"/>
              </w:rPr>
              <w:t>Bayerisches</w:t>
            </w:r>
            <w:r w:rsidRPr="007E1A78">
              <w:rPr>
                <w:rFonts w:ascii="Times New Roman"/>
                <w:spacing w:val="-25"/>
                <w:sz w:val="20"/>
                <w:szCs w:val="20"/>
              </w:rPr>
              <w:t xml:space="preserve"> </w:t>
            </w:r>
            <w:r w:rsidRPr="007E1A78">
              <w:rPr>
                <w:rFonts w:ascii="Times New Roman"/>
                <w:spacing w:val="-1"/>
                <w:sz w:val="20"/>
                <w:szCs w:val="20"/>
              </w:rPr>
              <w:t>Landeskriminalamt</w:t>
            </w:r>
          </w:p>
        </w:tc>
        <w:tc>
          <w:tcPr>
            <w:tcW w:w="1277" w:type="dxa"/>
            <w:tcBorders>
              <w:top w:val="single" w:sz="8" w:space="0" w:color="000000"/>
              <w:left w:val="single" w:sz="8" w:space="0" w:color="000000"/>
              <w:bottom w:val="single" w:sz="8" w:space="0" w:color="000000"/>
              <w:right w:val="single" w:sz="5" w:space="0" w:color="000000"/>
            </w:tcBorders>
          </w:tcPr>
          <w:p w:rsidR="00EE4F2F" w:rsidRPr="007E1A78" w:rsidRDefault="00EE4F2F" w:rsidP="002C4514">
            <w:pPr>
              <w:pStyle w:val="TableParagraph"/>
              <w:spacing w:before="15"/>
              <w:ind w:left="59"/>
              <w:rPr>
                <w:rFonts w:ascii="Times New Roman" w:eastAsia="Times New Roman" w:hAnsi="Times New Roman" w:cs="Times New Roman"/>
                <w:sz w:val="20"/>
                <w:szCs w:val="20"/>
              </w:rPr>
            </w:pPr>
            <w:r w:rsidRPr="007E1A78">
              <w:rPr>
                <w:rFonts w:ascii="Times New Roman"/>
                <w:sz w:val="20"/>
                <w:szCs w:val="20"/>
              </w:rPr>
              <w:t>1.321</w:t>
            </w:r>
          </w:p>
        </w:tc>
        <w:tc>
          <w:tcPr>
            <w:tcW w:w="1558" w:type="dxa"/>
            <w:tcBorders>
              <w:top w:val="single" w:sz="8" w:space="0" w:color="000000"/>
              <w:left w:val="single" w:sz="5" w:space="0" w:color="000000"/>
              <w:bottom w:val="single" w:sz="8" w:space="0" w:color="000000"/>
              <w:right w:val="single" w:sz="5" w:space="0" w:color="000000"/>
            </w:tcBorders>
          </w:tcPr>
          <w:p w:rsidR="00EE4F2F" w:rsidRPr="007E1A78" w:rsidRDefault="00EE4F2F" w:rsidP="002C4514">
            <w:pPr>
              <w:pStyle w:val="TableParagraph"/>
              <w:spacing w:before="15"/>
              <w:ind w:left="63"/>
              <w:rPr>
                <w:rFonts w:ascii="Times New Roman" w:eastAsia="Times New Roman" w:hAnsi="Times New Roman" w:cs="Times New Roman"/>
                <w:sz w:val="20"/>
                <w:szCs w:val="20"/>
              </w:rPr>
            </w:pPr>
            <w:r w:rsidRPr="007E1A78">
              <w:rPr>
                <w:rFonts w:ascii="Times New Roman"/>
                <w:sz w:val="20"/>
                <w:szCs w:val="20"/>
              </w:rPr>
              <w:t>1.356</w:t>
            </w:r>
          </w:p>
        </w:tc>
      </w:tr>
      <w:tr w:rsidR="00EE4F2F" w:rsidRPr="007E1A78" w:rsidTr="00EE4F2F">
        <w:trPr>
          <w:trHeight w:hRule="exact" w:val="473"/>
        </w:trPr>
        <w:tc>
          <w:tcPr>
            <w:tcW w:w="3687" w:type="dxa"/>
            <w:tcBorders>
              <w:top w:val="single" w:sz="8" w:space="0" w:color="000000"/>
              <w:left w:val="single" w:sz="5" w:space="0" w:color="000000"/>
              <w:bottom w:val="single" w:sz="8" w:space="0" w:color="000000"/>
              <w:right w:val="single" w:sz="8" w:space="0" w:color="000000"/>
            </w:tcBorders>
          </w:tcPr>
          <w:p w:rsidR="00EE4F2F" w:rsidRPr="007E1A78" w:rsidRDefault="00EE4F2F" w:rsidP="002C4514">
            <w:pPr>
              <w:pStyle w:val="TableParagraph"/>
              <w:spacing w:before="12"/>
              <w:ind w:left="66"/>
              <w:rPr>
                <w:rFonts w:ascii="Times New Roman" w:eastAsia="Times New Roman" w:hAnsi="Times New Roman" w:cs="Times New Roman"/>
                <w:sz w:val="20"/>
                <w:szCs w:val="20"/>
              </w:rPr>
            </w:pPr>
            <w:r w:rsidRPr="007E1A78">
              <w:rPr>
                <w:rFonts w:ascii="Times New Roman"/>
                <w:spacing w:val="-1"/>
                <w:sz w:val="20"/>
                <w:szCs w:val="20"/>
              </w:rPr>
              <w:t>Bayerisches</w:t>
            </w:r>
            <w:r w:rsidRPr="007E1A78">
              <w:rPr>
                <w:rFonts w:ascii="Times New Roman"/>
                <w:spacing w:val="-24"/>
                <w:sz w:val="20"/>
                <w:szCs w:val="20"/>
              </w:rPr>
              <w:t xml:space="preserve"> </w:t>
            </w:r>
            <w:r w:rsidRPr="007E1A78">
              <w:rPr>
                <w:rFonts w:ascii="Times New Roman"/>
                <w:spacing w:val="-1"/>
                <w:sz w:val="20"/>
                <w:szCs w:val="20"/>
              </w:rPr>
              <w:t>Polizeiverwaltungsamt</w:t>
            </w:r>
          </w:p>
        </w:tc>
        <w:tc>
          <w:tcPr>
            <w:tcW w:w="1277" w:type="dxa"/>
            <w:tcBorders>
              <w:top w:val="single" w:sz="8" w:space="0" w:color="000000"/>
              <w:left w:val="single" w:sz="8" w:space="0" w:color="000000"/>
              <w:bottom w:val="single" w:sz="8" w:space="0" w:color="000000"/>
              <w:right w:val="single" w:sz="5" w:space="0" w:color="000000"/>
            </w:tcBorders>
          </w:tcPr>
          <w:p w:rsidR="00EE4F2F" w:rsidRPr="007E1A78" w:rsidRDefault="00EE4F2F" w:rsidP="002C4514">
            <w:pPr>
              <w:pStyle w:val="TableParagraph"/>
              <w:spacing w:before="12"/>
              <w:ind w:left="59"/>
              <w:rPr>
                <w:rFonts w:ascii="Times New Roman" w:eastAsia="Times New Roman" w:hAnsi="Times New Roman" w:cs="Times New Roman"/>
                <w:sz w:val="20"/>
                <w:szCs w:val="20"/>
              </w:rPr>
            </w:pPr>
            <w:r w:rsidRPr="007E1A78">
              <w:rPr>
                <w:rFonts w:ascii="Times New Roman"/>
                <w:sz w:val="20"/>
                <w:szCs w:val="20"/>
              </w:rPr>
              <w:t>228</w:t>
            </w:r>
          </w:p>
        </w:tc>
        <w:tc>
          <w:tcPr>
            <w:tcW w:w="1558" w:type="dxa"/>
            <w:tcBorders>
              <w:top w:val="single" w:sz="8" w:space="0" w:color="000000"/>
              <w:left w:val="single" w:sz="5" w:space="0" w:color="000000"/>
              <w:bottom w:val="single" w:sz="8" w:space="0" w:color="000000"/>
              <w:right w:val="single" w:sz="5" w:space="0" w:color="000000"/>
            </w:tcBorders>
          </w:tcPr>
          <w:p w:rsidR="00EE4F2F" w:rsidRPr="007E1A78" w:rsidRDefault="00EE4F2F" w:rsidP="002C4514">
            <w:pPr>
              <w:pStyle w:val="TableParagraph"/>
              <w:spacing w:before="12"/>
              <w:ind w:left="63"/>
              <w:rPr>
                <w:rFonts w:ascii="Times New Roman" w:eastAsia="Times New Roman" w:hAnsi="Times New Roman" w:cs="Times New Roman"/>
                <w:sz w:val="20"/>
                <w:szCs w:val="20"/>
              </w:rPr>
            </w:pPr>
            <w:r w:rsidRPr="007E1A78">
              <w:rPr>
                <w:rFonts w:ascii="Times New Roman"/>
                <w:sz w:val="20"/>
                <w:szCs w:val="20"/>
              </w:rPr>
              <w:t>271</w:t>
            </w:r>
          </w:p>
        </w:tc>
      </w:tr>
      <w:tr w:rsidR="00EE4F2F" w:rsidRPr="007E1A78" w:rsidTr="00EE4F2F">
        <w:trPr>
          <w:trHeight w:hRule="exact" w:val="466"/>
        </w:trPr>
        <w:tc>
          <w:tcPr>
            <w:tcW w:w="3687" w:type="dxa"/>
            <w:tcBorders>
              <w:top w:val="single" w:sz="8" w:space="0" w:color="000000"/>
              <w:left w:val="single" w:sz="5" w:space="0" w:color="000000"/>
              <w:bottom w:val="single" w:sz="5" w:space="0" w:color="000000"/>
              <w:right w:val="single" w:sz="8" w:space="0" w:color="000000"/>
            </w:tcBorders>
          </w:tcPr>
          <w:p w:rsidR="00EE4F2F" w:rsidRPr="007E1A78" w:rsidRDefault="00EE4F2F" w:rsidP="002C4514">
            <w:pPr>
              <w:pStyle w:val="TableParagraph"/>
              <w:spacing w:before="19"/>
              <w:ind w:left="66"/>
              <w:rPr>
                <w:rFonts w:ascii="Times New Roman" w:eastAsia="Times New Roman" w:hAnsi="Times New Roman" w:cs="Times New Roman"/>
                <w:sz w:val="20"/>
                <w:szCs w:val="20"/>
              </w:rPr>
            </w:pPr>
            <w:r w:rsidRPr="007E1A78">
              <w:rPr>
                <w:rFonts w:ascii="Times New Roman"/>
                <w:b/>
                <w:spacing w:val="-1"/>
                <w:sz w:val="20"/>
                <w:szCs w:val="20"/>
              </w:rPr>
              <w:t>Bayerische</w:t>
            </w:r>
            <w:r w:rsidRPr="007E1A78">
              <w:rPr>
                <w:rFonts w:ascii="Times New Roman"/>
                <w:b/>
                <w:spacing w:val="-9"/>
                <w:sz w:val="20"/>
                <w:szCs w:val="20"/>
              </w:rPr>
              <w:t xml:space="preserve"> </w:t>
            </w:r>
            <w:r w:rsidRPr="007E1A78">
              <w:rPr>
                <w:rFonts w:ascii="Times New Roman"/>
                <w:b/>
                <w:spacing w:val="-1"/>
                <w:sz w:val="20"/>
                <w:szCs w:val="20"/>
              </w:rPr>
              <w:t>Polizei</w:t>
            </w:r>
            <w:r w:rsidRPr="007E1A78">
              <w:rPr>
                <w:rFonts w:ascii="Times New Roman"/>
                <w:b/>
                <w:spacing w:val="-8"/>
                <w:sz w:val="20"/>
                <w:szCs w:val="20"/>
              </w:rPr>
              <w:t xml:space="preserve"> </w:t>
            </w:r>
            <w:r w:rsidRPr="007E1A78">
              <w:rPr>
                <w:rFonts w:ascii="Times New Roman"/>
                <w:b/>
                <w:sz w:val="20"/>
                <w:szCs w:val="20"/>
              </w:rPr>
              <w:t>gesamt</w:t>
            </w:r>
          </w:p>
        </w:tc>
        <w:tc>
          <w:tcPr>
            <w:tcW w:w="1277" w:type="dxa"/>
            <w:tcBorders>
              <w:top w:val="single" w:sz="8" w:space="0" w:color="000000"/>
              <w:left w:val="single" w:sz="8" w:space="0" w:color="000000"/>
              <w:bottom w:val="single" w:sz="5" w:space="0" w:color="000000"/>
              <w:right w:val="single" w:sz="5" w:space="0" w:color="000000"/>
            </w:tcBorders>
          </w:tcPr>
          <w:p w:rsidR="00EE4F2F" w:rsidRPr="007E1A78" w:rsidRDefault="00EE4F2F" w:rsidP="002C4514">
            <w:pPr>
              <w:pStyle w:val="TableParagraph"/>
              <w:spacing w:before="19"/>
              <w:ind w:left="59"/>
              <w:rPr>
                <w:rFonts w:ascii="Times New Roman" w:eastAsia="Times New Roman" w:hAnsi="Times New Roman" w:cs="Times New Roman"/>
                <w:sz w:val="20"/>
                <w:szCs w:val="20"/>
              </w:rPr>
            </w:pPr>
            <w:r w:rsidRPr="007E1A78">
              <w:rPr>
                <w:rFonts w:ascii="Times New Roman"/>
                <w:b/>
                <w:sz w:val="20"/>
                <w:szCs w:val="20"/>
              </w:rPr>
              <w:t>34.573</w:t>
            </w:r>
          </w:p>
        </w:tc>
        <w:tc>
          <w:tcPr>
            <w:tcW w:w="1558" w:type="dxa"/>
            <w:tcBorders>
              <w:top w:val="single" w:sz="8" w:space="0" w:color="000000"/>
              <w:left w:val="single" w:sz="5" w:space="0" w:color="000000"/>
              <w:bottom w:val="single" w:sz="5" w:space="0" w:color="000000"/>
              <w:right w:val="single" w:sz="5" w:space="0" w:color="000000"/>
            </w:tcBorders>
          </w:tcPr>
          <w:p w:rsidR="00EE4F2F" w:rsidRPr="007E1A78" w:rsidRDefault="00EE4F2F" w:rsidP="002C4514">
            <w:pPr>
              <w:pStyle w:val="TableParagraph"/>
              <w:spacing w:before="19"/>
              <w:ind w:left="63"/>
              <w:rPr>
                <w:rFonts w:ascii="Times New Roman" w:eastAsia="Times New Roman" w:hAnsi="Times New Roman" w:cs="Times New Roman"/>
                <w:sz w:val="20"/>
                <w:szCs w:val="20"/>
              </w:rPr>
            </w:pPr>
            <w:r w:rsidRPr="007E1A78">
              <w:rPr>
                <w:rFonts w:ascii="Times New Roman"/>
                <w:b/>
                <w:sz w:val="20"/>
                <w:szCs w:val="20"/>
              </w:rPr>
              <w:t>36.134</w:t>
            </w:r>
          </w:p>
        </w:tc>
      </w:tr>
    </w:tbl>
    <w:p w:rsidR="006E4BC2" w:rsidRPr="007E1A78" w:rsidRDefault="006E4BC2" w:rsidP="006E4BC2">
      <w:pPr>
        <w:pStyle w:val="LTAntwortRessortText"/>
        <w:rPr>
          <w:u w:val="single"/>
        </w:rPr>
      </w:pPr>
      <w:r w:rsidRPr="007E1A78">
        <w:rPr>
          <w:u w:val="single"/>
        </w:rPr>
        <w:t>Sollstärke</w:t>
      </w:r>
    </w:p>
    <w:p w:rsidR="006E4BC2" w:rsidRDefault="006E4BC2" w:rsidP="007E1A78">
      <w:pPr>
        <w:pStyle w:val="LTAntwortRessortText"/>
        <w:numPr>
          <w:ilvl w:val="0"/>
          <w:numId w:val="24"/>
        </w:numPr>
        <w:spacing w:before="120"/>
        <w:ind w:left="992" w:hanging="425"/>
      </w:pPr>
      <w:r>
        <w:t>Sollstärke ist die Planungsgröße für die personelle Ausstattung der Dienststellen.</w:t>
      </w:r>
    </w:p>
    <w:p w:rsidR="006E4BC2" w:rsidRDefault="006E4BC2" w:rsidP="007E1A78">
      <w:pPr>
        <w:pStyle w:val="LTAntwortRessortText"/>
        <w:numPr>
          <w:ilvl w:val="0"/>
          <w:numId w:val="24"/>
        </w:numPr>
        <w:spacing w:before="120"/>
        <w:ind w:left="992" w:hanging="425"/>
      </w:pPr>
      <w:r>
        <w:t>Abwesenheiten, die bezogen auf das gesamte Personal regelmäßig auftreten (z.</w:t>
      </w:r>
      <w:r w:rsidR="007E1A78">
        <w:t> </w:t>
      </w:r>
      <w:r>
        <w:t>B. Erholungsurlaub, Krankheitstage, Fortbildungsma</w:t>
      </w:r>
      <w:r w:rsidR="007E1A78">
        <w:t>ßnahmen etc.) sind in der Soll</w:t>
      </w:r>
      <w:r>
        <w:t>stärke bereits entsprechend berücksichtigt. Dies bede</w:t>
      </w:r>
      <w:r w:rsidR="007E1A78">
        <w:t xml:space="preserve">utet, dass diese Abwesenheiten </w:t>
      </w:r>
      <w:r>
        <w:t>auf den Personalansatz, den eine Dienststelle zur Erfüllung ihrer Aufgaben benötigt, als Durchschnittswert aufgeschlagen sind.</w:t>
      </w:r>
    </w:p>
    <w:p w:rsidR="006E4BC2" w:rsidRDefault="006E4BC2" w:rsidP="007E1A78">
      <w:pPr>
        <w:pStyle w:val="LTAntwortRessortText"/>
        <w:numPr>
          <w:ilvl w:val="0"/>
          <w:numId w:val="24"/>
        </w:numPr>
        <w:spacing w:before="120"/>
        <w:ind w:left="992" w:hanging="425"/>
      </w:pPr>
      <w:r>
        <w:t>Die Zahl der Sollstellen orientiert sich in der Ge</w:t>
      </w:r>
      <w:r w:rsidR="007E1A78">
        <w:t>samtsumme an der Zahl der Haus</w:t>
      </w:r>
      <w:r>
        <w:t>haltsstellen (Planstellen) für die Polizei in den Kap. 03 17 bis 03 21.</w:t>
      </w:r>
    </w:p>
    <w:p w:rsidR="006E4BC2" w:rsidRPr="007E1A78" w:rsidRDefault="006E4BC2" w:rsidP="006E4BC2">
      <w:pPr>
        <w:pStyle w:val="LTAntwortRessortText"/>
        <w:rPr>
          <w:u w:val="single"/>
        </w:rPr>
      </w:pPr>
      <w:r w:rsidRPr="007E1A78">
        <w:rPr>
          <w:u w:val="single"/>
        </w:rPr>
        <w:t>Iststärke</w:t>
      </w:r>
    </w:p>
    <w:p w:rsidR="006E4BC2" w:rsidRDefault="006E4BC2" w:rsidP="007E1A78">
      <w:pPr>
        <w:pStyle w:val="LTAntwortRessortText"/>
        <w:numPr>
          <w:ilvl w:val="0"/>
          <w:numId w:val="24"/>
        </w:numPr>
        <w:spacing w:before="120"/>
        <w:ind w:left="992" w:hanging="425"/>
      </w:pPr>
      <w:r>
        <w:t>Tatsächlich zu einer Dienststelle beamtenrechtlich ver</w:t>
      </w:r>
      <w:r w:rsidR="007E1A78">
        <w:t>setzte oder umgesetzte Beamtin</w:t>
      </w:r>
      <w:r>
        <w:t xml:space="preserve">nen und Beamte. Eine Aussage, dass </w:t>
      </w:r>
      <w:r w:rsidR="007E1A78">
        <w:t xml:space="preserve">die Beamtin bzw. </w:t>
      </w:r>
      <w:r>
        <w:t xml:space="preserve">der Beamte auf der Dienststelle arbeitet, kann über die Iststärke nicht getroffen werden. Es wird lediglich </w:t>
      </w:r>
      <w:r w:rsidR="007E1A78">
        <w:t>die Besetzung der Stellen darge</w:t>
      </w:r>
      <w:r>
        <w:t>stellt.</w:t>
      </w:r>
    </w:p>
    <w:p w:rsidR="006E4BC2" w:rsidRPr="007E1A78" w:rsidRDefault="006E4BC2" w:rsidP="006E4BC2">
      <w:pPr>
        <w:pStyle w:val="LTAntwortRessortText"/>
        <w:rPr>
          <w:u w:val="single"/>
        </w:rPr>
      </w:pPr>
      <w:r w:rsidRPr="007E1A78">
        <w:rPr>
          <w:u w:val="single"/>
        </w:rPr>
        <w:t>Abweichungen zwischen Soll- und Iststärke</w:t>
      </w:r>
    </w:p>
    <w:p w:rsidR="006E4BC2" w:rsidRDefault="006E4BC2" w:rsidP="00573AA0">
      <w:pPr>
        <w:pStyle w:val="LTAntwortRessortText"/>
        <w:spacing w:before="120"/>
      </w:pPr>
      <w:r>
        <w:t>Für Abweichungen zwischen Soll- und Iststärke sind unterschiedliche Faktoren verantwortlich:</w:t>
      </w:r>
    </w:p>
    <w:p w:rsidR="006E4BC2" w:rsidRDefault="006E4BC2" w:rsidP="007E1A78">
      <w:pPr>
        <w:pStyle w:val="LTAntwortRessortText"/>
        <w:spacing w:before="120"/>
      </w:pPr>
      <w:r>
        <w:t>Eine höhere Iststärke liegt insbesondere dann vor, wenn sich z. B. zwei Teilzeitkräfte sich zu je 50</w:t>
      </w:r>
      <w:r w:rsidR="007E1A78">
        <w:t> </w:t>
      </w:r>
      <w:r>
        <w:t>Prozent eine Stelle teilen. Dann wird lediglich eine (Soll-)St</w:t>
      </w:r>
      <w:r w:rsidR="007E1A78">
        <w:t>elle besetzt, jedoch zwei Beam</w:t>
      </w:r>
      <w:r>
        <w:t>tinnen oder Beamte in der Iststärke gezählt.</w:t>
      </w:r>
    </w:p>
    <w:p w:rsidR="006E4BC2" w:rsidRDefault="006E4BC2" w:rsidP="006E4BC2">
      <w:pPr>
        <w:pStyle w:val="LTAntwortRessortText"/>
      </w:pPr>
      <w:r>
        <w:t>Für eine geringere Iststärke sind insbesondere Personalabgänge</w:t>
      </w:r>
      <w:r w:rsidR="007E1A78">
        <w:t xml:space="preserve"> zwischen den jeweils halbjähr</w:t>
      </w:r>
      <w:r>
        <w:t>liche</w:t>
      </w:r>
      <w:r w:rsidR="007E1A78">
        <w:t>n</w:t>
      </w:r>
      <w:r>
        <w:t xml:space="preserve"> stattfindenden Personalzuteilungen verantwortlich, wie z. B.:</w:t>
      </w:r>
    </w:p>
    <w:p w:rsidR="006E4BC2" w:rsidRDefault="006E4BC2" w:rsidP="007E1A78">
      <w:pPr>
        <w:pStyle w:val="LTAntwortRessortText"/>
        <w:numPr>
          <w:ilvl w:val="0"/>
          <w:numId w:val="24"/>
        </w:numPr>
        <w:spacing w:before="120"/>
        <w:ind w:left="992" w:hanging="425"/>
      </w:pPr>
      <w:r>
        <w:t>Ruhestandsabgänge,</w:t>
      </w:r>
    </w:p>
    <w:p w:rsidR="006E4BC2" w:rsidRDefault="006E4BC2" w:rsidP="007E1A78">
      <w:pPr>
        <w:pStyle w:val="LTAntwortRessortText"/>
        <w:numPr>
          <w:ilvl w:val="0"/>
          <w:numId w:val="24"/>
        </w:numPr>
        <w:spacing w:before="120"/>
        <w:ind w:left="992" w:hanging="425"/>
      </w:pPr>
      <w:r>
        <w:t>Ableben von Beamtinnen und Beamten,</w:t>
      </w:r>
    </w:p>
    <w:p w:rsidR="006E4BC2" w:rsidRDefault="006E4BC2" w:rsidP="007E1A78">
      <w:pPr>
        <w:pStyle w:val="LTAntwortRessortText"/>
        <w:numPr>
          <w:ilvl w:val="0"/>
          <w:numId w:val="24"/>
        </w:numPr>
        <w:spacing w:before="120"/>
        <w:ind w:left="992" w:hanging="425"/>
      </w:pPr>
      <w:r>
        <w:t>Kündigungen von Beamtinnen und B</w:t>
      </w:r>
      <w:r w:rsidR="007E1A78">
        <w:t>eamten.</w:t>
      </w:r>
    </w:p>
    <w:p w:rsidR="006E4BC2" w:rsidRDefault="006E4BC2" w:rsidP="006E4BC2">
      <w:pPr>
        <w:pStyle w:val="LTAntwortRessortText"/>
      </w:pPr>
      <w:r>
        <w:t>Zu berücksichtigen ist, dass der Stichtag für die die Erhebung der Personalstärken (01.01. eines Kalenderjahres) zwischen den Personalzuteilungsterminen (Frü</w:t>
      </w:r>
      <w:r w:rsidR="007E1A78">
        <w:t>hjahr und Herbst) liegt und so</w:t>
      </w:r>
      <w:r>
        <w:t>mit zum Stichtag beispielsweise noch kein Nachersatz für vo</w:t>
      </w:r>
      <w:r w:rsidR="007E1A78">
        <w:t>rgenannte Personalabgänge zuge</w:t>
      </w:r>
      <w:r>
        <w:t>wiesen werden konnte.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Dr. Herbert</w:t>
            </w:r>
            <w:r w:rsidRPr="006E4BC2">
              <w:rPr>
                <w:b/>
              </w:rPr>
              <w:br/>
              <w:t>Kränzlein</w:t>
            </w:r>
            <w:r w:rsidRPr="006E4BC2">
              <w:rPr>
                <w:b/>
              </w:rPr>
              <w:br/>
            </w:r>
            <w:r w:rsidRPr="006E4BC2">
              <w:t>(SPD)</w:t>
            </w:r>
            <w:r>
              <w:fldChar w:fldCharType="begin"/>
            </w:r>
            <w:r>
              <w:instrText xml:space="preserve"> TC </w:instrText>
            </w:r>
            <w:r w:rsidR="004A62EF">
              <w:instrText>„</w:instrText>
            </w:r>
            <w:bookmarkStart w:id="12" w:name="_Toc511290231"/>
            <w:r>
              <w:instrText>Dr. Kränzlein, Herbert (SPD)</w:instrText>
            </w:r>
            <w:r>
              <w:br/>
              <w:instrText>Polizeieinsatz in der Erstaufnahmeeinrichtung Donauwörth</w:instrText>
            </w:r>
            <w:bookmarkEnd w:id="12"/>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276106">
            <w:pPr>
              <w:pStyle w:val="LTAnfrageText"/>
            </w:pPr>
            <w:r>
              <w:t>Nachdem es am 14.03.2018 in der Erstaufnahmeeinrichtung Donauwörth zu Auseinandersetzungen zwischen der Polizei und den dort untergebrachten Flüchtlingen mit 30 Verhaftungen kam und der Grund dafür laut Polizeiangaben das aggressive Verhalten der</w:t>
            </w:r>
            <w:r w:rsidR="004A62EF">
              <w:t xml:space="preserve"> </w:t>
            </w:r>
            <w:r>
              <w:t>Flüchtlinge und die von den Bewohnern ausgehende Gewalt war, aber die Bewohner der Erstaufnahme, deren Stellungnahme durch Studierende der Katholischen Stiftungshochschule München weitergeleitet wurde, die Situation so beschreiben, dass die</w:t>
            </w:r>
            <w:r w:rsidR="004A62EF">
              <w:t xml:space="preserve"> </w:t>
            </w:r>
            <w:r>
              <w:t>Lage aufgrund des Verhaltens der Polizei eskaliert sei, frage ich die Staatsregierung, wurden seitens der Polizei Tränengas und Pfefferspray in geschlossenen Räumen benutzt, wurden die Bewohnerinnen und Bewohner der Erstaufnahme in ihre Zimmer gesperrt mit nicht zu öffnenden Fenstern und welche Art von Widerstand haben die Flüchtlinge der Erstaufnahmeeinrichtung gegenüber der Polizei geleistet,</w:t>
            </w:r>
            <w:r w:rsidR="004A62EF">
              <w:t xml:space="preserve"> </w:t>
            </w:r>
            <w:r>
              <w:t>die ein polizeiliches Großaufgebot zur Durchsuchung der Räumlichkeiten rechtfertigt?</w:t>
            </w: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Das Polizeipräsidium (PP) Schwaben Nord war von der Zentralen Ausländerbehörde Schwaben mit der Durchsetzung einer Abschiebungsmaßnahme für einen gambischen Asylbewerber nach Italien (Dublin-Fall) beauftragt. Die beiden hierzu eingese</w:t>
      </w:r>
      <w:r w:rsidR="00EF6F9A">
        <w:t>tzten Beamten betraten am Mitt</w:t>
      </w:r>
      <w:r>
        <w:t>woch, 14.03.2018, gegen 04.00 Uhr, begleitet von Mitarbeite</w:t>
      </w:r>
      <w:r w:rsidR="00EF6F9A">
        <w:t>rn des hauseigenen Sicherheits</w:t>
      </w:r>
      <w:r w:rsidR="00196271">
        <w:t>dienst</w:t>
      </w:r>
      <w:r>
        <w:t>s und des Malteser Hilfsdienstes, die Aufnahmeeinrichtung (AE) in Donauwörth. Der gambische Staatsangehörige konnte von den Beamten nicht in seinem Zimmer angetroffen werden. Da er sich laut Auskunft d</w:t>
      </w:r>
      <w:r w:rsidR="00196271">
        <w:t>es anwesenden Sicherheitsdienst</w:t>
      </w:r>
      <w:r>
        <w:t>s noch auf dem Gelände der AE aufhalten sollte, führten die Beamten eine entspre</w:t>
      </w:r>
      <w:r w:rsidR="00EF6F9A">
        <w:t>chende Nachschau nach der abzu</w:t>
      </w:r>
      <w:r>
        <w:t>schiebenden Person durch. In deren Verlauf kamen innerhal</w:t>
      </w:r>
      <w:r w:rsidR="00EF6F9A">
        <w:t>b weniger Minuten ca. 50 Bewoh</w:t>
      </w:r>
      <w:r>
        <w:t>ner der AE zusammen und blockierten die Suche der eingesetzten Beamten. Durch das massive Auftreten der Bewohner waren die Einsatzkräfte der Polizei gezwungen, die weitere Suche nach dem Gambier und damit die Abschiebungsmaßnahme abzubrechen.</w:t>
      </w:r>
    </w:p>
    <w:p w:rsidR="006E4BC2" w:rsidRDefault="006E4BC2" w:rsidP="006E4BC2">
      <w:pPr>
        <w:pStyle w:val="LTAntwortRessortText"/>
      </w:pPr>
      <w:r>
        <w:t xml:space="preserve">Kurze Zeit später, nachdem die eingesetzten Beamten das Gelände verlassen hatten, wurden Mitarbeiter des Malteser Hilfsdienstes im Unterkunftsgebäude durch die aufgebrachten Gambier massiv bedrängt und bedroht. Die Helfer mussten sich in einem Aufenthaltsraum einschließen, um sich zu schützen. Nur </w:t>
      </w:r>
      <w:r w:rsidR="00196271">
        <w:t>mit Hilfe des Sicherheitsdienst</w:t>
      </w:r>
      <w:r>
        <w:t>s konnten die Hilfskräfte den Raum durch einen Hinterausgang verlassen.</w:t>
      </w:r>
    </w:p>
    <w:p w:rsidR="006E4BC2" w:rsidRDefault="006E4BC2" w:rsidP="006E4BC2">
      <w:pPr>
        <w:pStyle w:val="LTAntwortRessortText"/>
      </w:pPr>
      <w:r>
        <w:t>Zeitgleich wurden Brandmelder in zwei Gebäuden, welche von Gambiern bewohnt werden, mutwillig ausgelöst. Die daraufhin eintreffenden Beamten des PP Schwaben Nord mussten sich aufgrund des weiterhin aggressiven Verhaltens der Bewohner zunächst zurückziehen. Erst nach Eintreffen weiterer Unterstützungskräfte beruhigte sich die Lage vor Ort wieder. Zu diesem Zeitpunkt waren 34 Beamte des PP Schwaben Nord eingesetzt, welche wieder in ihren allgemeinen Streifendienst entlassen wurden, nachdem sich die Lage beruhigt hatte.</w:t>
      </w:r>
    </w:p>
    <w:p w:rsidR="006E4BC2" w:rsidRDefault="00EF6F9A" w:rsidP="006E4BC2">
      <w:pPr>
        <w:pStyle w:val="LTAntwortRessortText"/>
      </w:pPr>
      <w:r>
        <w:t>A</w:t>
      </w:r>
      <w:r w:rsidR="006E4BC2">
        <w:t>ufgrund des Verhaltens der Gambier wurden wegen Verdach</w:t>
      </w:r>
      <w:r w:rsidR="00196271">
        <w:t>t des Landfriedensbruch</w:t>
      </w:r>
      <w:r>
        <w:t>s poli</w:t>
      </w:r>
      <w:r w:rsidR="006E4BC2">
        <w:t xml:space="preserve">zeiliche Ermittlungen von der </w:t>
      </w:r>
      <w:r>
        <w:t>Polizeiinspektion (</w:t>
      </w:r>
      <w:r w:rsidR="006E4BC2">
        <w:t>PI</w:t>
      </w:r>
      <w:r>
        <w:t>)</w:t>
      </w:r>
      <w:r w:rsidR="006E4BC2">
        <w:t xml:space="preserve"> Donauwörth aufgenommen. Insgesamt </w:t>
      </w:r>
      <w:r>
        <w:t>zehn</w:t>
      </w:r>
      <w:r w:rsidR="006E4BC2">
        <w:t xml:space="preserve"> Personen konnten im Zuge dieser ersten Ermittlungen identifiziert werden.</w:t>
      </w:r>
    </w:p>
    <w:p w:rsidR="006E4BC2" w:rsidRDefault="006E4BC2" w:rsidP="006E4BC2">
      <w:pPr>
        <w:pStyle w:val="LTAntwortRessortText"/>
      </w:pPr>
      <w:r>
        <w:t>In Absprache mit der Staatsanwaltschaft Augsburg wurde zur Festnahme der identifizierten Besc</w:t>
      </w:r>
      <w:r w:rsidR="00871411">
        <w:t>huldigten des Landfriedensbruch</w:t>
      </w:r>
      <w:r>
        <w:t>s und Feststellung der Identitäten möglicher weiterer Verdächtiger</w:t>
      </w:r>
      <w:r w:rsidR="00EF6F9A">
        <w:t>, die Aufnahmeeinrichtung um 15.</w:t>
      </w:r>
      <w:r>
        <w:t>40 Uhr mit Unt</w:t>
      </w:r>
      <w:r w:rsidR="00EF6F9A">
        <w:t>erstützung von Kräften der Bay</w:t>
      </w:r>
      <w:r>
        <w:t>erischen Bereitschaftspolizei erneut betreten.</w:t>
      </w:r>
    </w:p>
    <w:p w:rsidR="006E4BC2" w:rsidRDefault="006E4BC2" w:rsidP="006E4BC2">
      <w:pPr>
        <w:pStyle w:val="LTAntwortRessortText"/>
      </w:pPr>
      <w:r>
        <w:t>Beim Einfahren der Polizeikräfte auf das Gelände der AE konnte ein identifizierter</w:t>
      </w:r>
      <w:r w:rsidR="00EF6F9A">
        <w:t xml:space="preserve"> Beschuldig</w:t>
      </w:r>
      <w:r>
        <w:t>ter bereits an der Pforte festgenommen werden.</w:t>
      </w:r>
    </w:p>
    <w:p w:rsidR="006E4BC2" w:rsidRDefault="006E4BC2" w:rsidP="006E4BC2">
      <w:pPr>
        <w:pStyle w:val="LTAntwortRessortText"/>
      </w:pPr>
      <w:r>
        <w:t xml:space="preserve">Beim Eintreffen der Kräfte in der AE wurden Polizeibeamte im Außenbereich bereits verbal und aggressiv gestikulierend angegangen. Beamte wurden abgedrängt und weggeschoben, es wurden Flaschen und Dosen geworfen. Zwei Personen wurden </w:t>
      </w:r>
      <w:r w:rsidR="00EF6F9A">
        <w:t>beobachtet, wie sie Steine auf</w:t>
      </w:r>
      <w:r>
        <w:t>nahmen. Eine Person vermummte sich und nahm eine Eisenstange auf.</w:t>
      </w:r>
    </w:p>
    <w:p w:rsidR="006E4BC2" w:rsidRDefault="006E4BC2" w:rsidP="006E4BC2">
      <w:pPr>
        <w:pStyle w:val="LTAntwortRessortText"/>
      </w:pPr>
      <w:r>
        <w:t>Gegen diesen Bewohner musste im Außenbereich der Unterkun</w:t>
      </w:r>
      <w:r w:rsidR="00EF6F9A">
        <w:t>ft Pfefferspray eingesetzt wer</w:t>
      </w:r>
      <w:r>
        <w:t>den, da er trotz mehrmaliger Aufforderung, die Stange wegzulegen und der damit verbundenen mehrmaligen Androhung des unmittelbaren Zwanges durch die Polizeikräfte weiterhin mit der 1,35 Meter langen und 2,7 cm dicken Eisenstange auf die eingesetzten Beamten zuging. Über</w:t>
      </w:r>
      <w:r w:rsidR="00EF6F9A">
        <w:t xml:space="preserve"> </w:t>
      </w:r>
      <w:r>
        <w:t>einen weiteren Einsatz von Pfefferspray liegen uns derzeit keine Informationen vor, da noch nicht alle eingesetzten Einheiten abschließend befragt werden konnten.</w:t>
      </w:r>
    </w:p>
    <w:p w:rsidR="006E4BC2" w:rsidRDefault="006E4BC2" w:rsidP="006E4BC2">
      <w:pPr>
        <w:pStyle w:val="LTAntwortRessortText"/>
      </w:pPr>
      <w:r>
        <w:t xml:space="preserve">Die aggressive Personengruppe wurde von der Polizei in </w:t>
      </w:r>
      <w:r w:rsidR="00EF6F9A">
        <w:t>ein Wohngebäude abgedrängt. So</w:t>
      </w:r>
      <w:r>
        <w:t>dann wurden die ersten Fensterscheiben und Glastürfüllungen</w:t>
      </w:r>
      <w:r w:rsidR="00EF6F9A">
        <w:t xml:space="preserve"> durch die Bewohner eingeschla</w:t>
      </w:r>
      <w:r>
        <w:t>gen. Durch die eingeschlagenen Scheiben wurden Flaschen, Dosen und andere Gegenstände nach draußen in Richtung der Beamten geworfen. Eine Vielz</w:t>
      </w:r>
      <w:r w:rsidR="00EF6F9A">
        <w:t>ahl von Asylsuchenden, eine ge</w:t>
      </w:r>
      <w:r>
        <w:t>naue Schätzung war aufgrund der Verteilung auf zwei Gebäude nicht möglich, stand an den geöffneten Fenstern und protestierte lautstark gegen die eing</w:t>
      </w:r>
      <w:r w:rsidR="00EF6F9A">
        <w:t>esetzten Beamten. Es kam zu Be</w:t>
      </w:r>
      <w:r>
        <w:t>leidigungen und Beschimpfungen.</w:t>
      </w:r>
    </w:p>
    <w:p w:rsidR="006E4BC2" w:rsidRDefault="006E4BC2" w:rsidP="006E4BC2">
      <w:pPr>
        <w:pStyle w:val="LTAntwortRessortText"/>
      </w:pPr>
      <w:r>
        <w:t>Aufgrund der bestehenden Gefahr, durch Splitter oder herausgeworfene Gegenstände verletzt zu werden, trugen die Beamten Schutzausstattung. Vereinzelt wurden Flaschen und sonstiger Müll geworfen sowie heißes Wasser in Richtung der Beamten geschüttet. Durch die getragene Schutzausstattung konnte verhindert werden, dass die Polizeibeamten verletzt werden. Ein Diensthund wurde durch umherfliegende Splitter verletzt.</w:t>
      </w:r>
    </w:p>
    <w:p w:rsidR="006E4BC2" w:rsidRDefault="006E4BC2" w:rsidP="006E4BC2">
      <w:pPr>
        <w:pStyle w:val="LTAntwortRessortText"/>
      </w:pPr>
      <w:r>
        <w:t>Die Bewohner wurden mittels Lautsprecherdurchsagen in en</w:t>
      </w:r>
      <w:r w:rsidR="00EF6F9A">
        <w:t>glischer Sprache darüber infor</w:t>
      </w:r>
      <w:r>
        <w:t>miert, dass die Polizei in Kürze die Unterkünfte betreten wird, um Straftäter festzunehmen und zu identifizieren. Darüber hinaus wurden Verhaltenshinweise für Unbeteiligte gegeben. Die Durchsage wurde dreimal wiederholt.</w:t>
      </w:r>
    </w:p>
    <w:p w:rsidR="006E4BC2" w:rsidRDefault="00EF6F9A" w:rsidP="006E4BC2">
      <w:pPr>
        <w:pStyle w:val="LTAntwortRessortText"/>
      </w:pPr>
      <w:r>
        <w:t>N</w:t>
      </w:r>
      <w:r w:rsidR="006E4BC2">
        <w:t>achdem um die Wohngebäude eine polizeiliche Absperrung errichtet worden war, betraten Einsatzkräfte des Unterstützungskommandos die Unterkünf</w:t>
      </w:r>
      <w:r>
        <w:t>te und begannen damit, die Ver</w:t>
      </w:r>
      <w:r w:rsidR="006E4BC2">
        <w:t>dächtigen mithilfe des Sicherheitsdienstes zu identifizieren.</w:t>
      </w:r>
    </w:p>
    <w:p w:rsidR="006E4BC2" w:rsidRDefault="006E4BC2" w:rsidP="006E4BC2">
      <w:pPr>
        <w:pStyle w:val="LTAntwortRessortText"/>
      </w:pPr>
      <w:r>
        <w:t>Die Bewohner wurden von den eingesetzten Kräften aufgefordert, während der polizeilichen Maßnahmen in ihren Zimmern zu bleiben, bis die Identifizie</w:t>
      </w:r>
      <w:r w:rsidR="00EF6F9A">
        <w:t>rung der Verdächtigen in Zusam</w:t>
      </w:r>
      <w:r>
        <w:t>menarbeit mit dem Sicherheitsdienst abgeschlossen war. Die Türen und Fenster der Zimmer wurden hierbei nicht versperrt. Die Fenster in den Zimmern können laut Mitteilung des Leiters der AE technisch nicht versperrt werden, sodass den Bewohnern ein Öffnen jederzeit möglich war. Alle Fenster in den betroffenen Gebäuden 10 und 11 hä</w:t>
      </w:r>
      <w:r w:rsidR="00EF6F9A">
        <w:t>tten von den Bewohnern also ge</w:t>
      </w:r>
      <w:r>
        <w:t>öffnet werden können. Ausgenommen davon sind jeweils die Fenster der Treppenhäuse</w:t>
      </w:r>
      <w:r w:rsidR="00EF6F9A">
        <w:t>r, wel</w:t>
      </w:r>
      <w:r>
        <w:t>che eine Festverglasung aufweisen. In Gebäude 11 können lediglich die Gangfenster im 1. OG Süd und 2. OG Süd nicht geöffnet werden. Gerade in Gebäude 10 wurden mehrere Fenster eingeworfen. Für eine gewaltsame Öffnung bestand kein Grund, da neben den Bewohnerzimmern auch alle Gangfenster zu öffnen gewesen wären.</w:t>
      </w:r>
    </w:p>
    <w:p w:rsidR="006E4BC2" w:rsidRDefault="006E4BC2" w:rsidP="006E4BC2">
      <w:pPr>
        <w:pStyle w:val="LTAntwortRessortText"/>
      </w:pPr>
      <w:r>
        <w:t xml:space="preserve">Die 30 festgenommenen Personen wurden beim </w:t>
      </w:r>
      <w:r w:rsidR="00EF6F9A">
        <w:t>Amtsgericht</w:t>
      </w:r>
      <w:r>
        <w:t xml:space="preserve"> Augsburg vorgeführt, welches in allen Fällen Untersuchungshaftbefehl erließ.</w:t>
      </w:r>
    </w:p>
    <w:p w:rsidR="006E4BC2" w:rsidRDefault="006E4BC2" w:rsidP="006E4BC2">
      <w:pPr>
        <w:pStyle w:val="LTAntwortRessortText"/>
      </w:pPr>
      <w:r>
        <w:t>Während des Einsatzes ereigneten sich folgende Straftaten:</w:t>
      </w:r>
    </w:p>
    <w:p w:rsidR="006E4BC2" w:rsidRDefault="006E4BC2" w:rsidP="00581720">
      <w:pPr>
        <w:pStyle w:val="LTAntwortRessortText"/>
        <w:numPr>
          <w:ilvl w:val="1"/>
          <w:numId w:val="26"/>
        </w:numPr>
        <w:spacing w:before="120"/>
        <w:ind w:left="993" w:hanging="426"/>
      </w:pPr>
      <w:r>
        <w:t>30 x Landfriedensbruch,</w:t>
      </w:r>
    </w:p>
    <w:p w:rsidR="006E4BC2" w:rsidRDefault="006E4BC2" w:rsidP="00581720">
      <w:pPr>
        <w:pStyle w:val="LTAntwortRessortText"/>
        <w:numPr>
          <w:ilvl w:val="1"/>
          <w:numId w:val="26"/>
        </w:numPr>
        <w:spacing w:before="120"/>
        <w:ind w:left="993" w:hanging="426"/>
      </w:pPr>
      <w:r>
        <w:t>1 x Widerstand gegen Vollstreckungsbeamte,</w:t>
      </w:r>
    </w:p>
    <w:p w:rsidR="006E4BC2" w:rsidRDefault="006E4BC2" w:rsidP="00581720">
      <w:pPr>
        <w:pStyle w:val="LTAntwortRessortText"/>
        <w:numPr>
          <w:ilvl w:val="1"/>
          <w:numId w:val="26"/>
        </w:numPr>
        <w:spacing w:before="120"/>
        <w:ind w:left="993" w:hanging="426"/>
      </w:pPr>
      <w:r>
        <w:t>1 x Widerstand gegen Vollstreckungsbeamte, versuch</w:t>
      </w:r>
      <w:r w:rsidR="00581720">
        <w:t>te Körperverletzung und Sachbe</w:t>
      </w:r>
      <w:r>
        <w:t>schädigung,</w:t>
      </w:r>
    </w:p>
    <w:p w:rsidR="006E4BC2" w:rsidRDefault="006E4BC2" w:rsidP="00581720">
      <w:pPr>
        <w:pStyle w:val="LTAntwortRessortText"/>
        <w:numPr>
          <w:ilvl w:val="1"/>
          <w:numId w:val="26"/>
        </w:numPr>
        <w:spacing w:before="120"/>
        <w:ind w:left="993" w:hanging="426"/>
      </w:pPr>
      <w:r>
        <w:t>1 x Gefährliche Körperverletzung (Versuch, Eisenstange),</w:t>
      </w:r>
    </w:p>
    <w:p w:rsidR="006E4BC2" w:rsidRDefault="006E4BC2" w:rsidP="00581720">
      <w:pPr>
        <w:pStyle w:val="LTAntwortRessortText"/>
        <w:numPr>
          <w:ilvl w:val="1"/>
          <w:numId w:val="26"/>
        </w:numPr>
        <w:spacing w:before="120"/>
        <w:ind w:left="993" w:hanging="426"/>
      </w:pPr>
      <w:r>
        <w:t>1 x Beleidigung (Mittelfinger zeigen),</w:t>
      </w:r>
    </w:p>
    <w:p w:rsidR="006E4BC2" w:rsidRDefault="00581720" w:rsidP="00581720">
      <w:pPr>
        <w:pStyle w:val="LTAntwortRessortText"/>
        <w:numPr>
          <w:ilvl w:val="1"/>
          <w:numId w:val="26"/>
        </w:numPr>
        <w:spacing w:before="120"/>
        <w:ind w:left="993" w:hanging="426"/>
      </w:pPr>
      <w:r>
        <w:t>1 x Körperverletzung bzw. g</w:t>
      </w:r>
      <w:r w:rsidR="006E4BC2">
        <w:t>efährliche Körperverletzung (Versuch, heißes Wasser schütten),</w:t>
      </w:r>
    </w:p>
    <w:p w:rsidR="006E4BC2" w:rsidRDefault="00581720" w:rsidP="00581720">
      <w:pPr>
        <w:pStyle w:val="LTAntwortRessortText"/>
        <w:numPr>
          <w:ilvl w:val="1"/>
          <w:numId w:val="26"/>
        </w:numPr>
        <w:spacing w:before="120"/>
        <w:ind w:left="993" w:hanging="426"/>
      </w:pPr>
      <w:r>
        <w:t>2 x Beleidigung</w:t>
      </w:r>
      <w:r w:rsidR="006E4BC2">
        <w:t>,</w:t>
      </w:r>
    </w:p>
    <w:p w:rsidR="006E4BC2" w:rsidRDefault="006E4BC2" w:rsidP="00581720">
      <w:pPr>
        <w:pStyle w:val="LTAntwortRessortText"/>
        <w:numPr>
          <w:ilvl w:val="1"/>
          <w:numId w:val="26"/>
        </w:numPr>
        <w:spacing w:before="120"/>
        <w:ind w:left="993" w:hanging="426"/>
      </w:pPr>
      <w:r>
        <w:t>1 x Sachbeschädigung (mehrfaches Fensterscheiben mit Bierflasche einschlagen; dadurch Polizeihund verletzt),</w:t>
      </w:r>
    </w:p>
    <w:p w:rsidR="006E4BC2" w:rsidRDefault="006E4BC2" w:rsidP="00581720">
      <w:pPr>
        <w:pStyle w:val="LTAntwortRessortText"/>
        <w:numPr>
          <w:ilvl w:val="1"/>
          <w:numId w:val="26"/>
        </w:numPr>
        <w:spacing w:before="120"/>
        <w:ind w:left="993" w:hanging="426"/>
      </w:pPr>
      <w:r>
        <w:t xml:space="preserve">1 x Sachbeschädigung (Zuschlagen Fenster </w:t>
      </w:r>
      <w:r w:rsidR="005A592D">
        <w:t>–</w:t>
      </w:r>
      <w:r>
        <w:t xml:space="preserve"> einmaliges Scheibe zerschlagen).</w:t>
      </w:r>
    </w:p>
    <w:p w:rsidR="006E4BC2" w:rsidRDefault="006E4BC2" w:rsidP="006E4BC2">
      <w:pPr>
        <w:pStyle w:val="LTAntwortRessortText"/>
      </w:pPr>
      <w:r>
        <w:t xml:space="preserve">Für den Einsatz zur Festnahme identifizierter Straftäter sowie zur Aufklärung der begangenen Straftaten waren 90 Beamte des PP Schwaben Nord, darunter </w:t>
      </w:r>
      <w:r w:rsidR="00581720">
        <w:t>fünf</w:t>
      </w:r>
      <w:r>
        <w:t xml:space="preserve"> Diensthunde sowie 90 Beamte der Bayerischen Bereitschaftspolizei,</w:t>
      </w:r>
      <w:r w:rsidR="00581720">
        <w:t xml:space="preserve"> darunter 65 Beamte des Unterstützungskommandos eingesetzt. Nur durch die</w:t>
      </w:r>
      <w:r>
        <w:t xml:space="preserve">sen starken Kräfteansatz gelang es, weitere Straftaten und eine </w:t>
      </w:r>
      <w:r w:rsidR="00581720">
        <w:t>gewalttätige Eskalation zu ver</w:t>
      </w:r>
      <w:r>
        <w:t>hindern. Die Diensthunde wurden im Einsatz mitgeführt aber nicht eingesetzt.</w:t>
      </w:r>
    </w:p>
    <w:p w:rsidR="006E4BC2" w:rsidRDefault="006E4BC2" w:rsidP="006E4BC2">
      <w:pPr>
        <w:pStyle w:val="LTAntwortRessortText"/>
      </w:pPr>
      <w:r>
        <w:t xml:space="preserve">Die </w:t>
      </w:r>
      <w:r w:rsidR="00581720">
        <w:t>Kriminalpolizeiinspektion</w:t>
      </w:r>
      <w:r>
        <w:t xml:space="preserve"> Dillingen führt die aktuell noch laufenden polizeilichen Ermittlungen.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Peter</w:t>
            </w:r>
            <w:r w:rsidRPr="006E4BC2">
              <w:rPr>
                <w:b/>
              </w:rPr>
              <w:br/>
              <w:t>Meyer</w:t>
            </w:r>
            <w:r w:rsidRPr="006E4BC2">
              <w:rPr>
                <w:b/>
              </w:rPr>
              <w:br/>
            </w:r>
            <w:r w:rsidRPr="006E4BC2">
              <w:t>(FREIE WÄHLER)</w:t>
            </w:r>
            <w:r>
              <w:fldChar w:fldCharType="begin"/>
            </w:r>
            <w:r>
              <w:instrText xml:space="preserve"> TC </w:instrText>
            </w:r>
            <w:r w:rsidR="004A62EF">
              <w:instrText>„</w:instrText>
            </w:r>
            <w:bookmarkStart w:id="13" w:name="_Toc511290232"/>
            <w:r>
              <w:instrText>Meyer, Peter (FREIE WÄHLER)</w:instrText>
            </w:r>
            <w:r>
              <w:br/>
              <w:instrText>Einrichtung einer Bayerischen Grenzpolizei II</w:instrText>
            </w:r>
            <w:bookmarkEnd w:id="13"/>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wie viele Stellen bis zum 01.07.2018 bzw. insgesamt für die geplante Bayerische Grenzpolizei eingerichtet werden sollen bzw. ggf. schon eingerichtet wurden, mit welcher Wertigkeit (Besoldungsgruppe, Eingruppierung) und wo dieses vorgesehene Personal abgezogen werden musste, um zur Verfügung zu stehen?</w:t>
            </w:r>
          </w:p>
          <w:p w:rsidR="006E4BC2" w:rsidRDefault="006E4BC2" w:rsidP="006E4BC2">
            <w:pPr>
              <w:pStyle w:val="LTAnfrageText"/>
            </w:pP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 xml:space="preserve">Die Staatsregierung wird im Hinblick auf die Errichtung der </w:t>
      </w:r>
      <w:r w:rsidR="005C01B8">
        <w:t xml:space="preserve">Bayerischen </w:t>
      </w:r>
      <w:r>
        <w:t xml:space="preserve">Grenzpolizei </w:t>
      </w:r>
      <w:r w:rsidR="005C01B8">
        <w:t>–</w:t>
      </w:r>
      <w:r>
        <w:t xml:space="preserve"> beginnend ab dem Jahre 2019 </w:t>
      </w:r>
      <w:r w:rsidR="005C01B8">
        <w:t>–</w:t>
      </w:r>
      <w:r>
        <w:t xml:space="preserve"> die gegenwärtige Personalstärke der Fahndungsdienststellen von ca. 500 bis zum Jahr 2</w:t>
      </w:r>
      <w:r w:rsidR="005C01B8">
        <w:t>023 erhöhen, so</w:t>
      </w:r>
      <w:r>
        <w:t xml:space="preserve">dass die </w:t>
      </w:r>
      <w:r w:rsidR="005C01B8">
        <w:t xml:space="preserve">Bayerische </w:t>
      </w:r>
      <w:r>
        <w:t>Grenzpolizei dann über insgesamt 1.000 Stellen verfügt. Das Staatsministerium des Innern und für Integration erarbeitet derzeit ein erstes Detailk</w:t>
      </w:r>
      <w:r w:rsidR="005C01B8">
        <w:t>onzept zur Errichtung der Bayerischen</w:t>
      </w:r>
      <w:r>
        <w:t xml:space="preserve"> Grenzpolizei. Dieses wird voraussichtlich auch erste Eckpunkte zu den in der </w:t>
      </w:r>
      <w:r w:rsidR="00A86A35">
        <w:t>Anfrage zum Plenum</w:t>
      </w:r>
      <w:r w:rsidR="00CA1CC1">
        <w:t xml:space="preserve"> </w:t>
      </w:r>
      <w:r>
        <w:t>weiter genannten Kenngrößen benennen.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Doris</w:t>
            </w:r>
            <w:r w:rsidRPr="006E4BC2">
              <w:rPr>
                <w:b/>
              </w:rPr>
              <w:br/>
              <w:t>Rauscher</w:t>
            </w:r>
            <w:r w:rsidRPr="006E4BC2">
              <w:rPr>
                <w:b/>
              </w:rPr>
              <w:br/>
            </w:r>
            <w:r w:rsidRPr="006E4BC2">
              <w:t>(SPD)</w:t>
            </w:r>
            <w:r>
              <w:fldChar w:fldCharType="begin"/>
            </w:r>
            <w:r>
              <w:instrText xml:space="preserve"> TC </w:instrText>
            </w:r>
            <w:r w:rsidR="004A62EF">
              <w:instrText>„</w:instrText>
            </w:r>
            <w:bookmarkStart w:id="14" w:name="_Toc511290233"/>
            <w:r>
              <w:instrText>Rauscher, Doris (SPD)</w:instrText>
            </w:r>
            <w:r>
              <w:br/>
              <w:instrText>Konzept zur Verteilung von Fehlbelegern auf bayerische Kommunen</w:instrText>
            </w:r>
            <w:bookmarkEnd w:id="14"/>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wie gedenkt sie die Kommunen stärker als bisher zu unterstützen, die einen überdurchschnittlich hohen Anteil an Fehlbelegern (also anerkannte Flüchtlinge, die in einer Gemeinschaftsunterkunft oder dezentralen Asylunterkunft leben) in ihrem Gemeindegebiet zu versorgen haben, welche Überlegungen gibt es, Fehlbeleger aus Kommunen mit einem hohen Anteil an Fehlbelegern in Kommunen mit</w:t>
            </w:r>
            <w:r w:rsidR="004A62EF">
              <w:t xml:space="preserve"> </w:t>
            </w:r>
            <w:r>
              <w:t xml:space="preserve"> einem geringeren Anteil zu verteilen, und welche Zeitschiene zur Umsetzung dieser Planungen denkbar ist?</w:t>
            </w:r>
          </w:p>
          <w:p w:rsidR="006E4BC2" w:rsidRDefault="006E4BC2" w:rsidP="006E4BC2">
            <w:pPr>
              <w:pStyle w:val="LTAnfrageText"/>
            </w:pP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Die Staatsregierung unterstützt die Kommunen durch die L</w:t>
      </w:r>
      <w:r w:rsidR="00A86A35">
        <w:t>eistungen im Kommunalen Finanz</w:t>
      </w:r>
      <w:r>
        <w:t>ausgleich auf Rekordniveau. Anerkannte Asylbewerber</w:t>
      </w:r>
      <w:r w:rsidR="00A86A35">
        <w:t>innen und -bewerber</w:t>
      </w:r>
      <w:r>
        <w:t xml:space="preserve"> müssen sich </w:t>
      </w:r>
      <w:r w:rsidR="00A86A35">
        <w:t>–</w:t>
      </w:r>
      <w:r>
        <w:t xml:space="preserve"> genau wie Einheimische</w:t>
      </w:r>
      <w:r w:rsidR="00A86A35">
        <w:t xml:space="preserve"> –</w:t>
      </w:r>
      <w:r>
        <w:t xml:space="preserve"> in den </w:t>
      </w:r>
      <w:r w:rsidR="004A62EF">
        <w:t>„</w:t>
      </w:r>
      <w:r>
        <w:t>normalen</w:t>
      </w:r>
      <w:r w:rsidR="004A62EF">
        <w:t>“</w:t>
      </w:r>
      <w:r>
        <w:t xml:space="preserve"> Wohnungsmarkt integrieren und sind gefor</w:t>
      </w:r>
      <w:r w:rsidR="00A86A35">
        <w:t>dert, sich selbst um eine Woh</w:t>
      </w:r>
      <w:r>
        <w:t>nung zu kümmern. Ihnen stehen hierbei die gleichen Hilfen z</w:t>
      </w:r>
      <w:r w:rsidR="00A86A35">
        <w:t>u, etwa des örtlichen Wohnungsamt</w:t>
      </w:r>
      <w:r>
        <w:t>s, wie dies für in gleicher Weise berechtigte ortsansässige Personen gilt. Der Freistaa</w:t>
      </w:r>
      <w:r w:rsidR="00A86A35">
        <w:t>t Bayern gestattet Asylbewerberinnen und -bewerbern</w:t>
      </w:r>
      <w:r>
        <w:t xml:space="preserve"> nach ihrer Anerkennung zur Vermeidung von Notsituationen jedoch, vorübergehend als sog. Fehlbeleger in den staatlichen Asylunterkünften zu bleiben, wenn sie trotz eigenständiger Bemühungen nicht im unmitte</w:t>
      </w:r>
      <w:r w:rsidR="00A86A35">
        <w:t>lbaren Anschluss an die Anerken</w:t>
      </w:r>
      <w:r>
        <w:t>nung anderweitigen ausreichenden Wohnraum finden. Damit werden gerade Notsituationen in den Kommunen verhindert.</w:t>
      </w:r>
    </w:p>
    <w:p w:rsidR="006E4BC2" w:rsidRDefault="006E4BC2" w:rsidP="006E4BC2">
      <w:pPr>
        <w:pStyle w:val="LTAntwortRessortText"/>
      </w:pPr>
      <w:r>
        <w:t>Die Staatsregierung hat sich überdies erfolgreich dafür eingesetzt, dass der Bund weiterhin die Kosten der Unterkunft bezahlt und damit die Kommunen massiv entlastet.</w:t>
      </w:r>
    </w:p>
    <w:p w:rsidR="006E4BC2" w:rsidRDefault="006E4BC2" w:rsidP="006E4BC2">
      <w:pPr>
        <w:pStyle w:val="LTAntwortRessortText"/>
      </w:pPr>
      <w:r>
        <w:t xml:space="preserve">Darüber hinaus ist ein wichtiger Aspekt für die Integration </w:t>
      </w:r>
      <w:r w:rsidR="00A86A35">
        <w:t>in den Wohnungsmarkt die Schaf</w:t>
      </w:r>
      <w:r>
        <w:t>fung von bezahlbarem Wohnraum. Die Staatsregierung hat</w:t>
      </w:r>
      <w:r w:rsidR="00A86A35">
        <w:t xml:space="preserve"> insofern bereits 2015 den Woh</w:t>
      </w:r>
      <w:r>
        <w:t>nungspakt Bayern aufgelegt.</w:t>
      </w:r>
    </w:p>
    <w:p w:rsidR="006E4BC2" w:rsidRDefault="006E4BC2" w:rsidP="006E4BC2">
      <w:pPr>
        <w:pStyle w:val="LTAntwortRessortText"/>
      </w:pPr>
      <w:r>
        <w:t>Die Staatsregierung hat im Jahr 2016 als erstes Bundesland mit der Wohnsitzzuweisung auf Basis der Vorgaben des Integrationsgesetzes des Bundes Rege</w:t>
      </w:r>
      <w:r w:rsidR="00A86A35">
        <w:t>lungen zur Verteilung von anerkannten Asylbewerberinnen und -bewerbern</w:t>
      </w:r>
      <w:r>
        <w:t xml:space="preserve"> getroffen.</w:t>
      </w:r>
    </w:p>
    <w:p w:rsidR="006E4BC2" w:rsidRDefault="006E4BC2" w:rsidP="006E4BC2">
      <w:pPr>
        <w:pStyle w:val="LTAntwortRessortText"/>
      </w:pPr>
      <w:r>
        <w:t>Mit der Wohnsitzzuweisung können die Regierungen anerka</w:t>
      </w:r>
      <w:r w:rsidR="00A86A35">
        <w:t>nnten Asylbewerberinnen bzw. -be</w:t>
      </w:r>
      <w:r w:rsidR="00A86A35">
        <w:softHyphen/>
        <w:t>werbern und Bleibe</w:t>
      </w:r>
      <w:r>
        <w:t xml:space="preserve">berechtigten, die Sozialleistungen beziehen, für drei Jahre </w:t>
      </w:r>
      <w:r w:rsidR="00A86A35">
        <w:t>einen Wohnsitz zuweisen. Ausge</w:t>
      </w:r>
      <w:r>
        <w:t>nommen von der Regelung sind Personen, die bereits eine Ausb</w:t>
      </w:r>
      <w:r w:rsidR="00A86A35">
        <w:t>ildung absolvieren oder sozial</w:t>
      </w:r>
      <w:r>
        <w:t xml:space="preserve">versicherungspflichtig beschäftigt sind. Nach Maßgabe der Vorgaben des § 12a </w:t>
      </w:r>
      <w:r w:rsidR="00A86A35">
        <w:t>Aufenthaltgesetzes (</w:t>
      </w:r>
      <w:r>
        <w:t>AufenthG</w:t>
      </w:r>
      <w:r w:rsidR="00A86A35">
        <w:t>) wer</w:t>
      </w:r>
      <w:r>
        <w:t>den integrationspolitisch relevante Kriterien, wie etwa die Versorgung mit angemessenem Wohnraum, der Erwerb der deutschen Sprache sowie die Aussichten einer Integration in den Ausbildungs- und Arbeitsmarkt, durch die Regierungen bei jeder Zuweisungsentscheidung im Einzelfall berücksichtigt.</w:t>
      </w:r>
    </w:p>
    <w:p w:rsidR="006E4BC2" w:rsidRDefault="006E4BC2" w:rsidP="006E4BC2">
      <w:pPr>
        <w:pStyle w:val="LTAntwortRessortText"/>
      </w:pPr>
      <w:r>
        <w:t>Die Regelung zur Wohnsitzzuweisung ist bereits seit dem 1. S</w:t>
      </w:r>
      <w:r w:rsidR="00A86A35">
        <w:t>eptember 2016 in der Asyldurch-</w:t>
      </w:r>
      <w:r>
        <w:t>führungsverordnung (DVAsyl) in Kraft.</w:t>
      </w:r>
    </w:p>
    <w:p w:rsidR="006E4BC2" w:rsidRDefault="006E4BC2" w:rsidP="006E4BC2">
      <w:pPr>
        <w:pStyle w:val="LTAntwortRessortText"/>
      </w:pPr>
      <w:r>
        <w:t>Die Wohnsitzzuweisung ist erst mit Inkrafttreten des Integrationsgesetzes des Bundes Anfang August 2016 möglich geworden. Bayern hat davon unmittelba</w:t>
      </w:r>
      <w:r w:rsidR="00A86A35">
        <w:t>r und als erstes Bundesland Ge</w:t>
      </w:r>
      <w:r>
        <w:t>brauch gemacht.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Florian</w:t>
            </w:r>
            <w:r w:rsidRPr="006E4BC2">
              <w:rPr>
                <w:b/>
              </w:rPr>
              <w:br/>
              <w:t>Ritter</w:t>
            </w:r>
            <w:r w:rsidRPr="006E4BC2">
              <w:rPr>
                <w:b/>
              </w:rPr>
              <w:br/>
            </w:r>
            <w:r w:rsidRPr="006E4BC2">
              <w:t>(SPD)</w:t>
            </w:r>
            <w:r>
              <w:fldChar w:fldCharType="begin"/>
            </w:r>
            <w:r>
              <w:instrText xml:space="preserve"> TC </w:instrText>
            </w:r>
            <w:r w:rsidR="004A62EF">
              <w:instrText>„</w:instrText>
            </w:r>
            <w:bookmarkStart w:id="15" w:name="_Toc511290234"/>
            <w:r>
              <w:instrText>Ritter, Florian (SPD)</w:instrText>
            </w:r>
            <w:r>
              <w:br/>
              <w:instrText>Rechte Szene und Reichsbürger in den Landkreisen Freising, Erding, Pfaffenhofen und Dachau</w:instrText>
            </w:r>
            <w:bookmarkEnd w:id="15"/>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 xml:space="preserve">Ich frage die Staatsregierung, wie viele Personen aus den Landkreisen Freising, Erding, Pfaffenhofen und Dachau unterliegen als Angehörige der rechten und der </w:t>
            </w:r>
            <w:r w:rsidR="004A62EF">
              <w:t>„</w:t>
            </w:r>
            <w:r>
              <w:t>Reichsbürger</w:t>
            </w:r>
            <w:r w:rsidR="004A62EF">
              <w:t>“</w:t>
            </w:r>
            <w:r>
              <w:t>-Szene momentan dem Beobachtungsauftrag des Landesamtes für Verfassungsschutz, welchen Organisationen werden sie zugerechnet und befinden sich unter den beobachteten Personen auch Mitglieder der AfD?</w:t>
            </w:r>
          </w:p>
          <w:p w:rsidR="006E4BC2" w:rsidRDefault="006E4BC2" w:rsidP="006E4BC2">
            <w:pPr>
              <w:pStyle w:val="LTAnfrageText"/>
            </w:pP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Das Landesamt für Verfassungsschutz (BayLfV) sch</w:t>
      </w:r>
      <w:r w:rsidR="008E54A2">
        <w:t>lüsselt das extremistische Per</w:t>
      </w:r>
      <w:r w:rsidR="00CA1CC1">
        <w:t>sonenpotenz</w:t>
      </w:r>
      <w:r>
        <w:t xml:space="preserve">ial grundsätzlich nicht nach den einzelnen bayerischen Landkreisen, sondern nur auf Ebene der Regierungsbezirke auf. Daher können Zahlen </w:t>
      </w:r>
      <w:r w:rsidR="008E54A2">
        <w:t>für Personen, die unter den Be</w:t>
      </w:r>
      <w:r>
        <w:t>obachtungsauftrag des BayLfV fallen, nur für die Regierung</w:t>
      </w:r>
      <w:r w:rsidR="008E54A2">
        <w:t>sbezirke insgesamt genannt wer</w:t>
      </w:r>
      <w:r>
        <w:t>den.</w:t>
      </w:r>
    </w:p>
    <w:p w:rsidR="006E4BC2" w:rsidRDefault="006E4BC2" w:rsidP="006E4BC2">
      <w:pPr>
        <w:pStyle w:val="LTAntwortRessortText"/>
      </w:pPr>
      <w:r>
        <w:t>In Oberbayern stuft das BayLfV ca. 380 Personen als Rechtsextremisten ein.</w:t>
      </w:r>
    </w:p>
    <w:p w:rsidR="006E4BC2" w:rsidRDefault="006E4BC2" w:rsidP="006E4BC2">
      <w:pPr>
        <w:pStyle w:val="LTAntwortRessortText"/>
      </w:pPr>
      <w:r>
        <w:t xml:space="preserve">In den genannten Landkreisen ist die Partei </w:t>
      </w:r>
      <w:r w:rsidR="008E54A2">
        <w:t>„</w:t>
      </w:r>
      <w:r>
        <w:t>Der Dritte Weg</w:t>
      </w:r>
      <w:r w:rsidR="008E54A2">
        <w:t>“</w:t>
      </w:r>
      <w:r>
        <w:t xml:space="preserve"> durch ihren Stützpunkt München/Oberbayern vertreten. Daneben existiert ein Kreisverband der NPD in Freising. Die Strukturen der Partei </w:t>
      </w:r>
      <w:r w:rsidR="008E54A2">
        <w:t>„</w:t>
      </w:r>
      <w:r>
        <w:t>DIE RECHTE</w:t>
      </w:r>
      <w:r w:rsidR="008E54A2">
        <w:t>“</w:t>
      </w:r>
      <w:r>
        <w:t xml:space="preserve"> haben sich in Bayern weitgehend auf</w:t>
      </w:r>
      <w:r w:rsidR="008E54A2">
        <w:t>gelöst. Lediglich der Kreisver</w:t>
      </w:r>
      <w:r>
        <w:t xml:space="preserve">band München der Partei entfaltet noch vereinzelte Aktivitäten. Diesem Kreisverband werden auch einzelne Aktivisten in den genannten Landkreisen zugerechnet. Daneben fand im August 2017 eine Aktion der </w:t>
      </w:r>
      <w:r w:rsidR="008E54A2">
        <w:t>„</w:t>
      </w:r>
      <w:r>
        <w:t>Identitären Bewegung</w:t>
      </w:r>
      <w:r w:rsidR="008E54A2">
        <w:t>“</w:t>
      </w:r>
      <w:r>
        <w:t xml:space="preserve"> auf dem Dachauer Volksfest statt.</w:t>
      </w:r>
    </w:p>
    <w:p w:rsidR="006E4BC2" w:rsidRDefault="006E4BC2" w:rsidP="006E4BC2">
      <w:pPr>
        <w:pStyle w:val="LTAntwortRessortText"/>
      </w:pPr>
      <w:r>
        <w:t>In den angefragten Landkreisen gibt es eine unter Beobachtung des BayLfV stehende Person mit Verbindungen zur AfD.</w:t>
      </w:r>
    </w:p>
    <w:p w:rsidR="006E4BC2" w:rsidRDefault="006E4BC2" w:rsidP="006E4BC2">
      <w:pPr>
        <w:pStyle w:val="LTAntwortRessortText"/>
      </w:pPr>
      <w:r>
        <w:t>Der Reichsbürger- und Selbstverwalterszene werden in Oberbayern ca. 1.530 Personen zugerechnet. Nach den bisher vorliegenden Erkenntnissen sind ca. 90 Prozent der Reichsbürgerszene zuzuordnenden Personen in Bayern organisationsungebunden, lediglich ca. 10 Prozent können organisierten Gruppierungen zugeordnet werden.</w:t>
      </w:r>
    </w:p>
    <w:p w:rsidR="006E4BC2" w:rsidRPr="0050378A" w:rsidRDefault="006E4BC2" w:rsidP="006E4BC2">
      <w:pPr>
        <w:pStyle w:val="LTAntwortRessortText"/>
        <w:rPr>
          <w:spacing w:val="-2"/>
        </w:rPr>
      </w:pPr>
      <w:r w:rsidRPr="0050378A">
        <w:rPr>
          <w:spacing w:val="-2"/>
        </w:rPr>
        <w:t xml:space="preserve">Unter dem </w:t>
      </w:r>
      <w:r w:rsidR="004A62EF" w:rsidRPr="0050378A">
        <w:rPr>
          <w:spacing w:val="-2"/>
        </w:rPr>
        <w:t>„</w:t>
      </w:r>
      <w:r w:rsidRPr="0050378A">
        <w:rPr>
          <w:spacing w:val="-2"/>
        </w:rPr>
        <w:t>Amt Deutscher Heimatbund</w:t>
      </w:r>
      <w:r w:rsidR="004A62EF" w:rsidRPr="0050378A">
        <w:rPr>
          <w:spacing w:val="-2"/>
        </w:rPr>
        <w:t>“</w:t>
      </w:r>
      <w:r w:rsidRPr="0050378A">
        <w:rPr>
          <w:spacing w:val="-2"/>
        </w:rPr>
        <w:t xml:space="preserve"> findet sich die Heimatgemeinde Dachau.</w:t>
      </w:r>
      <w:r w:rsidR="008E54A2" w:rsidRPr="0050378A">
        <w:rPr>
          <w:spacing w:val="-2"/>
        </w:rPr>
        <w:t xml:space="preserve"> </w:t>
      </w:r>
      <w:r w:rsidRPr="0050378A">
        <w:rPr>
          <w:spacing w:val="-2"/>
        </w:rPr>
        <w:t>Das Personenpoten</w:t>
      </w:r>
      <w:r w:rsidR="00CA1CC1">
        <w:rPr>
          <w:spacing w:val="-2"/>
        </w:rPr>
        <w:t>z</w:t>
      </w:r>
      <w:r w:rsidRPr="0050378A">
        <w:rPr>
          <w:spacing w:val="-2"/>
        </w:rPr>
        <w:t xml:space="preserve">ial des </w:t>
      </w:r>
      <w:r w:rsidR="004A62EF" w:rsidRPr="0050378A">
        <w:rPr>
          <w:spacing w:val="-2"/>
        </w:rPr>
        <w:t>„</w:t>
      </w:r>
      <w:r w:rsidRPr="0050378A">
        <w:rPr>
          <w:spacing w:val="-2"/>
        </w:rPr>
        <w:t>Amtes Deutscher Heimatbund</w:t>
      </w:r>
      <w:r w:rsidR="004A62EF" w:rsidRPr="0050378A">
        <w:rPr>
          <w:spacing w:val="-2"/>
        </w:rPr>
        <w:t>“</w:t>
      </w:r>
      <w:r w:rsidRPr="0050378A">
        <w:rPr>
          <w:spacing w:val="-2"/>
        </w:rPr>
        <w:t xml:space="preserve"> wir</w:t>
      </w:r>
      <w:r w:rsidR="008E54A2" w:rsidRPr="0050378A">
        <w:rPr>
          <w:spacing w:val="-2"/>
        </w:rPr>
        <w:t>d derzeit auf 120 Personen bun</w:t>
      </w:r>
      <w:r w:rsidRPr="0050378A">
        <w:rPr>
          <w:spacing w:val="-2"/>
        </w:rPr>
        <w:t>desweit geschätzt. Von der Heimatgemeinde Dachau sind dem</w:t>
      </w:r>
      <w:r w:rsidR="008E54A2" w:rsidRPr="0050378A">
        <w:rPr>
          <w:spacing w:val="-2"/>
        </w:rPr>
        <w:t xml:space="preserve"> BayLfV keine aktuellen Aktivi</w:t>
      </w:r>
      <w:r w:rsidRPr="0050378A">
        <w:rPr>
          <w:spacing w:val="-2"/>
        </w:rPr>
        <w:t xml:space="preserve">täten bekannt geworden. Der </w:t>
      </w:r>
      <w:r w:rsidR="004A62EF" w:rsidRPr="0050378A">
        <w:rPr>
          <w:spacing w:val="-2"/>
        </w:rPr>
        <w:t>„</w:t>
      </w:r>
      <w:r w:rsidRPr="0050378A">
        <w:rPr>
          <w:spacing w:val="-2"/>
        </w:rPr>
        <w:t>Freidenker-Stammtisch Nandlstadt</w:t>
      </w:r>
      <w:r w:rsidR="004A62EF" w:rsidRPr="0050378A">
        <w:rPr>
          <w:spacing w:val="-2"/>
        </w:rPr>
        <w:t>“</w:t>
      </w:r>
      <w:r w:rsidRPr="0050378A">
        <w:rPr>
          <w:spacing w:val="-2"/>
        </w:rPr>
        <w:t xml:space="preserve"> betreibt den Internetauftritt </w:t>
      </w:r>
      <w:hyperlink r:id="rId14" w:history="1">
        <w:r w:rsidR="008E54A2" w:rsidRPr="0050378A">
          <w:rPr>
            <w:rStyle w:val="Hyperlink"/>
            <w:spacing w:val="-2"/>
          </w:rPr>
          <w:t>www.stammtisch-nandlstadt.de</w:t>
        </w:r>
      </w:hyperlink>
      <w:r w:rsidRPr="0050378A">
        <w:rPr>
          <w:spacing w:val="-2"/>
        </w:rPr>
        <w:t xml:space="preserve">. Im Jahr 2017 war der Stammtisch noch aktiv, inzwischen wurde auf der Seite jedoch eine </w:t>
      </w:r>
      <w:r w:rsidR="004A62EF" w:rsidRPr="0050378A">
        <w:rPr>
          <w:spacing w:val="-2"/>
        </w:rPr>
        <w:t>„</w:t>
      </w:r>
      <w:r w:rsidRPr="0050378A">
        <w:rPr>
          <w:spacing w:val="-2"/>
        </w:rPr>
        <w:t>Stammtisch-Pause</w:t>
      </w:r>
      <w:r w:rsidR="004A62EF" w:rsidRPr="0050378A">
        <w:rPr>
          <w:spacing w:val="-2"/>
        </w:rPr>
        <w:t>“</w:t>
      </w:r>
      <w:r w:rsidRPr="0050378A">
        <w:rPr>
          <w:spacing w:val="-2"/>
        </w:rPr>
        <w:t xml:space="preserve"> veröffentlicht.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Bernhard</w:t>
            </w:r>
            <w:r w:rsidRPr="006E4BC2">
              <w:rPr>
                <w:b/>
              </w:rPr>
              <w:br/>
              <w:t>Roos</w:t>
            </w:r>
            <w:r w:rsidRPr="006E4BC2">
              <w:rPr>
                <w:b/>
              </w:rPr>
              <w:br/>
            </w:r>
            <w:r w:rsidRPr="006E4BC2">
              <w:t>(SPD)</w:t>
            </w:r>
            <w:r>
              <w:fldChar w:fldCharType="begin"/>
            </w:r>
            <w:r>
              <w:instrText xml:space="preserve"> TC </w:instrText>
            </w:r>
            <w:r w:rsidR="004A62EF">
              <w:instrText>„</w:instrText>
            </w:r>
            <w:bookmarkStart w:id="16" w:name="_Toc511290235"/>
            <w:r>
              <w:instrText>Roos, Bernhard (SPD)</w:instrText>
            </w:r>
            <w:r>
              <w:br/>
              <w:instrText>Abschiebung schwerkranker Flüchtlinge stoppen</w:instrText>
            </w:r>
            <w:bookmarkEnd w:id="16"/>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Nachdem am 01.03.2018</w:t>
            </w:r>
            <w:r w:rsidR="004A62EF">
              <w:t xml:space="preserve"> </w:t>
            </w:r>
            <w:r>
              <w:t>der Flüchtling L. im Klinikum Passau an den Fol</w:t>
            </w:r>
            <w:r w:rsidR="0025054C">
              <w:t xml:space="preserve">gen seiner Hepatitis-Erkrankung, </w:t>
            </w:r>
            <w:r>
              <w:t>die den bayerischen Behörden bekannt war, an Leberkrebs verstarb, wurde er trotzdem im Jahr 2017 nach Italien abgeschoben, wo er aufgrund der bekannten menschenunwürdigen Umstände für Flüchtlinge auf der Straße leben musste, er kehrte trotzdem wieder nach Deutschland zurück, wo er verstarb, deshalb frage ich die Staatsregierung, wie hätte nach Ansicht der Staatsregierung der Tod des Flüchtlings L.</w:t>
            </w:r>
            <w:r w:rsidR="0025054C">
              <w:t xml:space="preserve"> </w:t>
            </w:r>
            <w:r>
              <w:t>verhindert werden können (bitte daraus gezogene Lehren des Staatsministeriums des Innern und für Integration darlegen), welche medizinischen Grunduntersuchungen finden in Transitzentren statt und wie viele schwerkranke Flüchtlinge wurden seit dem Jahr 2014 abgeschoben (bitte aufgeschlüsselt nach Jahren)?</w:t>
            </w:r>
          </w:p>
          <w:p w:rsidR="006E4BC2" w:rsidRDefault="006E4BC2" w:rsidP="006E4BC2">
            <w:pPr>
              <w:pStyle w:val="LTAnfrageText"/>
            </w:pP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In dem betreffenden Fall handelte es sich um eine Dublin-Überstellung nach Italien, nachdem das dafür ausschließlich zuständige Bundesamt für Migration und Flüchtlinge (BAMF) den Asylantrag als unzulässig abgelehnt und von seinem Selbstein</w:t>
      </w:r>
      <w:r w:rsidR="0025054C">
        <w:t>trittsrecht keinen Gebrauch ge</w:t>
      </w:r>
      <w:r>
        <w:t>macht hatte. Das gegen die Abschiebung angerufene Verwaltungsgericht hatte entschieden, dass die ärztlich festgestellte chronische Hepatitis-B-Erkrankun</w:t>
      </w:r>
      <w:r w:rsidR="0025054C">
        <w:t>g der Überstellung nicht entge</w:t>
      </w:r>
      <w:r>
        <w:t>gensteht, da in Italien eine ausreichende medizinische Versorgung gegeben sei.</w:t>
      </w:r>
    </w:p>
    <w:p w:rsidR="006E4BC2" w:rsidRDefault="006E4BC2" w:rsidP="006E4BC2">
      <w:pPr>
        <w:pStyle w:val="LTAntwortRessortText"/>
      </w:pPr>
      <w:r>
        <w:t>Asylbewerber</w:t>
      </w:r>
      <w:r w:rsidR="0025054C">
        <w:t>innen und -bewerber</w:t>
      </w:r>
      <w:r>
        <w:t xml:space="preserve"> nehmen im Rahmen der gesetzlichen Vorschriften grundsätzlich am allgemeinen ärztlichen Versorgungsangebot teil und haben ein Recht auf freie Arztwahl. Sie erhalten hierfür vom zuständigen örtlichen Leistungsträger pro Quartal einen Behandlungsschein und können damit niedergelassene Ärzte vor Ort aufsuchen. Soweit neben diesem allgemeinen ärztlichen Versorgungsangebot erforderlich, hat der Freistaat Bayern in allen Aufnahmeeinrichtungen Ärztezentren eingerichtet, um Asylbewerber</w:t>
      </w:r>
      <w:r w:rsidR="0025054C">
        <w:t>innen und -bewerber</w:t>
      </w:r>
      <w:r>
        <w:t xml:space="preserve"> vor Ort auf niedri</w:t>
      </w:r>
      <w:r w:rsidR="0025054C">
        <w:t>gschwelliger Basis kurativ ver</w:t>
      </w:r>
      <w:r>
        <w:t>sorgen zu können.</w:t>
      </w:r>
    </w:p>
    <w:p w:rsidR="006E4BC2" w:rsidRDefault="006E4BC2" w:rsidP="006E4BC2">
      <w:pPr>
        <w:pStyle w:val="LTAntwortRessortText"/>
      </w:pPr>
      <w:r>
        <w:t>Der Gesundheitszustand des Betreffenden wurde zu jedem Zeitpunkt seines Aufenthalts im Bundesgebiet sowohl von der zuständigen Ausländerbehörde</w:t>
      </w:r>
      <w:r w:rsidR="0025054C">
        <w:t xml:space="preserve"> als auch den für die Unterbrin</w:t>
      </w:r>
      <w:r>
        <w:t>gung und sozialen Versorgung zuständigen Behörden berücksi</w:t>
      </w:r>
      <w:r w:rsidR="0025054C">
        <w:t>chtigt. Entscheidungen über me</w:t>
      </w:r>
      <w:r>
        <w:t>dizinische Belange obliegen allein den behandelnden Ärzten, die insoweit der ärztlichen Schweigepflicht unterliegen. Der Staatsregierung ist daher ni</w:t>
      </w:r>
      <w:r w:rsidR="0025054C">
        <w:t>cht bekannt, welche therapeuti</w:t>
      </w:r>
      <w:r>
        <w:t>schen Maßnahmen während der Zeit der Aufenthalte des Betreffenden im Bundesgebiet von den behandelnden Ärzten eingeleitet worden sind und ob sein Tod, den die Staatsregierung bedauert, mit medizinischen Mitteln hätte verhindert werden können.</w:t>
      </w:r>
    </w:p>
    <w:p w:rsidR="006E4BC2" w:rsidRDefault="006E4BC2" w:rsidP="006E4BC2">
      <w:pPr>
        <w:pStyle w:val="LTAntwortRessortText"/>
      </w:pPr>
      <w:r>
        <w:t>Wie viele Personen mit gesundheitlichen Beeinträchtigungen abgeschoben wurden, wird statistisch nicht erfasst. In jedem Fall handelt es sich um Personen, bei denen die gesundheitliche Beeinträchtigung weder zur Zuerkennung asylrechtlichen Schutzes durch das BAMF noch zum Ausschluss der Reisefähigkeit geführt hat.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Georg</w:t>
            </w:r>
            <w:r w:rsidRPr="006E4BC2">
              <w:rPr>
                <w:b/>
              </w:rPr>
              <w:br/>
              <w:t>Rosenthal</w:t>
            </w:r>
            <w:r w:rsidRPr="006E4BC2">
              <w:rPr>
                <w:b/>
              </w:rPr>
              <w:br/>
            </w:r>
            <w:r w:rsidRPr="006E4BC2">
              <w:t>(SPD)</w:t>
            </w:r>
            <w:r>
              <w:fldChar w:fldCharType="begin"/>
            </w:r>
            <w:r>
              <w:instrText xml:space="preserve"> TC </w:instrText>
            </w:r>
            <w:r w:rsidR="004A62EF">
              <w:instrText>„</w:instrText>
            </w:r>
            <w:bookmarkStart w:id="17" w:name="_Toc511290236"/>
            <w:r>
              <w:instrText>Rosenthal, Georg (SPD)</w:instrText>
            </w:r>
            <w:r>
              <w:br/>
              <w:instrText>Bedrohte Gastwirte</w:instrText>
            </w:r>
            <w:bookmarkEnd w:id="17"/>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 xml:space="preserve">Vor dem Hintergrund der Bedrohung von Gastwirten durch die Gruppierung </w:t>
            </w:r>
            <w:r w:rsidR="004A62EF">
              <w:t>„</w:t>
            </w:r>
            <w:r>
              <w:t xml:space="preserve">Interventionistische Rechte </w:t>
            </w:r>
            <w:r w:rsidR="00EB2D68">
              <w:t>–</w:t>
            </w:r>
            <w:r>
              <w:t xml:space="preserve"> Kommando Otto Skorzeny</w:t>
            </w:r>
            <w:r w:rsidR="004A62EF">
              <w:t>“</w:t>
            </w:r>
            <w:r>
              <w:t>, frage ich die Staatsregierung, in welchen unterfränkischen Orten und wie viele</w:t>
            </w:r>
            <w:r w:rsidR="004A62EF">
              <w:t xml:space="preserve"> </w:t>
            </w:r>
            <w:r>
              <w:t>unterfränkische Gastwirte von dieser</w:t>
            </w:r>
            <w:r w:rsidR="004A62EF">
              <w:t xml:space="preserve"> </w:t>
            </w:r>
            <w:r>
              <w:t xml:space="preserve">und anderen rechten Gruppierungen bedroht werden, die Veranstaltungen </w:t>
            </w:r>
            <w:r w:rsidR="004A62EF">
              <w:t>„</w:t>
            </w:r>
            <w:r>
              <w:t>linker, grüner oder antifaschistischer</w:t>
            </w:r>
            <w:r w:rsidR="004A62EF">
              <w:t>“</w:t>
            </w:r>
            <w:r>
              <w:t xml:space="preserve"> Gruppierungen oder Parteien</w:t>
            </w:r>
            <w:r w:rsidR="004A62EF">
              <w:t xml:space="preserve"> </w:t>
            </w:r>
            <w:r>
              <w:t>in ihren Räumlichkeiten</w:t>
            </w:r>
            <w:r w:rsidR="004A62EF">
              <w:t xml:space="preserve"> </w:t>
            </w:r>
            <w:r>
              <w:t>zulassen, und welche Maßnahmen sie gedenkt, dagegen zu unternehmen?</w:t>
            </w:r>
          </w:p>
          <w:p w:rsidR="006E4BC2" w:rsidRDefault="006E4BC2" w:rsidP="006E4BC2">
            <w:pPr>
              <w:pStyle w:val="LTAnfrageText"/>
            </w:pP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 xml:space="preserve">Den bayerischen Sicherheitsbehörden ist derzeit in Unterfranken ein Fall aus Kahl am Main im Landkreis Aschaffenburg bekannt, bei dem eine Gaststätte durch die </w:t>
      </w:r>
      <w:r w:rsidR="004A62EF">
        <w:t>„</w:t>
      </w:r>
      <w:r>
        <w:t xml:space="preserve">Interventionistische Rechte </w:t>
      </w:r>
      <w:r w:rsidR="00EB2D68">
        <w:t>–</w:t>
      </w:r>
      <w:r>
        <w:t>Kommando Otto Skorzeny</w:t>
      </w:r>
      <w:r w:rsidR="004A62EF">
        <w:t>“</w:t>
      </w:r>
      <w:r>
        <w:t xml:space="preserve"> angeschrieben wurde. Dabei wurden Repressalien für den Fall angedroht, dass in der Gaststätte erneut Treffen </w:t>
      </w:r>
      <w:r w:rsidR="004A62EF">
        <w:t>„</w:t>
      </w:r>
      <w:r>
        <w:t>linker Gruppierungen</w:t>
      </w:r>
      <w:r w:rsidR="004A62EF">
        <w:t>“</w:t>
      </w:r>
      <w:r>
        <w:t xml:space="preserve"> stattfinden sollten. Ein schädigendes Ereignis fand bisher nicht statt.</w:t>
      </w:r>
    </w:p>
    <w:p w:rsidR="006E4BC2" w:rsidRDefault="006E4BC2" w:rsidP="006E4BC2">
      <w:pPr>
        <w:pStyle w:val="LTAntwortRessortText"/>
      </w:pPr>
      <w:r>
        <w:t xml:space="preserve">Das Landesamt für Verfassungsschutz (BayLfV) informiert auf seiner Homepage  </w:t>
      </w:r>
      <w:hyperlink r:id="rId15" w:history="1">
        <w:r w:rsidR="00EB2D68" w:rsidRPr="007473B9">
          <w:rPr>
            <w:rStyle w:val="Hyperlink"/>
          </w:rPr>
          <w:t>www.verfassungsschutz.bayern.de</w:t>
        </w:r>
      </w:hyperlink>
      <w:r w:rsidR="00EB2D68">
        <w:t xml:space="preserve"> </w:t>
      </w:r>
      <w:r>
        <w:t xml:space="preserve">unter der Überschrift </w:t>
      </w:r>
      <w:r w:rsidR="004A62EF">
        <w:t>„</w:t>
      </w:r>
      <w:r>
        <w:t xml:space="preserve">Drohungen unter der Bezeichnung Interventionistische Rechte </w:t>
      </w:r>
      <w:r w:rsidR="00EB2D68">
        <w:t>–</w:t>
      </w:r>
      <w:r>
        <w:t xml:space="preserve"> Kommando Otto Skorzeny gegen Gastwirte in Bayern</w:t>
      </w:r>
      <w:r w:rsidR="004A62EF">
        <w:t>“</w:t>
      </w:r>
      <w:r>
        <w:t xml:space="preserve"> über die Thematik. Betroffene Gastwirte werden darauf hingewiesen, sic</w:t>
      </w:r>
      <w:r w:rsidR="00EB2D68">
        <w:t>h an die nächste Polizeidienst</w:t>
      </w:r>
      <w:r>
        <w:t>stelle zu wenden. Darüber hinaus wird auf die Bayerische Inf</w:t>
      </w:r>
      <w:r w:rsidR="00EB2D68">
        <w:t>ormationsstelle gegen Extremis</w:t>
      </w:r>
      <w:r>
        <w:t>mus (BIGE) verwiesen, die als Informations- und Beratungsste</w:t>
      </w:r>
      <w:r w:rsidR="00EB2D68">
        <w:t>lle der Staatsregierung zur Be</w:t>
      </w:r>
      <w:r>
        <w:t>kämpfung des politischen Extremismus Betroffenen und Interessierten zur Verfügung steht.</w:t>
      </w:r>
    </w:p>
    <w:p w:rsidR="006E4BC2" w:rsidRDefault="006E4BC2" w:rsidP="006E4BC2">
      <w:pPr>
        <w:pStyle w:val="LTAntwortRessortText"/>
      </w:pPr>
      <w:r>
        <w:t xml:space="preserve">Das BayLfV steht mit den Polizeibehörden und den Verfassungsschutzbehörden des Bundes und der Länder auch bezüglich der </w:t>
      </w:r>
      <w:r w:rsidR="00CA1CC1">
        <w:t>„</w:t>
      </w:r>
      <w:r>
        <w:t xml:space="preserve">Interventionistischen Rechten </w:t>
      </w:r>
      <w:r w:rsidR="00EB2D68">
        <w:t xml:space="preserve">– </w:t>
      </w:r>
      <w:r>
        <w:t>Kommando Otto Skorzeny</w:t>
      </w:r>
      <w:r w:rsidR="00CA1CC1">
        <w:t>“</w:t>
      </w:r>
      <w:r>
        <w:t xml:space="preserve"> in einem engen Informationsaustausch.</w:t>
      </w:r>
    </w:p>
    <w:p w:rsidR="006E4BC2" w:rsidRDefault="006E4BC2" w:rsidP="006E4BC2">
      <w:pPr>
        <w:pStyle w:val="LTAntwortRessortText"/>
      </w:pPr>
      <w:r>
        <w:t>Durch die Kriminalpolizeiinspektion Aschaffenburg wurde i</w:t>
      </w:r>
      <w:r w:rsidR="00EB2D68">
        <w:t>m gegenständlichen Fall ein Er</w:t>
      </w:r>
      <w:r>
        <w:t>mittlungsverfahren eingeleitet, welches derzeit noch nicht abgeschlossen ist.</w:t>
      </w:r>
    </w:p>
    <w:p w:rsidR="006E4BC2" w:rsidRDefault="006E4BC2" w:rsidP="006E4BC2">
      <w:pPr>
        <w:pStyle w:val="LTAntwortRessortText"/>
      </w:pPr>
      <w:r>
        <w:t xml:space="preserve">Grundsätzlich wird jede derartige Bedrohung </w:t>
      </w:r>
      <w:r w:rsidR="00EB2D68">
        <w:t>–</w:t>
      </w:r>
      <w:r>
        <w:t xml:space="preserve"> wie auch sonstige Gefährdungslagen </w:t>
      </w:r>
      <w:r w:rsidR="00EB2D68">
        <w:t>–</w:t>
      </w:r>
      <w:r>
        <w:t xml:space="preserve"> einer einzelfallbezogenen Prüfung durch die zuständige Polizeidienstst</w:t>
      </w:r>
      <w:r w:rsidR="00EB2D68">
        <w:t>elle hinsichtlich der Ernsthaf</w:t>
      </w:r>
      <w:r>
        <w:t>tigkeit der Drohung unterzogen. In Abhängigkeit vom Ergebnis werden in der Folge z.</w:t>
      </w:r>
      <w:r w:rsidR="00EB2D68">
        <w:t> B. kon</w:t>
      </w:r>
      <w:r>
        <w:t xml:space="preserve">krete Schutzmaßnahmen durchgeführt. Zudem finden im Bedarfsfall Beratungen der bedrohten Personen statt. Bei </w:t>
      </w:r>
      <w:r w:rsidR="00CA1CC1">
        <w:t>Vorliegen eines Anfangsverdacht</w:t>
      </w:r>
      <w:r>
        <w:t xml:space="preserve">s einer Straftat wird </w:t>
      </w:r>
      <w:r w:rsidR="00EB2D68">
        <w:t>– wie im vorliegen</w:t>
      </w:r>
      <w:r>
        <w:t xml:space="preserve">den Fall in Unterfranken </w:t>
      </w:r>
      <w:r w:rsidR="00EB2D68">
        <w:t>–</w:t>
      </w:r>
      <w:r>
        <w:t xml:space="preserve"> ferner ein Ermittlungsverfahren eingeleitet.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Katharina</w:t>
            </w:r>
            <w:r w:rsidRPr="006E4BC2">
              <w:rPr>
                <w:b/>
              </w:rPr>
              <w:br/>
              <w:t>Schulze</w:t>
            </w:r>
            <w:r w:rsidRPr="006E4BC2">
              <w:rPr>
                <w:b/>
              </w:rPr>
              <w:br/>
            </w:r>
            <w:r w:rsidRPr="006E4BC2">
              <w:t>(BÜNDNIS 90/DIE GRÜNEN)</w:t>
            </w:r>
            <w:r>
              <w:fldChar w:fldCharType="begin"/>
            </w:r>
            <w:r>
              <w:instrText xml:space="preserve"> TC </w:instrText>
            </w:r>
            <w:r w:rsidR="004A62EF">
              <w:instrText>„</w:instrText>
            </w:r>
            <w:bookmarkStart w:id="18" w:name="_Toc511290237"/>
            <w:r>
              <w:instrText>Schulze, Katharina (BÜNDNIS 90/DIE GRÜNEN)</w:instrText>
            </w:r>
            <w:r>
              <w:br/>
              <w:instrText>Kurden-Fahne auf Facebook gepostet</w:instrText>
            </w:r>
            <w:bookmarkEnd w:id="18"/>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Nachdem das damalige Bundesministerium des Innern im März 2017 entschied, dass YPG-Fahnen dann verboten sind, wenn sie stellvertretend für die PKK gezeigt werden,</w:t>
            </w:r>
            <w:r w:rsidR="00A368B7">
              <w:t xml:space="preserve"> </w:t>
            </w:r>
            <w:r>
              <w:t>frage ich die Staatsregierung, ob sie der Auffassung ist, dass die Aufnahme eines Ermittlungsverfahrens wegen Verstoßes gegen das Vereinsgesetz aufgrund des Zeigens von YPG-Fahnen einen Bezug des Beschuldigten zur PKK voraussetzt,</w:t>
            </w:r>
            <w:r w:rsidR="004A62EF">
              <w:t xml:space="preserve"> </w:t>
            </w:r>
            <w:r>
              <w:t>ob sie die Auffassung der Polizei München teilt, dass Medien zum Zweck der staatsbürgerlichen Aufklärung verbotene Zeichen zeigen dürften, dies aber nicht für die Nutzer dieser Medien gelte, wie zum Beispiel im Fall der Ermittlungen gegen Herrn J. K. wegen Teilens eines BR-Artikels auf Facebook,</w:t>
            </w:r>
            <w:r w:rsidR="004A62EF">
              <w:t xml:space="preserve"> </w:t>
            </w:r>
            <w:r>
              <w:t>und falls ja, welche Kriterien qualifizieren Personen oder Institutionen nach Auffassung der Staatsregierung dafür, als Medium zu gelten und somit weitergehende Rechte als Privatpersonen zu besitzen?</w:t>
            </w:r>
          </w:p>
          <w:p w:rsidR="006E4BC2" w:rsidRDefault="006E4BC2" w:rsidP="006E4BC2">
            <w:pPr>
              <w:pStyle w:val="LTAnfrageText"/>
            </w:pP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Staatsanwaltschaft und Polizei sind aufgrund des Legalitätsgrund</w:t>
      </w:r>
      <w:r w:rsidR="00A368B7">
        <w:t xml:space="preserve">satzes verpflichtet, ein </w:t>
      </w:r>
      <w:r w:rsidR="00276106">
        <w:t>strafrechtliches</w:t>
      </w:r>
      <w:r>
        <w:t xml:space="preserve"> Ermittlungsverfahren einzuleiten, sofern zureichende tatsächliche Anhaltspunkte dafür vorliegen, dass eine verfolgbare Straftat begangen wurde. Entscheidend für die Frage, ob solche Anhaltspunkte vorliegen, sind alle maßgeblichen U</w:t>
      </w:r>
      <w:r w:rsidR="00196271">
        <w:t>mstände des Einzelfall</w:t>
      </w:r>
      <w:r>
        <w:t>s. So kommt es im Hinblick auf das Zeigen von YPG-Fahnen auf den Gesamtzusammenhang der konkreten Benutzung unter B</w:t>
      </w:r>
      <w:r w:rsidR="00196271">
        <w:t>erücksichtigung des Schutzzweck</w:t>
      </w:r>
      <w:r>
        <w:t>s der Verbotsnorm des hier einschlägigen Vereinsgesetzes (VereinsG) an, was sich zwangsläufig jeglicher Pauschalisierung entzieht. Mit der Einleitung eines Ermittlungsverfahrens gehen im Übrigen sowohl umfassende Rechte des dann Beschuldigten sowie im Erfordernis einer objektiven Verdachtsklärung die Verpflichtung der Strafverfolgungsbehörden, auch entlastende Umstände zu ermitteln, einher.</w:t>
      </w:r>
    </w:p>
    <w:p w:rsidR="006E4BC2" w:rsidRDefault="006E4BC2" w:rsidP="006E4BC2">
      <w:pPr>
        <w:pStyle w:val="LTAntwortRessortText"/>
      </w:pPr>
      <w:r>
        <w:t xml:space="preserve">Wie §§ 86a </w:t>
      </w:r>
      <w:r w:rsidR="00A368B7">
        <w:t>Abs.</w:t>
      </w:r>
      <w:r>
        <w:t xml:space="preserve"> 3, 86 </w:t>
      </w:r>
      <w:r w:rsidR="00A368B7">
        <w:t>Abs.</w:t>
      </w:r>
      <w:r>
        <w:t xml:space="preserve"> 3 Strafgesetzbuch (StGB) enthält auch § 20 </w:t>
      </w:r>
      <w:r w:rsidR="00A368B7">
        <w:t>Abs.</w:t>
      </w:r>
      <w:r>
        <w:t xml:space="preserve"> 1 Satz 2</w:t>
      </w:r>
      <w:r w:rsidR="00A368B7">
        <w:t xml:space="preserve"> </w:t>
      </w:r>
      <w:r>
        <w:t>i.</w:t>
      </w:r>
      <w:r w:rsidR="00A368B7">
        <w:t> </w:t>
      </w:r>
      <w:r>
        <w:t>V.</w:t>
      </w:r>
      <w:r w:rsidR="00A368B7">
        <w:t> </w:t>
      </w:r>
      <w:r>
        <w:t xml:space="preserve">m. § 9 </w:t>
      </w:r>
      <w:r w:rsidR="00A368B7">
        <w:t>Abs.</w:t>
      </w:r>
      <w:r>
        <w:t xml:space="preserve"> 1 Satz 2 VereinsG eine sog. Sozialadäquanzklausel. Der Tatbestand des § 20 </w:t>
      </w:r>
      <w:r w:rsidR="00A368B7">
        <w:t>Abs.</w:t>
      </w:r>
      <w:r>
        <w:t xml:space="preserve"> 1 Satz 1 </w:t>
      </w:r>
      <w:r w:rsidR="00A368B7">
        <w:t>Nr.</w:t>
      </w:r>
      <w:r>
        <w:t xml:space="preserve"> 5 VereinsG ist hiernach ausges</w:t>
      </w:r>
      <w:r w:rsidR="00A368B7">
        <w:t>chlossen, wenn die Kennzeichen</w:t>
      </w:r>
      <w:r>
        <w:t>verwendung im Rahmen der staatsbürgerlichen Aufklärung, der Abwehr verfassungswidriger</w:t>
      </w:r>
      <w:r w:rsidR="00A368B7">
        <w:t xml:space="preserve"> </w:t>
      </w:r>
      <w:r>
        <w:t xml:space="preserve">Bestrebungen und ähnlicher Zwecke geschieht. In Anlehnung an § </w:t>
      </w:r>
      <w:r w:rsidR="00A368B7">
        <w:t>86 Abs. 3 StGB fällt hierun</w:t>
      </w:r>
      <w:r>
        <w:t xml:space="preserve">ter auch die Berichterstattung über Vorgänge des Zeitgeschehens oder der Geschichte. Daher darf in der Presse eine entsprechende Berichterstattung mit Kennzeichen </w:t>
      </w:r>
      <w:r w:rsidR="004A62EF">
        <w:t>„</w:t>
      </w:r>
      <w:r>
        <w:t>bebildert</w:t>
      </w:r>
      <w:r w:rsidR="004A62EF">
        <w:t>“</w:t>
      </w:r>
      <w:r>
        <w:t xml:space="preserve"> werden.</w:t>
      </w:r>
    </w:p>
    <w:p w:rsidR="006E4BC2" w:rsidRDefault="006E4BC2" w:rsidP="006E4BC2">
      <w:pPr>
        <w:pStyle w:val="LTAntwortRessortText"/>
      </w:pPr>
      <w:r>
        <w:t>Eine weitergehende Privilegierung würde die Möglichkeit eröffnen, dass Anhänger verbotener Organisationen sich das Berichterstatterprivileg zu Nutze m</w:t>
      </w:r>
      <w:r w:rsidR="00A368B7">
        <w:t>achen, um unter dem Vorwand ei</w:t>
      </w:r>
      <w:r>
        <w:t>ner Berichterstattung straflos Kennzeichen dieser Organisationen zu verbreiten.</w:t>
      </w:r>
    </w:p>
    <w:p w:rsidR="006E4BC2" w:rsidRDefault="006E4BC2" w:rsidP="006E4BC2">
      <w:pPr>
        <w:pStyle w:val="LTAntwortRessortText"/>
      </w:pPr>
      <w:r>
        <w:t xml:space="preserve">Unter Berichterstattung in diesem Sinne fallen jedenfalls Formen der Nachrichtenübermittlung oder Dokumentation, die ein wahres Geschehen zum Inhalt haben und Informationszwecken dienen. Wann dies der Fall ist, lässt sich nur im konkreten Einzelfall und im Rahmen der hierzu durchzuführenden Ermittlungen prüfen. Dabei haben </w:t>
      </w:r>
      <w:r w:rsidR="00A368B7">
        <w:t>–</w:t>
      </w:r>
      <w:r>
        <w:t xml:space="preserve"> wie b</w:t>
      </w:r>
      <w:r w:rsidR="00A368B7">
        <w:t>ereits ausgeführt – die Ermitt</w:t>
      </w:r>
      <w:r>
        <w:t>lungsbehörden auch Umstände aufzuklären, die zur Entlastung eines Beschuldigten führen.</w:t>
      </w:r>
    </w:p>
    <w:p w:rsidR="006E4BC2" w:rsidRDefault="006E4BC2" w:rsidP="006E4BC2">
      <w:pPr>
        <w:pStyle w:val="LTAntwortRessortText"/>
      </w:pPr>
      <w:r>
        <w:t xml:space="preserve">Bei den genannten Ermittlungen gegen </w:t>
      </w:r>
      <w:r w:rsidR="00A368B7">
        <w:t>Herrn J.</w:t>
      </w:r>
      <w:r>
        <w:t xml:space="preserve"> K. handelt e</w:t>
      </w:r>
      <w:r w:rsidR="00A368B7">
        <w:t>s sich um ein laufendes Ermitt</w:t>
      </w:r>
      <w:r>
        <w:t>lungsv</w:t>
      </w:r>
      <w:r w:rsidR="00A368B7">
        <w:t>erfahren, so</w:t>
      </w:r>
      <w:r>
        <w:t>dass hierzu keine weiteren Auskünfte erteilt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Stefan</w:t>
            </w:r>
            <w:r w:rsidRPr="006E4BC2">
              <w:rPr>
                <w:b/>
              </w:rPr>
              <w:br/>
              <w:t>Schuster</w:t>
            </w:r>
            <w:r w:rsidRPr="006E4BC2">
              <w:rPr>
                <w:b/>
              </w:rPr>
              <w:br/>
            </w:r>
            <w:r w:rsidRPr="006E4BC2">
              <w:t>(SPD)</w:t>
            </w:r>
            <w:r>
              <w:fldChar w:fldCharType="begin"/>
            </w:r>
            <w:r>
              <w:instrText xml:space="preserve"> TC </w:instrText>
            </w:r>
            <w:r w:rsidR="004A62EF">
              <w:instrText>„</w:instrText>
            </w:r>
            <w:bookmarkStart w:id="19" w:name="_Toc511290238"/>
            <w:r>
              <w:instrText>Schuster, Stefan (SPD)</w:instrText>
            </w:r>
            <w:r>
              <w:br/>
              <w:instrText>Personalzuteilung der Polizei 2019</w:instrText>
            </w:r>
            <w:bookmarkEnd w:id="19"/>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Im Zusammenhang mit der geplanten Errichtung einer Bayerischen Grenzpolizei frage ich die Staatsregierung, welche Pläne die Staatsregierung für die Personalzuteilung 2019 der Absolventinnen und Absolventen der Polizeiausbildung auf die Polizeipräsidien hat, wie viele Absolventinnen und Absolventen der Bayerischen Grenzpolizei zugeteilt werden sollen und ob durch den Aufbau einer Bayerischen Grenzpolizei die Gesamtzahl der einzustellenden Absolventinnen und Absolventen über die bisherigen Planungen hinaus erhöht wird?</w:t>
            </w:r>
          </w:p>
          <w:p w:rsidR="006E4BC2" w:rsidRDefault="006E4BC2" w:rsidP="006E4BC2">
            <w:pPr>
              <w:pStyle w:val="LTAnfrageText"/>
            </w:pP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Die Zuteilung der fertig ausgebildeten Polizeibeamtinnen und -beamten an die Verbände der Bayerischen Polizei erfolgt halbjährlich. Sie orientiert sich an der aktuellen Personals</w:t>
      </w:r>
      <w:r w:rsidR="00CA1CC1">
        <w:t>ituation des jeweiligen Verband</w:t>
      </w:r>
      <w:r>
        <w:t>s, das heißt an einem Vergleich der zugewiesenen Sollstellen mit dem vorhandenen Personal unter Berücksichtigung von Ruhestandsabgängen, Abordnungen, Schwangerschaften, frei</w:t>
      </w:r>
      <w:r w:rsidR="00B66963">
        <w:t xml:space="preserve"> </w:t>
      </w:r>
      <w:r>
        <w:t xml:space="preserve">werdenden Dienstposten etc. Ziel ist </w:t>
      </w:r>
      <w:r w:rsidR="00B66963">
        <w:t>eine möglichst ausgewogene Per</w:t>
      </w:r>
      <w:r>
        <w:t>sonalausstattung bei der Bayerischen Polizei. Die gemeldeten Ruhestä</w:t>
      </w:r>
      <w:r w:rsidR="00B66963">
        <w:t>nde bei den Präsidien der Bayerischen</w:t>
      </w:r>
      <w:r>
        <w:t xml:space="preserve"> Landespolizei konnten seit dem Zuteilungstermin im </w:t>
      </w:r>
      <w:r w:rsidR="00B66963">
        <w:t>Herbst 2016 bezogen auf den je</w:t>
      </w:r>
      <w:r>
        <w:t>weiligen Polizeiverband jeweils vollständig ausgeglichen werden.</w:t>
      </w:r>
    </w:p>
    <w:p w:rsidR="006E4BC2" w:rsidRDefault="006E4BC2" w:rsidP="006E4BC2">
      <w:pPr>
        <w:pStyle w:val="LTAntwortRessortText"/>
      </w:pPr>
      <w:r>
        <w:t>Die Verteilung des Personals innerhalb eines Polizeipräsidiums ist Führung</w:t>
      </w:r>
      <w:r w:rsidR="00B66963">
        <w:t>saufgabe des jewei</w:t>
      </w:r>
      <w:r w:rsidR="00CA1CC1">
        <w:t>ligen Verband</w:t>
      </w:r>
      <w:r>
        <w:t>s, der eine angemessene Berücksichtigung aller nachgeordneten Dienststellen unter Einbeziehung belastungs- und lagerelevanter Aspekte zu gewährleisten hat.</w:t>
      </w:r>
    </w:p>
    <w:p w:rsidR="006E4BC2" w:rsidRDefault="006E4BC2" w:rsidP="006E4BC2">
      <w:pPr>
        <w:pStyle w:val="LTAntwortRessortText"/>
      </w:pPr>
      <w:r>
        <w:t xml:space="preserve">Die Staatsregierung wird im Hinblick auf die Errichtung der </w:t>
      </w:r>
      <w:r w:rsidR="00B66963">
        <w:t xml:space="preserve">Bayerischen </w:t>
      </w:r>
      <w:r>
        <w:t xml:space="preserve">Grenzpolizei </w:t>
      </w:r>
      <w:r w:rsidR="00B66963">
        <w:t>–</w:t>
      </w:r>
      <w:r>
        <w:t xml:space="preserve"> beginnend ab dem Jahre 2019 </w:t>
      </w:r>
      <w:r w:rsidR="00B66963">
        <w:t>–</w:t>
      </w:r>
      <w:r>
        <w:t xml:space="preserve"> die gegenwärtige Personalstärke der Fahndungsdienststellen von ca. 50</w:t>
      </w:r>
      <w:r w:rsidR="00B66963">
        <w:t>0 bis zum Jahr 2023 erhöhen, so</w:t>
      </w:r>
      <w:r>
        <w:t xml:space="preserve">dass die </w:t>
      </w:r>
      <w:r w:rsidR="00B66963">
        <w:t xml:space="preserve">Bayerische </w:t>
      </w:r>
      <w:r>
        <w:t>Grenzpolizei dann über insgesamt 1.000 Stellen verfügt. Das Staatsministerium des Innern und für Integration erarbeitet derzeit ein erstes Detailk</w:t>
      </w:r>
      <w:r w:rsidR="00B66963">
        <w:t>onzept zur Errichtung der Bayerischen</w:t>
      </w:r>
      <w:r>
        <w:t xml:space="preserve"> Grenzpolizei. Dieses wird voraussichtlich auch erste Eckpunkte zu den in der </w:t>
      </w:r>
      <w:r w:rsidR="00CA1CC1">
        <w:t xml:space="preserve">Anfrage zum Plenum </w:t>
      </w:r>
      <w:r>
        <w:t>weiter genannten Kenngrößen benennen.</w:t>
      </w:r>
    </w:p>
    <w:p w:rsidR="006E4BC2" w:rsidRDefault="006E4BC2" w:rsidP="006E4BC2">
      <w:pPr>
        <w:pStyle w:val="LTAntwortRessortText"/>
      </w:pPr>
      <w:r>
        <w:t xml:space="preserve">In seiner Sitzung am 23.03.2018 beschloss der Ministerrat, das Sicherheitspaket </w:t>
      </w:r>
      <w:r w:rsidR="004A62EF">
        <w:t>„</w:t>
      </w:r>
      <w:r>
        <w:t>Sicherheit durch Stärke</w:t>
      </w:r>
      <w:r w:rsidR="004A62EF">
        <w:t>“</w:t>
      </w:r>
      <w:r>
        <w:t xml:space="preserve"> über den Doppelhaushalt 2019/2020 hinaus fort</w:t>
      </w:r>
      <w:r w:rsidR="00B66963">
        <w:t>zusetzen. Die vorgesehenen neu</w:t>
      </w:r>
      <w:r>
        <w:t xml:space="preserve">en zusätzlichen 1.500 Stellen setzen den Personalaufbau bei </w:t>
      </w:r>
      <w:r w:rsidR="00B66963">
        <w:t>der Bayerischen Polizei auf Re</w:t>
      </w:r>
      <w:r>
        <w:t>kordniveau fort.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Kathrin</w:t>
            </w:r>
            <w:r w:rsidRPr="006E4BC2">
              <w:rPr>
                <w:b/>
              </w:rPr>
              <w:br/>
              <w:t>Sonnenholzner</w:t>
            </w:r>
            <w:r w:rsidRPr="006E4BC2">
              <w:rPr>
                <w:b/>
              </w:rPr>
              <w:br/>
            </w:r>
            <w:r w:rsidRPr="006E4BC2">
              <w:t>(SPD)</w:t>
            </w:r>
            <w:r>
              <w:fldChar w:fldCharType="begin"/>
            </w:r>
            <w:r>
              <w:instrText xml:space="preserve"> TC </w:instrText>
            </w:r>
            <w:r w:rsidR="004A62EF">
              <w:instrText>„</w:instrText>
            </w:r>
            <w:bookmarkStart w:id="20" w:name="_Toc511290239"/>
            <w:r>
              <w:instrText>Sonnenholzner, Kathrin (SPD)</w:instrText>
            </w:r>
            <w:r>
              <w:br/>
              <w:instrText>Medizinische Versorgung von schwangeren Frauen in der Erstaufnahmeeinrichtung</w:instrText>
            </w:r>
            <w:bookmarkEnd w:id="20"/>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276106">
            <w:pPr>
              <w:pStyle w:val="LTAnfrageText"/>
            </w:pPr>
            <w:r>
              <w:t>Nachdem in der Erstaufnahmeeinrichtung Fürstenfeldbruck von derzeit 270 untergebrachten Frauen 90 schwanger sind und regelmäßig ca. die Hälfte der Frauen von den dort tätigen Ärztinnen und Ärzten nicht gesehen bzw. behandelt werden kann (z. B. am 13.03.2018: 14 Patientinnen gesehen, 15 abgewiesen), weil die Anzahl der Stunden nicht ausreicht, die seit Auftragserteilung an die MKT Krankentransport zur Verfügung steht, frage ich die Staatsregierung, wie beurteilt sie angesichts dieser Tatsache die medizinische Versorgung der schwangeren Frauen und welche Möglichkeiten gibt es, die Stundenzahl kurzfristig bedarfsgerecht zu erhöhen?</w:t>
            </w:r>
          </w:p>
        </w:tc>
      </w:tr>
    </w:tbl>
    <w:p w:rsidR="006E4BC2" w:rsidRDefault="006E4BC2" w:rsidP="006E4BC2">
      <w:pPr>
        <w:pStyle w:val="LTUeberschrAntwortRessort"/>
      </w:pPr>
      <w:r>
        <w:t>Antwort des Staatsministeriums des Innern und für Integration</w:t>
      </w:r>
    </w:p>
    <w:p w:rsidR="006E4BC2" w:rsidRDefault="00BF715A" w:rsidP="006E4BC2">
      <w:pPr>
        <w:pStyle w:val="LTAntwortRessortText"/>
      </w:pPr>
      <w:r>
        <w:t>Asylbewerberinnen und -</w:t>
      </w:r>
      <w:r w:rsidR="006E4BC2">
        <w:t>bewerber nehmen grundsätzlich</w:t>
      </w:r>
      <w:r>
        <w:t xml:space="preserve"> am allgemeinen ärztlichen Ver</w:t>
      </w:r>
      <w:r w:rsidR="006E4BC2">
        <w:t>sorgungsangebot teil und haben ein Recht auf freie Arztwahl. S</w:t>
      </w:r>
      <w:r>
        <w:t>ie erhalten hierfür vom zustän</w:t>
      </w:r>
      <w:r w:rsidR="006E4BC2">
        <w:t>digen örtlichen Leistungsträger pro Quartal einen Behandlu</w:t>
      </w:r>
      <w:r>
        <w:t>ngsschein und können damit nie</w:t>
      </w:r>
      <w:r w:rsidR="006E4BC2">
        <w:t>dergelassene Ärzte vor Ort aufsuchen.</w:t>
      </w:r>
    </w:p>
    <w:p w:rsidR="006E4BC2" w:rsidRDefault="006E4BC2" w:rsidP="006E4BC2">
      <w:pPr>
        <w:pStyle w:val="LTAntwortRessortText"/>
      </w:pPr>
      <w:r>
        <w:t>Durch die Einrichtung von Ärztezentren in Erstaufnahmeeinrichtungen, in denen eine niedrigschwellige kurative Versorgung in verschiedenen Fachbereichen angeboten wird, wurde u.</w:t>
      </w:r>
      <w:r w:rsidR="00BF715A">
        <w:t> </w:t>
      </w:r>
      <w:r>
        <w:t>a. dem Umstand Rechnung getragen, dass Asylbewerber</w:t>
      </w:r>
      <w:r w:rsidR="00BF715A">
        <w:t>innen und -bewerber</w:t>
      </w:r>
      <w:r>
        <w:t xml:space="preserve"> das Gesundheitssystem in Deutschland noch nicht kennen. Damit wird die freie Arztwahl jedoch nicht eingeschränkt, sondern eine zusätzliche Möglichkeit der Gesundheitsversorgung eingeräumt. Dies bedeutet jedoch nicht, dass in den angebotenen Fachbereichen derart umfängliche Behandlungsmöglichkeiten angeboten werden, dass eine Nutzung des allgemeinen ärztlichen Versorgungsangebots in Gänze entbehrlich wird. Vielmehr soll dieses lediglich ergänzt werden. Schwangeren Frauen bleibt es daher stets unbenommen, sich </w:t>
      </w:r>
      <w:r w:rsidR="00BF715A">
        <w:t>–</w:t>
      </w:r>
      <w:r>
        <w:t xml:space="preserve"> auch in Fällen von Kapazitätsengpässen </w:t>
      </w:r>
      <w:r w:rsidR="00BF715A">
        <w:t>– an die niedergelas</w:t>
      </w:r>
      <w:r>
        <w:t>senen Gynäkologen vor Ort zu wenden.</w:t>
      </w:r>
    </w:p>
    <w:p w:rsidR="006E4BC2" w:rsidRDefault="006E4BC2" w:rsidP="006E4BC2">
      <w:pPr>
        <w:pStyle w:val="LTAntwortRessortText"/>
      </w:pPr>
      <w:r>
        <w:t>Die medizinische Versorgung der Einrichtung in Fürstenfeldbruck wurde zum 01.03.2018 neu vergeben. Ursprünglich war vorgesehen, dass der Fachbereic</w:t>
      </w:r>
      <w:r w:rsidR="00BF715A">
        <w:t>h Gynäkologie, neben den Berei</w:t>
      </w:r>
      <w:r>
        <w:t xml:space="preserve">chen Allgemeinmedizin, Pädiatrie und Psychiatrie, einen maximalen Umfang von </w:t>
      </w:r>
      <w:r w:rsidR="00BF715A">
        <w:t>zehn Wochen</w:t>
      </w:r>
      <w:r>
        <w:t xml:space="preserve">stunden einnehmen sollte. Im Hinblick auf den erhöhten Bedarf durch die Anzahl schwangerer Frauen in der </w:t>
      </w:r>
      <w:r w:rsidR="00BF715A">
        <w:rPr>
          <w:rStyle w:val="st"/>
        </w:rPr>
        <w:t xml:space="preserve">Dependance </w:t>
      </w:r>
      <w:r>
        <w:t xml:space="preserve">wurde die gynäkologische Sprechstunde bereits Anfang April </w:t>
      </w:r>
      <w:r w:rsidR="00BF715A">
        <w:t xml:space="preserve">2018 </w:t>
      </w:r>
      <w:r>
        <w:t>auf maximal 20 Wochenstunden erhöht. Eine bedarfsgerechte Erhöhung in diesem Bereich hat mithin bereits stattgefunden.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Reinhold</w:t>
            </w:r>
            <w:r w:rsidRPr="006E4BC2">
              <w:rPr>
                <w:b/>
              </w:rPr>
              <w:br/>
              <w:t>Strobl</w:t>
            </w:r>
            <w:r w:rsidRPr="006E4BC2">
              <w:rPr>
                <w:b/>
              </w:rPr>
              <w:br/>
            </w:r>
            <w:r w:rsidRPr="006E4BC2">
              <w:t>(SPD)</w:t>
            </w:r>
            <w:r>
              <w:fldChar w:fldCharType="begin"/>
            </w:r>
            <w:r>
              <w:instrText xml:space="preserve"> TC </w:instrText>
            </w:r>
            <w:r w:rsidR="004A62EF">
              <w:instrText>„</w:instrText>
            </w:r>
            <w:bookmarkStart w:id="21" w:name="_Toc511290240"/>
            <w:r>
              <w:instrText>Strobl, Reinhold (SPD)</w:instrText>
            </w:r>
            <w:r>
              <w:br/>
              <w:instrText>Unterstützung für Rettungshundestaffeln</w:instrText>
            </w:r>
            <w:bookmarkEnd w:id="21"/>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Vor dem Hintergrund, dass in nichtstaatlichen bayerischen Rettungsorganisationen sog. Rettungshunde in verschiedenen Einsatzbereichen eingesetzt sind und mit ihren Hundeführern einen unverzichtbaren ehrenamtlichen Dienst im Rahmen der Personensuche als Flächensuchhunde, Lawinensuchhunde, Trümmersuchhunde, Wasserrettungshunde etc. leisten, frage ich die Staatsregierung, wie viele Rettungshunde werden in Bayern</w:t>
            </w:r>
            <w:r w:rsidR="004A62EF">
              <w:t xml:space="preserve"> </w:t>
            </w:r>
            <w:r>
              <w:t>(bitte aufgeschlüsselt nach</w:t>
            </w:r>
            <w:r w:rsidR="004A62EF">
              <w:t xml:space="preserve"> </w:t>
            </w:r>
            <w:r>
              <w:t xml:space="preserve">den nicht staatlichen Organisationen wie Technisches Hilfswerk </w:t>
            </w:r>
            <w:r w:rsidR="00E046A2">
              <w:t>–</w:t>
            </w:r>
            <w:r>
              <w:t xml:space="preserve"> THW, Bayerisches Rotes Kreuz </w:t>
            </w:r>
            <w:r w:rsidR="00E046A2">
              <w:t xml:space="preserve">– BRK, </w:t>
            </w:r>
            <w:r w:rsidR="00A626E0">
              <w:t>Arbeiter-Samariter-B</w:t>
            </w:r>
            <w:r>
              <w:t>und</w:t>
            </w:r>
            <w:r w:rsidR="00E046A2">
              <w:t xml:space="preserve"> – ASB</w:t>
            </w:r>
            <w:r>
              <w:t>, Johanniter Unfallhilfe</w:t>
            </w:r>
            <w:r w:rsidR="00E046A2">
              <w:t xml:space="preserve"> – JUH, </w:t>
            </w:r>
            <w:r>
              <w:t>Malteser</w:t>
            </w:r>
            <w:r w:rsidR="00A626E0">
              <w:t xml:space="preserve"> H</w:t>
            </w:r>
            <w:r>
              <w:t>ilfsdienst</w:t>
            </w:r>
            <w:r w:rsidR="00E046A2">
              <w:t xml:space="preserve"> – MHD</w:t>
            </w:r>
            <w:r>
              <w:t>) zur privaten Gefahrenabwehr eingesetzt bzw. wie unterstützt die Staatsregierung diese Rettungsdienste und ihre Hundehalter hinsichtlich Futter, Versicherung, Pflege, Ausbildung, Tierarztkosten?</w:t>
            </w:r>
          </w:p>
          <w:p w:rsidR="006E4BC2" w:rsidRDefault="006E4BC2" w:rsidP="006E4BC2">
            <w:pPr>
              <w:pStyle w:val="LTAnfrageText"/>
            </w:pP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In Bayern sind Rettungshundestaffeln mit Rettungshunden in d</w:t>
      </w:r>
      <w:r w:rsidR="00A626E0">
        <w:t>er nichtpolizeilichen Gefahren</w:t>
      </w:r>
      <w:r>
        <w:t xml:space="preserve">abwehr insbesondere aktiv bei den vier freiwilligen Hilfsorganisationen Bayerisches Rotes Kreuz (BRK), </w:t>
      </w:r>
      <w:r w:rsidR="00A626E0">
        <w:t>Arbeiter-Samariter-</w:t>
      </w:r>
      <w:r>
        <w:t xml:space="preserve">Bund (ASB), Johanniter Unfallhilfe (JUH) und </w:t>
      </w:r>
      <w:r w:rsidR="00A626E0">
        <w:t>Malte</w:t>
      </w:r>
      <w:r>
        <w:t>ser Hilfsdienst (MHD)</w:t>
      </w:r>
      <w:r w:rsidR="00A626E0">
        <w:t xml:space="preserve">, bei der privaten Organisation </w:t>
      </w:r>
      <w:r>
        <w:t>Bundesverband Rettungshunde e.V.</w:t>
      </w:r>
      <w:r w:rsidR="00A626E0">
        <w:t xml:space="preserve"> </w:t>
      </w:r>
      <w:r>
        <w:t>(BRH) sowie vereinzelt bei Feuerwehren und der Bundesanstalt Technisches Hilfswerk (THW).</w:t>
      </w:r>
    </w:p>
    <w:p w:rsidR="006E4BC2" w:rsidRDefault="006E4BC2" w:rsidP="006E4BC2">
      <w:pPr>
        <w:pStyle w:val="LTAntwortRessortText"/>
      </w:pPr>
      <w:r>
        <w:t>Im Bereich der nichtpolizeilichen Gefahrenabwehr stehen über 450 Rettungshunde zur Verfügung, darunter u.</w:t>
      </w:r>
      <w:r w:rsidR="00A626E0">
        <w:t xml:space="preserve"> a. (Bemerkung</w:t>
      </w:r>
      <w:r>
        <w:t>: Zahlenangeben stammen von den Organisationen):</w:t>
      </w:r>
    </w:p>
    <w:p w:rsidR="006E4BC2" w:rsidRDefault="006E4BC2" w:rsidP="00A626E0">
      <w:pPr>
        <w:pStyle w:val="LTAntwortRessortText"/>
        <w:numPr>
          <w:ilvl w:val="2"/>
          <w:numId w:val="29"/>
        </w:numPr>
        <w:spacing w:before="120"/>
        <w:ind w:left="993" w:hanging="426"/>
      </w:pPr>
      <w:r>
        <w:t xml:space="preserve">beim BRK </w:t>
      </w:r>
      <w:r w:rsidR="00A626E0">
        <w:tab/>
      </w:r>
      <w:r w:rsidR="00A626E0">
        <w:tab/>
      </w:r>
      <w:r>
        <w:t>220,</w:t>
      </w:r>
    </w:p>
    <w:p w:rsidR="006E4BC2" w:rsidRDefault="00A626E0" w:rsidP="00A626E0">
      <w:pPr>
        <w:pStyle w:val="LTAntwortRessortText"/>
        <w:numPr>
          <w:ilvl w:val="2"/>
          <w:numId w:val="29"/>
        </w:numPr>
        <w:spacing w:before="120"/>
        <w:ind w:left="993" w:hanging="426"/>
      </w:pPr>
      <w:r>
        <w:t>bei der JUH</w:t>
      </w:r>
      <w:r>
        <w:tab/>
      </w:r>
      <w:r>
        <w:tab/>
        <w:t xml:space="preserve">  </w:t>
      </w:r>
      <w:r w:rsidR="006E4BC2">
        <w:t>70,</w:t>
      </w:r>
    </w:p>
    <w:p w:rsidR="006E4BC2" w:rsidRDefault="006E4BC2" w:rsidP="00A626E0">
      <w:pPr>
        <w:pStyle w:val="LTAntwortRessortText"/>
        <w:numPr>
          <w:ilvl w:val="2"/>
          <w:numId w:val="29"/>
        </w:numPr>
        <w:spacing w:before="120"/>
        <w:ind w:left="993" w:hanging="426"/>
      </w:pPr>
      <w:r>
        <w:t xml:space="preserve">bei Feuerwehren </w:t>
      </w:r>
      <w:r w:rsidR="00A626E0">
        <w:tab/>
        <w:t xml:space="preserve">  </w:t>
      </w:r>
      <w:r>
        <w:t>40,</w:t>
      </w:r>
    </w:p>
    <w:p w:rsidR="006E4BC2" w:rsidRDefault="006E4BC2" w:rsidP="00A626E0">
      <w:pPr>
        <w:pStyle w:val="LTAntwortRessortText"/>
        <w:numPr>
          <w:ilvl w:val="2"/>
          <w:numId w:val="29"/>
        </w:numPr>
        <w:spacing w:before="120"/>
        <w:ind w:left="993" w:hanging="426"/>
      </w:pPr>
      <w:r>
        <w:t xml:space="preserve">beim BRH </w:t>
      </w:r>
      <w:r w:rsidR="00A626E0">
        <w:tab/>
      </w:r>
      <w:r w:rsidR="00A626E0">
        <w:tab/>
        <w:t xml:space="preserve">  </w:t>
      </w:r>
      <w:r>
        <w:t>88,</w:t>
      </w:r>
    </w:p>
    <w:p w:rsidR="006E4BC2" w:rsidRDefault="006E4BC2" w:rsidP="00A626E0">
      <w:pPr>
        <w:pStyle w:val="LTAntwortRessortText"/>
        <w:numPr>
          <w:ilvl w:val="2"/>
          <w:numId w:val="29"/>
        </w:numPr>
        <w:spacing w:before="120"/>
        <w:ind w:left="993" w:hanging="426"/>
      </w:pPr>
      <w:r>
        <w:t xml:space="preserve">bei Sonstigen </w:t>
      </w:r>
      <w:r w:rsidR="00A626E0">
        <w:tab/>
        <w:t xml:space="preserve">  </w:t>
      </w:r>
      <w:r>
        <w:t>47.</w:t>
      </w:r>
    </w:p>
    <w:p w:rsidR="006E4BC2" w:rsidRDefault="006E4BC2" w:rsidP="006E4BC2">
      <w:pPr>
        <w:pStyle w:val="LTAntwortRessortText"/>
      </w:pPr>
      <w:r>
        <w:t>Zur Förderfähigkeit von Rettungshundestaffeln teilen wir</w:t>
      </w:r>
      <w:r w:rsidR="004E7DE5">
        <w:t>d F</w:t>
      </w:r>
      <w:r>
        <w:t>olgendes mit</w:t>
      </w:r>
      <w:r w:rsidR="004E7DE5">
        <w:t>geteilt</w:t>
      </w:r>
      <w:r>
        <w:t>:</w:t>
      </w:r>
    </w:p>
    <w:p w:rsidR="006E4BC2" w:rsidRDefault="006E4BC2" w:rsidP="006E4BC2">
      <w:pPr>
        <w:pStyle w:val="LTAntwortRessortText"/>
      </w:pPr>
      <w:r>
        <w:t>Die Hundestaffeln sind eine Bereicherung des breiten Hilfeleistungssystems in unserem Land. Weder für die freiwilligen Hilfsorganisationen noch für Private besteht aber eine Verpflichtung zur Aufstellung und Vorhaltung von Hundestaffeln.</w:t>
      </w:r>
    </w:p>
    <w:p w:rsidR="006E4BC2" w:rsidRDefault="006E4BC2" w:rsidP="006E4BC2">
      <w:pPr>
        <w:pStyle w:val="LTAntwortRessortText"/>
      </w:pPr>
      <w:r>
        <w:t xml:space="preserve">Die Rettungshundestaffeln der freiwilligen Hilfsorganisationen, die privaten Hundestaffeln und das primäre Einsatzgebiet der </w:t>
      </w:r>
      <w:r w:rsidR="004A62EF">
        <w:t>„</w:t>
      </w:r>
      <w:r>
        <w:t>Vermisstensuche</w:t>
      </w:r>
      <w:r w:rsidR="004A62EF">
        <w:t>“</w:t>
      </w:r>
      <w:r>
        <w:t xml:space="preserve"> sind keine Be</w:t>
      </w:r>
      <w:r w:rsidR="004E7DE5">
        <w:t>standteile des Bayerischen Ret</w:t>
      </w:r>
      <w:r>
        <w:t>tungsdienstes.</w:t>
      </w:r>
    </w:p>
    <w:p w:rsidR="006E4BC2" w:rsidRDefault="004E7DE5" w:rsidP="006E4BC2">
      <w:pPr>
        <w:pStyle w:val="LTAntwortRessortText"/>
      </w:pPr>
      <w:r>
        <w:t xml:space="preserve">Für Rettungshundestaffeln bzw. </w:t>
      </w:r>
      <w:r w:rsidR="006E4BC2">
        <w:t>private Führer ausgebildeter Hunde gibt es zusammenfasse</w:t>
      </w:r>
      <w:r>
        <w:t>nd insbe</w:t>
      </w:r>
      <w:r w:rsidR="006E4BC2">
        <w:t>sondere aus folgenden Gründen keine staatlichen Unterstützungen:</w:t>
      </w:r>
    </w:p>
    <w:p w:rsidR="006E4BC2" w:rsidRDefault="006E4BC2" w:rsidP="004E7DE5">
      <w:pPr>
        <w:pStyle w:val="LTAntwortRessortText"/>
        <w:numPr>
          <w:ilvl w:val="2"/>
          <w:numId w:val="29"/>
        </w:numPr>
        <w:spacing w:before="120"/>
        <w:ind w:left="993" w:hanging="426"/>
      </w:pPr>
      <w:r>
        <w:t>Die Aufstellung der privaten Hundestaffeln erfolgt freiwillig.</w:t>
      </w:r>
    </w:p>
    <w:p w:rsidR="006E4BC2" w:rsidRDefault="006E4BC2" w:rsidP="004E7DE5">
      <w:pPr>
        <w:pStyle w:val="LTAntwortRessortText"/>
        <w:numPr>
          <w:ilvl w:val="2"/>
          <w:numId w:val="29"/>
        </w:numPr>
        <w:spacing w:before="120"/>
        <w:ind w:left="993" w:hanging="426"/>
      </w:pPr>
      <w:r>
        <w:t>Die Hundestaffeln werden weit überwiegend zur Pe</w:t>
      </w:r>
      <w:r w:rsidR="004E7DE5">
        <w:t>rsonensuche unterhalb der Kata</w:t>
      </w:r>
      <w:r>
        <w:t>strophenschwelle auf rein freiwilliger Basis eingeset</w:t>
      </w:r>
      <w:r w:rsidR="004E7DE5">
        <w:t>zt: Es besteht keine Verpflich</w:t>
      </w:r>
      <w:r>
        <w:t>tung zur Vorhaltung von Hundestaffeln.</w:t>
      </w:r>
    </w:p>
    <w:p w:rsidR="006E4BC2" w:rsidRDefault="006E4BC2" w:rsidP="004E7DE5">
      <w:pPr>
        <w:pStyle w:val="LTAntwortRessortText"/>
        <w:numPr>
          <w:ilvl w:val="2"/>
          <w:numId w:val="29"/>
        </w:numPr>
        <w:spacing w:before="120"/>
        <w:ind w:left="993" w:hanging="426"/>
      </w:pPr>
      <w:r>
        <w:t>Im Katastrophenschutz ist das Einsatzgebiet der Hundestaffeln im Wesentlichen die Trümmersuche. Hierbei erfolgt der Einsatz beispielsweise der Hundestaffeln der freiwilligen Hilfsorganisationen im Rahmen der K</w:t>
      </w:r>
      <w:r w:rsidR="004E7DE5">
        <w:t>atastrophenhilfspflicht. Grund</w:t>
      </w:r>
      <w:r>
        <w:t>sätzlich haben die zur Katastrophenhilfe Verpflichteten die sich aus der Erfüllung ihrer Aufgaben nach dem Gesetz ergebenden Aufwend</w:t>
      </w:r>
      <w:r w:rsidR="004E7DE5">
        <w:t>ungen gem. Art. 11 Satz 1 Bayerisches</w:t>
      </w:r>
      <w:r>
        <w:t xml:space="preserve"> Katastrophenschutzgesetz (BayKSG) selbst zu tragen.</w:t>
      </w:r>
    </w:p>
    <w:p w:rsidR="006E4BC2" w:rsidRDefault="006E4BC2" w:rsidP="004E7DE5">
      <w:pPr>
        <w:pStyle w:val="LTAntwortRessortText"/>
        <w:numPr>
          <w:ilvl w:val="2"/>
          <w:numId w:val="29"/>
        </w:numPr>
        <w:spacing w:before="120"/>
        <w:ind w:left="993" w:hanging="426"/>
      </w:pPr>
      <w:r>
        <w:t xml:space="preserve">Zur Förderung von Maßnahmen zur Vorbereitung der Katastrophenabwehr der zur Katastrophenhilfe Verpflichteten steht nach Art. 12 BayKSG ein </w:t>
      </w:r>
      <w:r w:rsidR="004A62EF">
        <w:t>„</w:t>
      </w:r>
      <w:r w:rsidR="004E7DE5">
        <w:t>Fonds zur Förde</w:t>
      </w:r>
      <w:r>
        <w:t>rung des Katastrophenschutzes</w:t>
      </w:r>
      <w:r w:rsidR="004A62EF">
        <w:t>“</w:t>
      </w:r>
      <w:r>
        <w:t xml:space="preserve"> zur Verfügung. Eine Unt</w:t>
      </w:r>
      <w:r w:rsidR="004E7DE5">
        <w:t>erstützung von Rettungs</w:t>
      </w:r>
      <w:r>
        <w:t>hundestaffeln für Maßnahmen zur Vorbereitung der Katastrophenabwehr ist selbst für zur Katastrophenhilfe verpflichtete Organisa</w:t>
      </w:r>
      <w:r w:rsidR="004E7DE5">
        <w:t>tionen aus dem Fonds nicht dar</w:t>
      </w:r>
      <w:r>
        <w:t>stellbar. Sie müsste zwingend mit der Reduzierung anderer wichtiger Förderungen einhergehen.</w:t>
      </w:r>
    </w:p>
    <w:p w:rsidR="006E4BC2" w:rsidRDefault="006E4BC2" w:rsidP="006E4BC2">
      <w:pPr>
        <w:pStyle w:val="LTAntwortRessortText"/>
      </w:pPr>
      <w:r>
        <w:t xml:space="preserve">Inwieweit auf freiwilliger Basis andere Stellen Leistungen gewähren, entzieht sich </w:t>
      </w:r>
      <w:r w:rsidR="00AB21B2">
        <w:t xml:space="preserve">der </w:t>
      </w:r>
      <w:r>
        <w:t>Kenntnis</w:t>
      </w:r>
      <w:r w:rsidR="00AB21B2">
        <w:t xml:space="preserve"> des Staatsministeriums des Innern und für Integration</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372C63">
            <w:pPr>
              <w:pStyle w:val="LTNumAnfrageIni1"/>
            </w:pPr>
            <w:r w:rsidRPr="006E4BC2">
              <w:t>Abgeordneter</w:t>
            </w:r>
            <w:r w:rsidRPr="006E4BC2">
              <w:br/>
            </w:r>
            <w:r w:rsidRPr="006E4BC2">
              <w:rPr>
                <w:b/>
              </w:rPr>
              <w:t>Arif</w:t>
            </w:r>
            <w:r w:rsidRPr="006E4BC2">
              <w:rPr>
                <w:b/>
              </w:rPr>
              <w:br/>
              <w:t>Ta</w:t>
            </w:r>
            <w:r w:rsidR="00372C63">
              <w:rPr>
                <w:rFonts w:cs="Arial"/>
                <w:b/>
              </w:rPr>
              <w:t>ş</w:t>
            </w:r>
            <w:r w:rsidRPr="006E4BC2">
              <w:rPr>
                <w:b/>
              </w:rPr>
              <w:t>delen</w:t>
            </w:r>
            <w:r w:rsidRPr="006E4BC2">
              <w:rPr>
                <w:b/>
              </w:rPr>
              <w:br/>
            </w:r>
            <w:r w:rsidRPr="006E4BC2">
              <w:t>(SPD)</w:t>
            </w:r>
            <w:r>
              <w:fldChar w:fldCharType="begin"/>
            </w:r>
            <w:r>
              <w:instrText xml:space="preserve"> TC </w:instrText>
            </w:r>
            <w:r w:rsidR="004A62EF">
              <w:instrText>„</w:instrText>
            </w:r>
            <w:bookmarkStart w:id="22" w:name="_Toc511290241"/>
            <w:r>
              <w:instrText>Tasdelen, Arif (SPD)</w:instrText>
            </w:r>
            <w:r>
              <w:br/>
              <w:instrText>AfD-Kontakte zu \</w:instrText>
            </w:r>
            <w:r w:rsidR="004A62EF">
              <w:instrText>“</w:instrText>
            </w:r>
            <w:r>
              <w:instrText>Identitären\</w:instrText>
            </w:r>
            <w:r w:rsidR="004A62EF">
              <w:instrText>“</w:instrText>
            </w:r>
            <w:r>
              <w:instrText xml:space="preserve"> offenlegen und unterbinden</w:instrText>
            </w:r>
            <w:bookmarkEnd w:id="22"/>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276106">
            <w:pPr>
              <w:pStyle w:val="LTAnfrageText"/>
            </w:pPr>
            <w:r>
              <w:t>Ich frage die Staatsregierung, wie begegnet sie den Allianzen, über die bayerische Medien immer wieder öffentlichkeitswirksam berichten, nämlich der Zusammenarbeit und Kontaktfreudigkeit zwischen Funktionären und Mitarbeite</w:t>
            </w:r>
            <w:r w:rsidR="000F60E3">
              <w:t>-rinne</w:t>
            </w:r>
            <w:r>
              <w:t xml:space="preserve">n bzw. Mitarbeitern der AfD und der rechtsradikalen Gruppe </w:t>
            </w:r>
            <w:r w:rsidR="004A62EF">
              <w:t>„</w:t>
            </w:r>
            <w:r>
              <w:t>Identitäre Bewegung</w:t>
            </w:r>
            <w:r w:rsidR="004A62EF">
              <w:t>“</w:t>
            </w:r>
            <w:r>
              <w:t>, letztens sichtbar bei einer Demonstration in Freilassing, gibt es bereits ein Konzept, den Schulterschluss von Verfassungsfeinden und Parteien zu bekämpfen und wie setzt die Staatsregierung ihre staatliche Verantwortung um, die Bürger dieses Landes über die Vermischung einer bestehenden Partei und einer verfassungsfeindlichen Gruppierung zu informieren und öffentlich Stellung zu beziehen?</w:t>
            </w:r>
          </w:p>
        </w:tc>
      </w:tr>
    </w:tbl>
    <w:p w:rsidR="006E4BC2" w:rsidRDefault="006E4BC2" w:rsidP="006E4BC2">
      <w:pPr>
        <w:pStyle w:val="LTUeberschrAntwortRessort"/>
      </w:pPr>
      <w:r>
        <w:t>Antwort des Staatsministeriums des Innern und für Integration</w:t>
      </w:r>
    </w:p>
    <w:p w:rsidR="006E4BC2" w:rsidRDefault="006E4BC2" w:rsidP="00372C63">
      <w:pPr>
        <w:pStyle w:val="LTAntwortRessortText"/>
      </w:pPr>
      <w:r>
        <w:t>Entsprech</w:t>
      </w:r>
      <w:r w:rsidR="000F60E3">
        <w:t>end seines gesetzlichen Auftrag</w:t>
      </w:r>
      <w:r>
        <w:t>s prüft der Verfassungsschutzverbund fortlaufend, ob Bestrebungen vorliegen, die den Kernbestand des Grundgesetzes zu beeinträchtigen oder zu beseitigen versuchen. Auch im Falle der AfD werden offene Indizien wie Aktivität</w:t>
      </w:r>
      <w:r w:rsidR="00372C63">
        <w:t>en, Aussa</w:t>
      </w:r>
      <w:r>
        <w:t>gen oder eine potenzielle Zusammenarbeit mit extremistischen Gruppierungen gesichtet und bewertet, ob es sich um Einzelmeinungen und -agitationen oder u</w:t>
      </w:r>
      <w:r w:rsidR="00372C63">
        <w:t>m eine parteipolitische Leitli</w:t>
      </w:r>
      <w:r>
        <w:t>nie handelt. Dabei wird fortlaufend untersucht, ob fremdenfei</w:t>
      </w:r>
      <w:r w:rsidR="00372C63">
        <w:t>ndliche Äußerungen ein bestim</w:t>
      </w:r>
      <w:r>
        <w:t>mendes Element der AfD sind oder ob diesbezüglich nur Einzelmeinungen wiedergegeben werden. Darüber hinaus wird darauf geachtet, ob Rechtsextremisten steuernd innerhalb der Partei wirken und welchen Einfluss extreme Stimmen auf die AfD haben. Derzeit sind keine ausreichenden tatsächlichen Anhaltspunkte ersichtlich, die ein</w:t>
      </w:r>
      <w:r w:rsidR="00372C63">
        <w:t>e Beobachtung der AfD als Part</w:t>
      </w:r>
      <w:r>
        <w:t xml:space="preserve">ei durch den Verfassungsschutzverbund begründen würden. Ein bestimmender Einfluss von Rechtsextremisten auf den Landesverband Bayern der AfD kann </w:t>
      </w:r>
      <w:r w:rsidR="00372C63">
        <w:t>derzeit nicht festgestellt werden.</w:t>
      </w:r>
    </w:p>
    <w:p w:rsidR="006E4BC2" w:rsidRDefault="006E4BC2" w:rsidP="006E4BC2">
      <w:pPr>
        <w:pStyle w:val="LTAntwortRessortText"/>
      </w:pPr>
      <w:r>
        <w:t xml:space="preserve">Durch eine wiederholt aktualisierte </w:t>
      </w:r>
      <w:r w:rsidR="004A62EF">
        <w:t>„</w:t>
      </w:r>
      <w:r>
        <w:t>Unvereinbarkeitsliste</w:t>
      </w:r>
      <w:r w:rsidR="004A62EF">
        <w:t>“</w:t>
      </w:r>
      <w:r>
        <w:t xml:space="preserve"> mit bundesweiter Gültigkeit ist die AfD bemüht, Personen mit einem Vorlauf in extremistische</w:t>
      </w:r>
      <w:r w:rsidR="00372C63">
        <w:t>n Organisationen von einer AfD-</w:t>
      </w:r>
      <w:r>
        <w:t>Mit</w:t>
      </w:r>
      <w:r w:rsidR="007C0176">
        <w:softHyphen/>
      </w:r>
      <w:r>
        <w:t>glied</w:t>
      </w:r>
      <w:r w:rsidR="007C0176">
        <w:softHyphen/>
      </w:r>
      <w:r>
        <w:t xml:space="preserve">schaft fernzuhalten oder auszuschließen. Die jüngste veröffentlichte </w:t>
      </w:r>
      <w:r w:rsidR="004A62EF">
        <w:t>„</w:t>
      </w:r>
      <w:r w:rsidR="00372C63">
        <w:t>Unvereinbar</w:t>
      </w:r>
      <w:r>
        <w:t>keitsliste</w:t>
      </w:r>
      <w:r w:rsidR="004A62EF">
        <w:t>“</w:t>
      </w:r>
      <w:r>
        <w:t xml:space="preserve"> vom 22.02.2017 legt fest, dass (weiterhin) eine Mitg</w:t>
      </w:r>
      <w:r w:rsidR="00372C63">
        <w:t>liedschaft in rechtsextremisti</w:t>
      </w:r>
      <w:r>
        <w:t xml:space="preserve">schen bayerischen Gruppierungen des parteigebundenen Spektrums (NPD, </w:t>
      </w:r>
      <w:r w:rsidR="00372C63">
        <w:t>Der Dritte</w:t>
      </w:r>
      <w:r>
        <w:t xml:space="preserve"> Weg, </w:t>
      </w:r>
      <w:r w:rsidRPr="00372C63">
        <w:rPr>
          <w:caps/>
        </w:rPr>
        <w:t>D</w:t>
      </w:r>
      <w:r w:rsidR="00372C63" w:rsidRPr="00372C63">
        <w:rPr>
          <w:caps/>
        </w:rPr>
        <w:t>ie Rech</w:t>
      </w:r>
      <w:r w:rsidRPr="00372C63">
        <w:rPr>
          <w:caps/>
        </w:rPr>
        <w:t>te</w:t>
      </w:r>
      <w:r>
        <w:t>) und des parteiungebundenen Spektrums (beispielsweise ein</w:t>
      </w:r>
      <w:r w:rsidR="00372C63">
        <w:t>schließlich neonazistischer Ka</w:t>
      </w:r>
      <w:r>
        <w:t xml:space="preserve">meradschaften, PEGIDA München e.V.) einer AfD-Mitgliedschaft entgegensteht. Hinsichtlich der Unvereinbarkeit mit der </w:t>
      </w:r>
      <w:r w:rsidR="00372C63">
        <w:t>„</w:t>
      </w:r>
      <w:r>
        <w:t>Identitären Bewegung</w:t>
      </w:r>
      <w:r w:rsidR="00372C63">
        <w:t>“</w:t>
      </w:r>
      <w:r>
        <w:t xml:space="preserve"> verweist die Unvereinbarkeitsliste vom 22.02.2017 auf einen entsprechenden Beschluss des AfD-Bun</w:t>
      </w:r>
      <w:r w:rsidR="000F60E3">
        <w:t>desvorstand</w:t>
      </w:r>
      <w:r w:rsidR="00372C63">
        <w:t>s. Auch der Bundes</w:t>
      </w:r>
      <w:r>
        <w:t xml:space="preserve">vorstand der Jungen Alternative für Deutschland (JA) beschloss am 10.07.2016 einstimmig die Unvereinbarkeit einer Mitgliedschaft in der JA mit der </w:t>
      </w:r>
      <w:r w:rsidR="00372C63">
        <w:t>„</w:t>
      </w:r>
      <w:r>
        <w:t>Identitären Bewegung</w:t>
      </w:r>
      <w:r w:rsidR="00372C63">
        <w:t>“</w:t>
      </w:r>
      <w:r>
        <w:t>.</w:t>
      </w:r>
    </w:p>
    <w:p w:rsidR="006E4BC2" w:rsidRDefault="006E4BC2" w:rsidP="006E4BC2">
      <w:pPr>
        <w:pStyle w:val="LTAntwortRessortText"/>
      </w:pPr>
      <w:r>
        <w:t xml:space="preserve">Damit sind die Voraussetzungen für eine Beobachtung des bayerischen Landesverbandes der AfD und dessen Teilstrukturen derzeit nicht erfüllt. Dem </w:t>
      </w:r>
      <w:r w:rsidR="00817D06">
        <w:t>Landesamt für Verfassungsschutz (</w:t>
      </w:r>
      <w:r>
        <w:t>BayLfV</w:t>
      </w:r>
      <w:r w:rsidR="00817D06">
        <w:t>) sind jedoch vereinzelt AfD-</w:t>
      </w:r>
      <w:r>
        <w:t>Funktionäre und Mitglieder des Landesverbands Bayern bekannt, die Verbindungen in die rechtsextremistische bzw. verfassungsschutzrelevante islamfeindliche Szene bzw. in die Reichsbürgerszene aufweisen. Unter diesen Einzelpersonen in der AfD, die derzeit vom BayLfV beobachtet werden, befinden sich auch Funktionäre de</w:t>
      </w:r>
      <w:r w:rsidR="00817D06">
        <w:t>r Partei, jedoch keine Mandats</w:t>
      </w:r>
      <w:r>
        <w:t>träger.</w:t>
      </w:r>
    </w:p>
    <w:p w:rsidR="006E4BC2" w:rsidRDefault="006E4BC2" w:rsidP="006E4BC2">
      <w:pPr>
        <w:pStyle w:val="LTAntwortRessortText"/>
      </w:pPr>
      <w:r>
        <w:t>Zur Beobachtung der AfD insgesamt bzw. von Einzelpersone</w:t>
      </w:r>
      <w:r w:rsidR="00817D06">
        <w:t>n und zu Bezügen von Einzelper</w:t>
      </w:r>
      <w:r>
        <w:t xml:space="preserve">sonen zu rechtsextremistischen Gruppierungen </w:t>
      </w:r>
      <w:r w:rsidR="00817D06">
        <w:t xml:space="preserve">hat </w:t>
      </w:r>
      <w:r w:rsidR="00E35A22">
        <w:t>der</w:t>
      </w:r>
      <w:r w:rsidR="00817D06">
        <w:t xml:space="preserve"> </w:t>
      </w:r>
      <w:r w:rsidR="00E35A22">
        <w:t>Staatsminister</w:t>
      </w:r>
      <w:r w:rsidR="00817D06">
        <w:t xml:space="preserve"> </w:t>
      </w:r>
      <w:r w:rsidR="00403974">
        <w:t>des Innern und für Integration</w:t>
      </w:r>
      <w:r w:rsidR="00E35A22">
        <w:t>, Joachim Herrmann,</w:t>
      </w:r>
      <w:r w:rsidR="00403974">
        <w:t xml:space="preserve"> </w:t>
      </w:r>
      <w:r>
        <w:t>in zahl</w:t>
      </w:r>
      <w:r w:rsidR="00817D06">
        <w:t>reichen Interviews, zuletzt an</w:t>
      </w:r>
      <w:r>
        <w:t>lässlich der Vorstellung des bayerischen Verfassungsschutzbe</w:t>
      </w:r>
      <w:r w:rsidR="00817D06">
        <w:t>richts 2017 am 05.04.2018, Stel</w:t>
      </w:r>
      <w:r>
        <w:t>lung genommen.</w:t>
      </w:r>
    </w:p>
    <w:p w:rsidR="00276106" w:rsidRDefault="00276106" w:rsidP="006E4BC2">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Benno</w:t>
            </w:r>
            <w:r w:rsidRPr="006E4BC2">
              <w:rPr>
                <w:b/>
              </w:rPr>
              <w:br/>
              <w:t>Zierer</w:t>
            </w:r>
            <w:r w:rsidRPr="006E4BC2">
              <w:rPr>
                <w:b/>
              </w:rPr>
              <w:br/>
            </w:r>
            <w:r w:rsidRPr="006E4BC2">
              <w:t>(FREIE WÄHLER)</w:t>
            </w:r>
            <w:r>
              <w:fldChar w:fldCharType="begin"/>
            </w:r>
            <w:r>
              <w:instrText xml:space="preserve"> TC </w:instrText>
            </w:r>
            <w:r w:rsidR="004A62EF">
              <w:instrText>„</w:instrText>
            </w:r>
            <w:bookmarkStart w:id="23" w:name="_Toc511290242"/>
            <w:r>
              <w:instrText>Zierer, Benno (FREIE WÄHLER)</w:instrText>
            </w:r>
            <w:r>
              <w:br/>
              <w:instrText>Einsatz von Dokumentenprüfgeräten in kommunalen Meldebehörden</w:instrText>
            </w:r>
            <w:bookmarkEnd w:id="23"/>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wie beurteilt sie den Einsatz</w:t>
            </w:r>
            <w:r w:rsidR="004A62EF">
              <w:t xml:space="preserve"> </w:t>
            </w:r>
            <w:r>
              <w:t>von Dokumentenprüfgeräten zur Erkennung gefälschter Ausweispapiere in</w:t>
            </w:r>
            <w:r w:rsidR="004A62EF">
              <w:t xml:space="preserve"> </w:t>
            </w:r>
            <w:r>
              <w:t>kommunalen Meldebehörden, wie beziffert sie die Kosten für eine flächendeckende Ausstattung der kommunalen Meldehörden in Bayern mit solchen Geräten und gibt es vonseiten der Staatsregierung Bestrebungen, eine entsprechende Ausstattung der kommunalen Meldebehörden mit Dokumentenprüfgeräten zu gewährleisten oder Kommunen bei deren Beschaffung zu unterstützen?</w:t>
            </w:r>
          </w:p>
          <w:p w:rsidR="006E4BC2" w:rsidRDefault="006E4BC2" w:rsidP="006E4BC2">
            <w:pPr>
              <w:pStyle w:val="LTAnfrageText"/>
            </w:pPr>
          </w:p>
        </w:tc>
      </w:tr>
    </w:tbl>
    <w:p w:rsidR="006E4BC2" w:rsidRDefault="006E4BC2" w:rsidP="006E4BC2">
      <w:pPr>
        <w:pStyle w:val="LTUeberschrAntwortRessort"/>
      </w:pPr>
      <w:r>
        <w:t>Antwort des Staatsministeriums des Innern und für Integration</w:t>
      </w:r>
    </w:p>
    <w:p w:rsidR="006E4BC2" w:rsidRDefault="006E4BC2" w:rsidP="006E4BC2">
      <w:pPr>
        <w:pStyle w:val="LTAntwortRessortText"/>
      </w:pPr>
      <w:r>
        <w:t>Um Identitätsmissbrauch beim Kontakt mit Verwaltungsbehörd</w:t>
      </w:r>
      <w:r w:rsidR="00972E0D">
        <w:t>en zu verhindern, kann ein flä</w:t>
      </w:r>
      <w:r>
        <w:t>chendeckendes Dokumentenprüfsystem eine geeignete Lösung</w:t>
      </w:r>
      <w:r w:rsidR="00972E0D">
        <w:t xml:space="preserve"> sein. Auf einen Vorschlag Bay</w:t>
      </w:r>
      <w:r>
        <w:t xml:space="preserve">erns hin hat der Arbeitskreis I </w:t>
      </w:r>
      <w:r w:rsidR="00972E0D">
        <w:t>–</w:t>
      </w:r>
      <w:r>
        <w:t xml:space="preserve"> Staatsrecht und Verwaltung </w:t>
      </w:r>
      <w:r w:rsidR="00972E0D">
        <w:t>–</w:t>
      </w:r>
      <w:r>
        <w:t xml:space="preserve"> der Ständigen Konferenz der Innenminister und -senatoren der Länder daher eine Bund-Länder-Arbeitsgruppe </w:t>
      </w:r>
      <w:r w:rsidR="004A62EF">
        <w:t>„</w:t>
      </w:r>
      <w:r w:rsidR="00972E0D">
        <w:t>Flächende</w:t>
      </w:r>
      <w:r>
        <w:t>ckendes Dokumentenprüfsystem</w:t>
      </w:r>
      <w:r w:rsidR="004A62EF">
        <w:t>“</w:t>
      </w:r>
      <w:r>
        <w:t xml:space="preserve"> beauftragt, Aufgabenstellungen im Zusammenhang mit dem Einsatz von Dokumentenprüfgeräten zu identifizieren.</w:t>
      </w:r>
    </w:p>
    <w:p w:rsidR="006E4BC2" w:rsidRDefault="006E4BC2" w:rsidP="006E4BC2">
      <w:pPr>
        <w:pStyle w:val="LTAntwortRessortText"/>
      </w:pPr>
      <w:r>
        <w:t>Zunächst wird zu untersuchen sein, bei welchen Behörden konkrete Bedarfe an der Ausstattung mit derartigen Geräten festzustellen sind und ein Einsatz ziel</w:t>
      </w:r>
      <w:r w:rsidR="00972E0D">
        <w:t>führend ist. Neben den Meldebe</w:t>
      </w:r>
      <w:r>
        <w:t>hörden ist in diesem Zusammenhang auch an andere Behörden zu denken (z.</w:t>
      </w:r>
      <w:r w:rsidR="00972E0D">
        <w:t> B. Ausländerbe</w:t>
      </w:r>
      <w:r>
        <w:t>hörden oder Führerscheinstellen). Der Einsatz der Dokumentenprüfgeräte sollte sich dabei auch am tatsächlichen Auftreten von Dokumentenfälschungen und</w:t>
      </w:r>
      <w:r w:rsidR="00972E0D">
        <w:t xml:space="preserve"> der Art und Herkunft der Doku</w:t>
      </w:r>
      <w:r>
        <w:t>mente (z.</w:t>
      </w:r>
      <w:r w:rsidR="00972E0D">
        <w:t> B. aus Dritt-</w:t>
      </w:r>
      <w:r>
        <w:t xml:space="preserve"> oder EU-Staat) orientieren. Zu beachten sind weiter die Kosten, die mit einer landesweiten flächendeckenden Ausstattung zumindest der (ca. 1.400) bayerischen Meldebehörden verbunden sind. Wegen der Prüfung der Be</w:t>
      </w:r>
      <w:r w:rsidR="00972E0D">
        <w:t>darfe beim Einsatz von Dokumen</w:t>
      </w:r>
      <w:r>
        <w:t>tenprüfgeräten stehen die konkreten Kosten zum jetzigen Zeitpunkt allerdings noch nicht fest.</w:t>
      </w:r>
    </w:p>
    <w:p w:rsidR="006E4BC2" w:rsidRDefault="00972E0D" w:rsidP="006E4BC2">
      <w:pPr>
        <w:pStyle w:val="LTAntwortRessortText"/>
      </w:pPr>
      <w:r>
        <w:t>E</w:t>
      </w:r>
      <w:r w:rsidR="006E4BC2">
        <w:t>s ist darauf hinzuweisen, dass ein Dokumentenprüfgerät höchstens dazu dienen kann, auf kommunaler Ebene einen Verdachtsfall zu erhärten. Unabhängig davon sind alle Behörden</w:t>
      </w:r>
      <w:r>
        <w:t xml:space="preserve"> </w:t>
      </w:r>
      <w:r w:rsidR="006E4BC2">
        <w:t>gehalten, bei Auftreten von Verdachtsfällen die örtlich zuständ</w:t>
      </w:r>
      <w:r>
        <w:t>ige Polizeidienststelle zu ver</w:t>
      </w:r>
      <w:r w:rsidR="006E4BC2">
        <w:t>ständigen.</w:t>
      </w:r>
    </w:p>
    <w:p w:rsidR="00A17043" w:rsidRDefault="00A17043">
      <w:pPr>
        <w:rPr>
          <w:rFonts w:cs="Arial"/>
          <w:b/>
          <w:sz w:val="22"/>
          <w:szCs w:val="22"/>
        </w:rPr>
      </w:pPr>
      <w:r>
        <w:br w:type="page"/>
      </w:r>
    </w:p>
    <w:p w:rsidR="006E4BC2" w:rsidRDefault="006E4BC2" w:rsidP="006E4BC2">
      <w:pPr>
        <w:pStyle w:val="LTUeberschrRessort"/>
      </w:pPr>
      <w:r>
        <w:t>Geschäftsbereich des Staatsministeriums der Justiz</w:t>
      </w:r>
      <w:r>
        <w:fldChar w:fldCharType="begin"/>
      </w:r>
      <w:r>
        <w:instrText xml:space="preserve"> TC </w:instrText>
      </w:r>
      <w:r w:rsidR="004A62EF">
        <w:instrText>„</w:instrText>
      </w:r>
      <w:bookmarkStart w:id="24" w:name="_Toc511290243"/>
      <w:r>
        <w:instrText>Geschäftsbereich des Staatsministeriums der Justiz</w:instrText>
      </w:r>
      <w:bookmarkEnd w:id="24"/>
      <w:r w:rsidR="004A62E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Horst</w:t>
            </w:r>
            <w:r w:rsidRPr="006E4BC2">
              <w:rPr>
                <w:b/>
              </w:rPr>
              <w:br/>
              <w:t>Arnold</w:t>
            </w:r>
            <w:r w:rsidRPr="006E4BC2">
              <w:rPr>
                <w:b/>
              </w:rPr>
              <w:br/>
            </w:r>
            <w:r w:rsidRPr="006E4BC2">
              <w:t>(SPD)</w:t>
            </w:r>
            <w:r>
              <w:fldChar w:fldCharType="begin"/>
            </w:r>
            <w:r>
              <w:instrText xml:space="preserve"> TC </w:instrText>
            </w:r>
            <w:r w:rsidR="004A62EF">
              <w:instrText>„</w:instrText>
            </w:r>
            <w:bookmarkStart w:id="25" w:name="_Toc511290244"/>
            <w:r>
              <w:instrText>Arnold, Horst (SPD)</w:instrText>
            </w:r>
            <w:r>
              <w:br/>
              <w:instrText>Wilderei in Bayern</w:instrText>
            </w:r>
            <w:bookmarkEnd w:id="25"/>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wie viele Ermittlungsverfahren im Bereich der Wilderei waren in Bayern in den vergangenen fünf Jahren anhängig (aufgeschlüsselt nach Regierungsbezirken), wie viele Verfahren wurden abgeschlossen und in wie vielen Fällen erfolgte eine Verurteilung bei Gericht?</w:t>
            </w:r>
          </w:p>
          <w:p w:rsidR="006E4BC2" w:rsidRDefault="006E4BC2" w:rsidP="006E4BC2">
            <w:pPr>
              <w:pStyle w:val="LTAnfrageText"/>
            </w:pPr>
          </w:p>
        </w:tc>
      </w:tr>
    </w:tbl>
    <w:p w:rsidR="006E4BC2" w:rsidRDefault="006E4BC2" w:rsidP="00276106">
      <w:pPr>
        <w:pStyle w:val="LTUeberschrAntwortRessort"/>
        <w:spacing w:before="960"/>
      </w:pPr>
      <w:r>
        <w:t>Antwort des Staatsministeriums der Justiz</w:t>
      </w:r>
    </w:p>
    <w:p w:rsidR="006E4BC2" w:rsidRDefault="006E4BC2" w:rsidP="00276106">
      <w:pPr>
        <w:pStyle w:val="LTAntwortRessortText"/>
        <w:spacing w:before="360"/>
      </w:pPr>
      <w:r>
        <w:t xml:space="preserve">Vorweg ist anzumerken, dass unter dem Begriff der </w:t>
      </w:r>
      <w:r w:rsidR="004A62EF">
        <w:t>„</w:t>
      </w:r>
      <w:r>
        <w:t>Wilderei</w:t>
      </w:r>
      <w:r w:rsidR="004A62EF">
        <w:t>“</w:t>
      </w:r>
      <w:r w:rsidR="00F32CFF">
        <w:t xml:space="preserve"> mehrere strafrechtli</w:t>
      </w:r>
      <w:r>
        <w:t xml:space="preserve">che Tatbestände verstanden werden können, die im Folgenden auch entsprechend differenziert dargestellt werden. </w:t>
      </w:r>
    </w:p>
    <w:p w:rsidR="006E4BC2" w:rsidRDefault="006E4BC2" w:rsidP="00276106">
      <w:pPr>
        <w:pStyle w:val="LTAntwortRessortText"/>
        <w:spacing w:before="360"/>
      </w:pPr>
      <w:r>
        <w:t xml:space="preserve">Während § 292 </w:t>
      </w:r>
      <w:r w:rsidR="00F32CFF">
        <w:t>Strafgesetzbuch</w:t>
      </w:r>
      <w:r>
        <w:t xml:space="preserve"> (StGB) die </w:t>
      </w:r>
      <w:r w:rsidR="004A62EF">
        <w:t>„</w:t>
      </w:r>
      <w:r>
        <w:t>Jagdwilderei</w:t>
      </w:r>
      <w:r w:rsidR="004A62EF">
        <w:t>“</w:t>
      </w:r>
      <w:r>
        <w:t xml:space="preserve"> regelt, ist die </w:t>
      </w:r>
      <w:r w:rsidR="004A62EF">
        <w:t>„</w:t>
      </w:r>
      <w:r>
        <w:t>Fischwilderei</w:t>
      </w:r>
      <w:r w:rsidR="004A62EF">
        <w:t>“</w:t>
      </w:r>
      <w:r>
        <w:t xml:space="preserve"> Gegenstand des § 293 StGB. Als Wilderei im weiteren Sinne kann schließlich auch ein Verstoß gegen die spezialgesetzliche Strafvorschrift des § 38 Bundesjagdgesetz (BJagdG) angesehen werden, </w:t>
      </w:r>
      <w:r w:rsidR="00F32CFF">
        <w:t>die verschiedene Straftaten auf</w:t>
      </w:r>
      <w:r>
        <w:t>zählt, wie den Verstoß gegen ein Abschussverbot (Abs. 1 Nr. 1), die Verletzung der ganzjährigen Schonzeit (Abs. 1 Nr. 2) und die verbotene Jagd auf Elterntiere (Abs. 1 Nr.</w:t>
      </w:r>
      <w:r w:rsidR="00F32CFF">
        <w:t> </w:t>
      </w:r>
      <w:r>
        <w:t>3).</w:t>
      </w:r>
    </w:p>
    <w:p w:rsidR="006E4BC2" w:rsidRDefault="006E4BC2" w:rsidP="00276106">
      <w:pPr>
        <w:pStyle w:val="LTAntwortRessortText"/>
        <w:spacing w:before="360"/>
      </w:pPr>
      <w:r>
        <w:t>Weder in der Justizgeschäftsstatistik der Staa</w:t>
      </w:r>
      <w:r w:rsidR="00F32CFF">
        <w:t>tsanwaltschaften noch in der Ge</w:t>
      </w:r>
      <w:r>
        <w:t>schäftsstatistik in Straf- und Bußgeldsachen werden Vergehen nach §§ 292, 293 StGB oder solche nach dem Bundesjagdgesetz gesondert erhoben. Vielmehr gehen diese Tatbestände in der Geschäftsstatistik der S</w:t>
      </w:r>
      <w:r w:rsidR="00F32CFF">
        <w:t>taatsanwaltschaften im sogenann</w:t>
      </w:r>
      <w:r>
        <w:t xml:space="preserve">ten Sachgebiet 99 auf, das </w:t>
      </w:r>
      <w:r w:rsidR="004A62EF">
        <w:t>„</w:t>
      </w:r>
      <w:r>
        <w:t>sonstige allgemeine Straftaten</w:t>
      </w:r>
      <w:r w:rsidR="004A62EF">
        <w:t>“</w:t>
      </w:r>
      <w:r>
        <w:t xml:space="preserve"> erfasst.</w:t>
      </w:r>
    </w:p>
    <w:p w:rsidR="006E4BC2" w:rsidRDefault="006E4BC2" w:rsidP="00276106">
      <w:pPr>
        <w:pStyle w:val="LTAntwortRessortText"/>
        <w:spacing w:before="360"/>
      </w:pPr>
      <w:r>
        <w:t>Daher können aus den Geschäftsstatistiken über die Anzahl, die örtliche Aufteilung und das Ergebnis staatsanwaltschaftlicher Ermittlungsverfahren wegen genannter Tatbestände keine Angaben gemacht werden.</w:t>
      </w:r>
    </w:p>
    <w:p w:rsidR="006E4BC2" w:rsidRDefault="006E4BC2" w:rsidP="00276106">
      <w:pPr>
        <w:pStyle w:val="LTAntwortRessortText"/>
        <w:spacing w:before="360"/>
      </w:pPr>
      <w:r>
        <w:t>Aus der Strafverfolgungsstatistik für Bayern ergeben sich für die Straftatbestände die Zahlen der Abgeurteilten und Verurteilten, wie im Folgenden tabel</w:t>
      </w:r>
      <w:r w:rsidR="00F32CFF">
        <w:t>larisch darge</w:t>
      </w:r>
      <w:r>
        <w:t xml:space="preserve">stellt. </w:t>
      </w:r>
    </w:p>
    <w:p w:rsidR="006E4BC2" w:rsidRDefault="006E4BC2" w:rsidP="00276106">
      <w:pPr>
        <w:pStyle w:val="LTAntwortRessortText"/>
        <w:spacing w:before="360"/>
      </w:pPr>
      <w:r>
        <w:t>Abgeurteilte im Sinne der Strafverfolgungsstatistik sind dabei Angeklagte, gegen die Strafbefehle erlassen wurden oder bei denen das Strafverfahren nach Eröffnung der Hauptverhandlung durch Urteil oder Einstellungsbeschluss endgülti</w:t>
      </w:r>
      <w:r w:rsidR="00F32CFF">
        <w:t>g und rechtskräf</w:t>
      </w:r>
      <w:r>
        <w:t>tig abgeschlossen worden ist. Ihre Zahl setzt sich zusammen aus den Verurteilten und aus Personen, gegen die andere Entscheidungen (z.</w:t>
      </w:r>
      <w:r w:rsidR="00F32CFF">
        <w:t> </w:t>
      </w:r>
      <w:r>
        <w:t xml:space="preserve">B. Freispruch, gerichtliche Einstellung des Strafverfahrens) getroffen wurden. </w:t>
      </w:r>
    </w:p>
    <w:p w:rsidR="006E4BC2" w:rsidRDefault="006E4BC2" w:rsidP="00276106">
      <w:pPr>
        <w:pStyle w:val="LTAntwortRessortText"/>
        <w:spacing w:before="360"/>
      </w:pPr>
      <w:r>
        <w:t xml:space="preserve">Verurteilte sind straffällig gewordene Personen, </w:t>
      </w:r>
      <w:r w:rsidR="00F32CFF">
        <w:t>gegen die nach allgemeine Straf</w:t>
      </w:r>
      <w:r>
        <w:t xml:space="preserve">recht Freiheitsstrafe, Strafarrest oder Geldstrafe verhängt wurde, oder deren Straftat nach Jugendstrafrecht mit Jugendstrafe, Zuchtmitteln oder Erziehungsmaßregeln geahndet worden ist. </w:t>
      </w:r>
    </w:p>
    <w:p w:rsidR="006E4BC2" w:rsidRDefault="006E4BC2" w:rsidP="00276106">
      <w:pPr>
        <w:pStyle w:val="LTAntwortRessortText"/>
        <w:spacing w:before="360"/>
      </w:pPr>
      <w:r>
        <w:t>Die Strafverfolgungsstatistik differenziert nach § 292 StGB, § 293 StGB und BJagdG; eine Aufschlüsselung der genannten einzelnen Straftatbestände nach dem Bundesjagdgesetz erfolgt aber nicht.</w:t>
      </w:r>
    </w:p>
    <w:p w:rsidR="006E4BC2" w:rsidRDefault="006E4BC2" w:rsidP="006E4BC2">
      <w:pPr>
        <w:pStyle w:val="LTAntwortRessortText"/>
      </w:pPr>
      <w:r>
        <w:t>Zudem erfasst die Strafverfolgungsstatistik nur das nach Art und Maß der Strafe schwerste Delikt, so dass gerade Fälle, in denen etwa neben der Jagdwilderei ein schwerwiegenderer Tatbestand verwirklicht ist, bei den hier genannten Zahlen der Abgeurteilten und Verurteilten nicht erfasst sind.</w:t>
      </w:r>
    </w:p>
    <w:p w:rsidR="006E4BC2" w:rsidRDefault="006E4BC2" w:rsidP="006E4BC2">
      <w:pPr>
        <w:pStyle w:val="LTAntwortRessortText"/>
      </w:pPr>
      <w:r>
        <w:t>Für den abgefragten Zeitraum 2013 bis 2017 e</w:t>
      </w:r>
      <w:r w:rsidR="00F32CFF">
        <w:t>rgeben sich aus der Strafverfol</w:t>
      </w:r>
      <w:r>
        <w:t>gungsstatistik für Bayern folgende Zahlen:</w:t>
      </w:r>
    </w:p>
    <w:p w:rsidR="006E4BC2" w:rsidRDefault="006E4BC2" w:rsidP="006E4BC2">
      <w:pPr>
        <w:pStyle w:val="LTAntwortRessortText"/>
      </w:pPr>
      <w:r>
        <w:t xml:space="preserve"> </w:t>
      </w:r>
    </w:p>
    <w:tbl>
      <w:tblPr>
        <w:tblW w:w="9302" w:type="dxa"/>
        <w:tblInd w:w="392" w:type="dxa"/>
        <w:tblCellMar>
          <w:left w:w="0" w:type="dxa"/>
          <w:right w:w="0" w:type="dxa"/>
        </w:tblCellMar>
        <w:tblLook w:val="04A0" w:firstRow="1" w:lastRow="0" w:firstColumn="1" w:lastColumn="0" w:noHBand="0" w:noVBand="1"/>
      </w:tblPr>
      <w:tblGrid>
        <w:gridCol w:w="2126"/>
        <w:gridCol w:w="2444"/>
        <w:gridCol w:w="2366"/>
        <w:gridCol w:w="2366"/>
      </w:tblGrid>
      <w:tr w:rsidR="00255E6B" w:rsidRPr="00255E6B" w:rsidTr="00255E6B">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5E6B" w:rsidRPr="00255E6B" w:rsidRDefault="00255E6B" w:rsidP="00255E6B">
            <w:pPr>
              <w:rPr>
                <w:b/>
                <w:bCs/>
                <w:sz w:val="18"/>
                <w:szCs w:val="18"/>
              </w:rPr>
            </w:pPr>
            <w:r w:rsidRPr="00255E6B">
              <w:rPr>
                <w:b/>
                <w:bCs/>
                <w:sz w:val="18"/>
                <w:szCs w:val="18"/>
              </w:rPr>
              <w:t>Jahr</w:t>
            </w:r>
          </w:p>
        </w:tc>
        <w:tc>
          <w:tcPr>
            <w:tcW w:w="2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5E6B" w:rsidRPr="00255E6B" w:rsidRDefault="00255E6B" w:rsidP="00255E6B">
            <w:pPr>
              <w:rPr>
                <w:b/>
                <w:bCs/>
                <w:sz w:val="18"/>
                <w:szCs w:val="18"/>
              </w:rPr>
            </w:pPr>
            <w:r w:rsidRPr="00255E6B">
              <w:rPr>
                <w:b/>
                <w:bCs/>
                <w:sz w:val="18"/>
                <w:szCs w:val="18"/>
              </w:rPr>
              <w:t>Abgeurteilte nach §</w:t>
            </w:r>
            <w:r>
              <w:rPr>
                <w:b/>
                <w:bCs/>
                <w:sz w:val="18"/>
                <w:szCs w:val="18"/>
              </w:rPr>
              <w:t xml:space="preserve"> </w:t>
            </w:r>
            <w:r w:rsidRPr="00255E6B">
              <w:rPr>
                <w:b/>
                <w:bCs/>
                <w:sz w:val="18"/>
                <w:szCs w:val="18"/>
              </w:rPr>
              <w:t>292 StGB</w:t>
            </w:r>
          </w:p>
        </w:tc>
        <w:tc>
          <w:tcPr>
            <w:tcW w:w="2366" w:type="dxa"/>
            <w:tcBorders>
              <w:top w:val="single" w:sz="8" w:space="0" w:color="auto"/>
              <w:left w:val="nil"/>
              <w:bottom w:val="single" w:sz="8" w:space="0" w:color="auto"/>
              <w:right w:val="single" w:sz="8" w:space="0" w:color="auto"/>
            </w:tcBorders>
            <w:hideMark/>
          </w:tcPr>
          <w:p w:rsidR="00255E6B" w:rsidRPr="00255E6B" w:rsidRDefault="00255E6B" w:rsidP="00255E6B">
            <w:pPr>
              <w:rPr>
                <w:b/>
                <w:bCs/>
                <w:sz w:val="18"/>
                <w:szCs w:val="18"/>
              </w:rPr>
            </w:pPr>
            <w:r w:rsidRPr="00255E6B">
              <w:rPr>
                <w:b/>
                <w:bCs/>
                <w:sz w:val="18"/>
                <w:szCs w:val="18"/>
              </w:rPr>
              <w:t>Abgeurteilte nach § 293 StGB</w:t>
            </w:r>
          </w:p>
        </w:tc>
        <w:tc>
          <w:tcPr>
            <w:tcW w:w="2366" w:type="dxa"/>
            <w:tcBorders>
              <w:top w:val="single" w:sz="8" w:space="0" w:color="auto"/>
              <w:left w:val="nil"/>
              <w:bottom w:val="single" w:sz="8" w:space="0" w:color="auto"/>
              <w:right w:val="single" w:sz="8" w:space="0" w:color="auto"/>
            </w:tcBorders>
            <w:hideMark/>
          </w:tcPr>
          <w:p w:rsidR="00255E6B" w:rsidRPr="00255E6B" w:rsidRDefault="00255E6B" w:rsidP="00255E6B">
            <w:pPr>
              <w:rPr>
                <w:b/>
                <w:bCs/>
                <w:sz w:val="18"/>
                <w:szCs w:val="18"/>
              </w:rPr>
            </w:pPr>
            <w:r w:rsidRPr="00255E6B">
              <w:rPr>
                <w:b/>
                <w:bCs/>
                <w:sz w:val="18"/>
                <w:szCs w:val="18"/>
              </w:rPr>
              <w:t>Abgeurteilte nach BJagdG</w:t>
            </w:r>
          </w:p>
        </w:tc>
      </w:tr>
      <w:tr w:rsidR="00255E6B" w:rsidRPr="00255E6B" w:rsidTr="00255E6B">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5E6B" w:rsidRPr="00255E6B" w:rsidRDefault="00255E6B" w:rsidP="00255E6B">
            <w:pPr>
              <w:rPr>
                <w:sz w:val="18"/>
                <w:szCs w:val="18"/>
              </w:rPr>
            </w:pPr>
            <w:r w:rsidRPr="00255E6B">
              <w:rPr>
                <w:sz w:val="18"/>
                <w:szCs w:val="18"/>
              </w:rPr>
              <w:t>2013</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5E6B" w:rsidRPr="00255E6B" w:rsidRDefault="00255E6B" w:rsidP="00255E6B">
            <w:pPr>
              <w:jc w:val="center"/>
              <w:rPr>
                <w:sz w:val="18"/>
                <w:szCs w:val="18"/>
              </w:rPr>
            </w:pPr>
            <w:r w:rsidRPr="00255E6B">
              <w:rPr>
                <w:sz w:val="18"/>
                <w:szCs w:val="18"/>
              </w:rPr>
              <w:t>5</w:t>
            </w:r>
          </w:p>
        </w:tc>
        <w:tc>
          <w:tcPr>
            <w:tcW w:w="2366"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87</w:t>
            </w:r>
          </w:p>
        </w:tc>
        <w:tc>
          <w:tcPr>
            <w:tcW w:w="2366"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0</w:t>
            </w:r>
          </w:p>
        </w:tc>
      </w:tr>
      <w:tr w:rsidR="00255E6B" w:rsidRPr="00255E6B" w:rsidTr="00255E6B">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5E6B" w:rsidRPr="00255E6B" w:rsidRDefault="00255E6B" w:rsidP="00255E6B">
            <w:pPr>
              <w:rPr>
                <w:sz w:val="18"/>
                <w:szCs w:val="18"/>
              </w:rPr>
            </w:pPr>
            <w:r w:rsidRPr="00255E6B">
              <w:rPr>
                <w:sz w:val="18"/>
                <w:szCs w:val="18"/>
              </w:rPr>
              <w:t>2014</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5E6B" w:rsidRPr="00255E6B" w:rsidRDefault="00255E6B" w:rsidP="00255E6B">
            <w:pPr>
              <w:jc w:val="center"/>
              <w:rPr>
                <w:sz w:val="18"/>
                <w:szCs w:val="18"/>
              </w:rPr>
            </w:pPr>
            <w:r w:rsidRPr="00255E6B">
              <w:rPr>
                <w:sz w:val="18"/>
                <w:szCs w:val="18"/>
              </w:rPr>
              <w:t>9</w:t>
            </w:r>
          </w:p>
        </w:tc>
        <w:tc>
          <w:tcPr>
            <w:tcW w:w="2366"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104</w:t>
            </w:r>
          </w:p>
        </w:tc>
        <w:tc>
          <w:tcPr>
            <w:tcW w:w="2366"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0</w:t>
            </w:r>
          </w:p>
        </w:tc>
      </w:tr>
      <w:tr w:rsidR="00255E6B" w:rsidRPr="00255E6B" w:rsidTr="00255E6B">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5E6B" w:rsidRPr="00255E6B" w:rsidRDefault="00255E6B" w:rsidP="00255E6B">
            <w:pPr>
              <w:rPr>
                <w:sz w:val="18"/>
                <w:szCs w:val="18"/>
              </w:rPr>
            </w:pPr>
            <w:r w:rsidRPr="00255E6B">
              <w:rPr>
                <w:sz w:val="18"/>
                <w:szCs w:val="18"/>
              </w:rPr>
              <w:t>2015</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5E6B" w:rsidRPr="00255E6B" w:rsidRDefault="00255E6B" w:rsidP="00255E6B">
            <w:pPr>
              <w:jc w:val="center"/>
              <w:rPr>
                <w:sz w:val="18"/>
                <w:szCs w:val="18"/>
              </w:rPr>
            </w:pPr>
            <w:r w:rsidRPr="00255E6B">
              <w:rPr>
                <w:sz w:val="18"/>
                <w:szCs w:val="18"/>
              </w:rPr>
              <w:t>9</w:t>
            </w:r>
          </w:p>
        </w:tc>
        <w:tc>
          <w:tcPr>
            <w:tcW w:w="2366"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79</w:t>
            </w:r>
          </w:p>
        </w:tc>
        <w:tc>
          <w:tcPr>
            <w:tcW w:w="2366"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1</w:t>
            </w:r>
          </w:p>
        </w:tc>
      </w:tr>
      <w:tr w:rsidR="00255E6B" w:rsidRPr="00255E6B" w:rsidTr="00255E6B">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5E6B" w:rsidRPr="00255E6B" w:rsidRDefault="00255E6B" w:rsidP="00255E6B">
            <w:pPr>
              <w:rPr>
                <w:sz w:val="18"/>
                <w:szCs w:val="18"/>
              </w:rPr>
            </w:pPr>
            <w:r w:rsidRPr="00255E6B">
              <w:rPr>
                <w:sz w:val="18"/>
                <w:szCs w:val="18"/>
              </w:rPr>
              <w:t>2016</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5E6B" w:rsidRPr="00255E6B" w:rsidRDefault="00255E6B" w:rsidP="00255E6B">
            <w:pPr>
              <w:jc w:val="center"/>
              <w:rPr>
                <w:sz w:val="18"/>
                <w:szCs w:val="18"/>
              </w:rPr>
            </w:pPr>
            <w:r w:rsidRPr="00255E6B">
              <w:rPr>
                <w:sz w:val="18"/>
                <w:szCs w:val="18"/>
              </w:rPr>
              <w:t>5</w:t>
            </w:r>
          </w:p>
        </w:tc>
        <w:tc>
          <w:tcPr>
            <w:tcW w:w="2366"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83</w:t>
            </w:r>
          </w:p>
        </w:tc>
        <w:tc>
          <w:tcPr>
            <w:tcW w:w="2366"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3</w:t>
            </w:r>
          </w:p>
        </w:tc>
      </w:tr>
    </w:tbl>
    <w:p w:rsidR="006E4BC2" w:rsidRDefault="006E4BC2" w:rsidP="006E4BC2">
      <w:pPr>
        <w:pStyle w:val="LTAntwortRessortText"/>
      </w:pPr>
    </w:p>
    <w:tbl>
      <w:tblPr>
        <w:tblW w:w="9302" w:type="dxa"/>
        <w:tblInd w:w="392" w:type="dxa"/>
        <w:tblCellMar>
          <w:left w:w="0" w:type="dxa"/>
          <w:right w:w="0" w:type="dxa"/>
        </w:tblCellMar>
        <w:tblLook w:val="04A0" w:firstRow="1" w:lastRow="0" w:firstColumn="1" w:lastColumn="0" w:noHBand="0" w:noVBand="1"/>
      </w:tblPr>
      <w:tblGrid>
        <w:gridCol w:w="2195"/>
        <w:gridCol w:w="2417"/>
        <w:gridCol w:w="2345"/>
        <w:gridCol w:w="2345"/>
      </w:tblGrid>
      <w:tr w:rsidR="00255E6B" w:rsidRPr="00255E6B" w:rsidTr="00255E6B">
        <w:tc>
          <w:tcPr>
            <w:tcW w:w="21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5E6B" w:rsidRPr="00255E6B" w:rsidRDefault="00255E6B" w:rsidP="00255E6B">
            <w:pPr>
              <w:rPr>
                <w:b/>
                <w:bCs/>
                <w:sz w:val="18"/>
                <w:szCs w:val="18"/>
              </w:rPr>
            </w:pPr>
            <w:r w:rsidRPr="00255E6B">
              <w:rPr>
                <w:b/>
                <w:bCs/>
                <w:sz w:val="18"/>
                <w:szCs w:val="18"/>
              </w:rPr>
              <w:t>Jahr</w:t>
            </w:r>
          </w:p>
        </w:tc>
        <w:tc>
          <w:tcPr>
            <w:tcW w:w="2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5E6B" w:rsidRPr="00255E6B" w:rsidRDefault="00255E6B" w:rsidP="00255E6B">
            <w:pPr>
              <w:rPr>
                <w:b/>
                <w:bCs/>
                <w:sz w:val="18"/>
                <w:szCs w:val="18"/>
              </w:rPr>
            </w:pPr>
            <w:r w:rsidRPr="00255E6B">
              <w:rPr>
                <w:b/>
                <w:bCs/>
                <w:sz w:val="18"/>
                <w:szCs w:val="18"/>
              </w:rPr>
              <w:t>Verurteilte nach §</w:t>
            </w:r>
            <w:r>
              <w:rPr>
                <w:b/>
                <w:bCs/>
                <w:sz w:val="18"/>
                <w:szCs w:val="18"/>
              </w:rPr>
              <w:t xml:space="preserve"> </w:t>
            </w:r>
            <w:r w:rsidRPr="00255E6B">
              <w:rPr>
                <w:b/>
                <w:bCs/>
                <w:sz w:val="18"/>
                <w:szCs w:val="18"/>
              </w:rPr>
              <w:t>292 StGB</w:t>
            </w:r>
          </w:p>
        </w:tc>
        <w:tc>
          <w:tcPr>
            <w:tcW w:w="2345" w:type="dxa"/>
            <w:tcBorders>
              <w:top w:val="single" w:sz="8" w:space="0" w:color="auto"/>
              <w:left w:val="nil"/>
              <w:bottom w:val="single" w:sz="8" w:space="0" w:color="auto"/>
              <w:right w:val="single" w:sz="8" w:space="0" w:color="auto"/>
            </w:tcBorders>
            <w:hideMark/>
          </w:tcPr>
          <w:p w:rsidR="00255E6B" w:rsidRPr="00255E6B" w:rsidRDefault="00255E6B" w:rsidP="00255E6B">
            <w:pPr>
              <w:rPr>
                <w:b/>
                <w:bCs/>
                <w:sz w:val="18"/>
                <w:szCs w:val="18"/>
              </w:rPr>
            </w:pPr>
            <w:r w:rsidRPr="00255E6B">
              <w:rPr>
                <w:b/>
                <w:bCs/>
                <w:sz w:val="18"/>
                <w:szCs w:val="18"/>
              </w:rPr>
              <w:t>Verurteilte nach § 293 StGB</w:t>
            </w:r>
          </w:p>
        </w:tc>
        <w:tc>
          <w:tcPr>
            <w:tcW w:w="2345" w:type="dxa"/>
            <w:tcBorders>
              <w:top w:val="single" w:sz="8" w:space="0" w:color="auto"/>
              <w:left w:val="nil"/>
              <w:bottom w:val="single" w:sz="8" w:space="0" w:color="auto"/>
              <w:right w:val="single" w:sz="8" w:space="0" w:color="auto"/>
            </w:tcBorders>
            <w:hideMark/>
          </w:tcPr>
          <w:p w:rsidR="00255E6B" w:rsidRPr="00255E6B" w:rsidRDefault="00255E6B" w:rsidP="00255E6B">
            <w:pPr>
              <w:rPr>
                <w:b/>
                <w:bCs/>
                <w:sz w:val="18"/>
                <w:szCs w:val="18"/>
              </w:rPr>
            </w:pPr>
            <w:r w:rsidRPr="00255E6B">
              <w:rPr>
                <w:b/>
                <w:bCs/>
                <w:sz w:val="18"/>
                <w:szCs w:val="18"/>
              </w:rPr>
              <w:t>Verurteilte nach BJagdG</w:t>
            </w:r>
          </w:p>
        </w:tc>
      </w:tr>
      <w:tr w:rsidR="00255E6B" w:rsidRPr="00255E6B" w:rsidTr="00255E6B">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5E6B" w:rsidRPr="00255E6B" w:rsidRDefault="00255E6B" w:rsidP="00255E6B">
            <w:pPr>
              <w:rPr>
                <w:sz w:val="18"/>
                <w:szCs w:val="18"/>
              </w:rPr>
            </w:pPr>
            <w:r w:rsidRPr="00255E6B">
              <w:rPr>
                <w:sz w:val="18"/>
                <w:szCs w:val="18"/>
              </w:rPr>
              <w:t>2013</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5E6B" w:rsidRPr="00255E6B" w:rsidRDefault="00255E6B" w:rsidP="00255E6B">
            <w:pPr>
              <w:jc w:val="center"/>
              <w:rPr>
                <w:sz w:val="18"/>
                <w:szCs w:val="18"/>
              </w:rPr>
            </w:pPr>
            <w:r w:rsidRPr="00255E6B">
              <w:rPr>
                <w:sz w:val="18"/>
                <w:szCs w:val="18"/>
              </w:rPr>
              <w:t>3</w:t>
            </w:r>
          </w:p>
        </w:tc>
        <w:tc>
          <w:tcPr>
            <w:tcW w:w="2345"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73</w:t>
            </w:r>
          </w:p>
        </w:tc>
        <w:tc>
          <w:tcPr>
            <w:tcW w:w="2345"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0</w:t>
            </w:r>
          </w:p>
        </w:tc>
      </w:tr>
      <w:tr w:rsidR="00255E6B" w:rsidRPr="00255E6B" w:rsidTr="00255E6B">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5E6B" w:rsidRPr="00255E6B" w:rsidRDefault="00255E6B" w:rsidP="00255E6B">
            <w:pPr>
              <w:rPr>
                <w:sz w:val="18"/>
                <w:szCs w:val="18"/>
              </w:rPr>
            </w:pPr>
            <w:r w:rsidRPr="00255E6B">
              <w:rPr>
                <w:sz w:val="18"/>
                <w:szCs w:val="18"/>
              </w:rPr>
              <w:t>2014</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5E6B" w:rsidRPr="00255E6B" w:rsidRDefault="00255E6B" w:rsidP="00255E6B">
            <w:pPr>
              <w:jc w:val="center"/>
              <w:rPr>
                <w:sz w:val="18"/>
                <w:szCs w:val="18"/>
              </w:rPr>
            </w:pPr>
            <w:r w:rsidRPr="00255E6B">
              <w:rPr>
                <w:sz w:val="18"/>
                <w:szCs w:val="18"/>
              </w:rPr>
              <w:t>7</w:t>
            </w:r>
          </w:p>
        </w:tc>
        <w:tc>
          <w:tcPr>
            <w:tcW w:w="2345"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92</w:t>
            </w:r>
          </w:p>
        </w:tc>
        <w:tc>
          <w:tcPr>
            <w:tcW w:w="2345"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0</w:t>
            </w:r>
          </w:p>
        </w:tc>
      </w:tr>
      <w:tr w:rsidR="00255E6B" w:rsidRPr="00255E6B" w:rsidTr="00255E6B">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5E6B" w:rsidRPr="00255E6B" w:rsidRDefault="00255E6B" w:rsidP="00255E6B">
            <w:pPr>
              <w:rPr>
                <w:sz w:val="18"/>
                <w:szCs w:val="18"/>
              </w:rPr>
            </w:pPr>
            <w:r w:rsidRPr="00255E6B">
              <w:rPr>
                <w:sz w:val="18"/>
                <w:szCs w:val="18"/>
              </w:rPr>
              <w:t>2015</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5E6B" w:rsidRPr="00255E6B" w:rsidRDefault="00255E6B" w:rsidP="00255E6B">
            <w:pPr>
              <w:jc w:val="center"/>
              <w:rPr>
                <w:sz w:val="18"/>
                <w:szCs w:val="18"/>
              </w:rPr>
            </w:pPr>
            <w:r w:rsidRPr="00255E6B">
              <w:rPr>
                <w:sz w:val="18"/>
                <w:szCs w:val="18"/>
              </w:rPr>
              <w:t>3</w:t>
            </w:r>
          </w:p>
        </w:tc>
        <w:tc>
          <w:tcPr>
            <w:tcW w:w="2345"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69</w:t>
            </w:r>
          </w:p>
        </w:tc>
        <w:tc>
          <w:tcPr>
            <w:tcW w:w="2345"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1</w:t>
            </w:r>
          </w:p>
        </w:tc>
      </w:tr>
      <w:tr w:rsidR="00255E6B" w:rsidRPr="00255E6B" w:rsidTr="00255E6B">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5E6B" w:rsidRPr="00255E6B" w:rsidRDefault="00255E6B" w:rsidP="00255E6B">
            <w:pPr>
              <w:rPr>
                <w:sz w:val="18"/>
                <w:szCs w:val="18"/>
              </w:rPr>
            </w:pPr>
            <w:r w:rsidRPr="00255E6B">
              <w:rPr>
                <w:sz w:val="18"/>
                <w:szCs w:val="18"/>
              </w:rPr>
              <w:t>2016</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5E6B" w:rsidRPr="00255E6B" w:rsidRDefault="00255E6B" w:rsidP="00255E6B">
            <w:pPr>
              <w:jc w:val="center"/>
              <w:rPr>
                <w:sz w:val="18"/>
                <w:szCs w:val="18"/>
              </w:rPr>
            </w:pPr>
            <w:r w:rsidRPr="00255E6B">
              <w:rPr>
                <w:sz w:val="18"/>
                <w:szCs w:val="18"/>
              </w:rPr>
              <w:t>3</w:t>
            </w:r>
          </w:p>
        </w:tc>
        <w:tc>
          <w:tcPr>
            <w:tcW w:w="2345"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73</w:t>
            </w:r>
          </w:p>
        </w:tc>
        <w:tc>
          <w:tcPr>
            <w:tcW w:w="2345" w:type="dxa"/>
            <w:tcBorders>
              <w:top w:val="nil"/>
              <w:left w:val="nil"/>
              <w:bottom w:val="single" w:sz="8" w:space="0" w:color="auto"/>
              <w:right w:val="single" w:sz="8" w:space="0" w:color="auto"/>
            </w:tcBorders>
            <w:vAlign w:val="center"/>
            <w:hideMark/>
          </w:tcPr>
          <w:p w:rsidR="00255E6B" w:rsidRPr="00255E6B" w:rsidRDefault="00255E6B" w:rsidP="00255E6B">
            <w:pPr>
              <w:jc w:val="center"/>
              <w:rPr>
                <w:sz w:val="18"/>
                <w:szCs w:val="18"/>
              </w:rPr>
            </w:pPr>
            <w:r w:rsidRPr="00255E6B">
              <w:rPr>
                <w:sz w:val="18"/>
                <w:szCs w:val="18"/>
              </w:rPr>
              <w:t>2</w:t>
            </w:r>
          </w:p>
        </w:tc>
      </w:tr>
    </w:tbl>
    <w:p w:rsidR="006E4BC2" w:rsidRDefault="006E4BC2" w:rsidP="006E4BC2">
      <w:pPr>
        <w:pStyle w:val="LTAntwortRessortText"/>
      </w:pPr>
      <w:r>
        <w:t>Für das Jahr 2017 sind noch keine Zahlen bekannt, da die Strafverfolgungsstatistik noch nicht vorliegt.</w:t>
      </w:r>
    </w:p>
    <w:p w:rsidR="00693C0C" w:rsidRDefault="00693C0C">
      <w:pPr>
        <w:rPr>
          <w:rFonts w:cs="Arial"/>
          <w:b/>
          <w:sz w:val="22"/>
          <w:szCs w:val="22"/>
        </w:rPr>
      </w:pPr>
      <w:r>
        <w:br w:type="page"/>
      </w:r>
    </w:p>
    <w:p w:rsidR="006E4BC2" w:rsidRDefault="006E4BC2" w:rsidP="006E4BC2">
      <w:pPr>
        <w:pStyle w:val="LTUeberschrRessort"/>
      </w:pPr>
      <w:r>
        <w:t>Geschäftsbereich des Staatsministeriums für Unterricht und Kultus</w:t>
      </w:r>
      <w:r>
        <w:fldChar w:fldCharType="begin"/>
      </w:r>
      <w:r>
        <w:instrText xml:space="preserve"> TC </w:instrText>
      </w:r>
      <w:r w:rsidR="004A62EF">
        <w:instrText>„</w:instrText>
      </w:r>
      <w:bookmarkStart w:id="26" w:name="_Toc511290245"/>
      <w:r>
        <w:instrText>Geschäftsbereich des Staatsministeriums für Unterricht und Kultus</w:instrText>
      </w:r>
      <w:bookmarkEnd w:id="26"/>
      <w:r w:rsidR="004A62E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Thomas</w:t>
            </w:r>
            <w:r w:rsidRPr="006E4BC2">
              <w:rPr>
                <w:b/>
              </w:rPr>
              <w:br/>
              <w:t>Gehring</w:t>
            </w:r>
            <w:r w:rsidRPr="006E4BC2">
              <w:rPr>
                <w:b/>
              </w:rPr>
              <w:br/>
            </w:r>
            <w:r w:rsidRPr="006E4BC2">
              <w:t>(BÜNDNIS 90/DIE GRÜNEN)</w:t>
            </w:r>
            <w:r>
              <w:fldChar w:fldCharType="begin"/>
            </w:r>
            <w:r>
              <w:instrText xml:space="preserve"> TC </w:instrText>
            </w:r>
            <w:r w:rsidR="004A62EF">
              <w:instrText>„</w:instrText>
            </w:r>
            <w:bookmarkStart w:id="27" w:name="_Toc511290246"/>
            <w:r>
              <w:instrText>Gehring, Thomas (BÜNDNIS 90/DIE GRÜNEN)</w:instrText>
            </w:r>
            <w:r>
              <w:br/>
              <w:instrText>Zweite Lehrkraft - Profession und Aufgaben</w:instrText>
            </w:r>
            <w:bookmarkEnd w:id="27"/>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welche pädagogischen Professionen werden neben Lehrkräften an den bayerischen Schulen eingesetzt (bitte aufgeschlüsselt nach Aufgabengebiet und Schulart), wie viele sind im laufenden Schuljahr eingesetzt (bitte aufgeschlüsselt nach Aufgabengebiet und Schulart) und was ist jeweils die rechtliche Grundlage (für Einsatz und Finanzierung)?</w:t>
            </w:r>
          </w:p>
          <w:p w:rsidR="006E4BC2" w:rsidRDefault="006E4BC2" w:rsidP="006E4BC2">
            <w:pPr>
              <w:pStyle w:val="LTAnfrageText"/>
            </w:pPr>
          </w:p>
        </w:tc>
      </w:tr>
    </w:tbl>
    <w:p w:rsidR="006E4BC2" w:rsidRDefault="006E4BC2" w:rsidP="006E4BC2">
      <w:pPr>
        <w:pStyle w:val="LTUeberschrAntwortRessort"/>
      </w:pPr>
      <w:r>
        <w:t>Antwort des Staatsministeriums für Unterricht und Kultus</w:t>
      </w:r>
    </w:p>
    <w:p w:rsidR="006E4BC2" w:rsidRDefault="006E4BC2" w:rsidP="006E4BC2">
      <w:pPr>
        <w:pStyle w:val="LTAntwortRessortText"/>
      </w:pPr>
      <w:r>
        <w:t>Mit der Anfrage</w:t>
      </w:r>
      <w:r w:rsidR="00693C0C">
        <w:t xml:space="preserve"> zum Plenum</w:t>
      </w:r>
      <w:r>
        <w:t xml:space="preserve"> werden Daten zu pädagogischen Professionen an bayerischen Schulen erbeten. Angaben können ausschließlich zum staatlichen Schuldienst gegeben werden; Daten zum kommunalen und privaten sowie kirchlichen Schuldienst liegen dem Staatsministerium</w:t>
      </w:r>
      <w:r w:rsidR="00693C0C">
        <w:t xml:space="preserve"> für Unterricht und Kultus (StMUK) nicht vor. </w:t>
      </w:r>
    </w:p>
    <w:p w:rsidR="006E4BC2" w:rsidRDefault="006E4BC2" w:rsidP="006E4BC2">
      <w:pPr>
        <w:pStyle w:val="LTAntwortRessortText"/>
      </w:pPr>
      <w:r>
        <w:t>Es wird zudem davon ausgegangen, dass die Anfrage</w:t>
      </w:r>
      <w:r w:rsidR="00693C0C">
        <w:t xml:space="preserve"> zum Plenum</w:t>
      </w:r>
      <w:r>
        <w:t xml:space="preserve"> sich auf pädagogisches Personal bezieht, das keinen eigenverantwortlichen Unterricht erteilt, es sich damit um sog. unterrichtsunterstützendes Personal handelt. Da die Auswertung anhand des staatlichen Personal- und Stellenverwaltu</w:t>
      </w:r>
      <w:r w:rsidR="00693C0C">
        <w:t>ngs- sowie Bezügeabrechnungssys</w:t>
      </w:r>
      <w:r>
        <w:t>tem VIVA vorgenommen wurde, sin</w:t>
      </w:r>
      <w:r w:rsidR="00693C0C">
        <w:t>d nur Daten bzw. Personen erfasst, die beim Frei</w:t>
      </w:r>
      <w:r>
        <w:t>staat Bayern in einem Beschäftigungsverhältnis</w:t>
      </w:r>
      <w:r w:rsidR="00693C0C">
        <w:t xml:space="preserve"> stehen und in das System einge</w:t>
      </w:r>
      <w:r>
        <w:t>pflegt wurden. Die Au</w:t>
      </w:r>
      <w:r w:rsidR="00693C0C">
        <w:t>swertung erfolgte zum Stichtag 04.04.</w:t>
      </w:r>
      <w:r>
        <w:t>2018. Da gerade z.</w:t>
      </w:r>
      <w:r w:rsidR="00693C0C">
        <w:t> B. Sozialpädagoginnen bzw. -pädagogen und</w:t>
      </w:r>
      <w:r>
        <w:t xml:space="preserve"> Erzieher</w:t>
      </w:r>
      <w:r w:rsidR="00693C0C">
        <w:t>innen bzw. Erzieher</w:t>
      </w:r>
      <w:r>
        <w:t xml:space="preserve"> die z.</w:t>
      </w:r>
      <w:r w:rsidR="00693C0C">
        <w:t> </w:t>
      </w:r>
      <w:r>
        <w:t>B. als Mitarbeiter</w:t>
      </w:r>
      <w:r w:rsidR="00FF421F">
        <w:t>innen und Mitarbeiter</w:t>
      </w:r>
      <w:r>
        <w:t xml:space="preserve"> in Ganztagsschulen oder für Betreuungsangebote zur Rhythmisierung des Sch</w:t>
      </w:r>
      <w:r w:rsidR="00693C0C">
        <w:t>ulalltags eingesetzt sind, über</w:t>
      </w:r>
      <w:r>
        <w:t>wiegend nicht beim Staat</w:t>
      </w:r>
      <w:r w:rsidR="00693C0C">
        <w:t>,</w:t>
      </w:r>
      <w:r>
        <w:t xml:space="preserve"> sondern beim Sacha</w:t>
      </w:r>
      <w:r w:rsidR="00693C0C">
        <w:t>ufwandsträger, bei Kooperations</w:t>
      </w:r>
      <w:r>
        <w:t xml:space="preserve">partnern im Ganztag oder bei Trägern von Mittagsbetreuungen angestellt sind, liegen dem </w:t>
      </w:r>
      <w:r w:rsidR="00693C0C">
        <w:t>StMUK</w:t>
      </w:r>
      <w:r>
        <w:t xml:space="preserve"> diesbezüglich keine Zahlen vor.</w:t>
      </w:r>
    </w:p>
    <w:p w:rsidR="006E4BC2" w:rsidRDefault="006E4BC2" w:rsidP="006E4BC2">
      <w:pPr>
        <w:pStyle w:val="LTAntwortRessortText"/>
      </w:pPr>
      <w:r>
        <w:t xml:space="preserve">Zu der Kategorie </w:t>
      </w:r>
      <w:r w:rsidR="004A62EF">
        <w:t>„</w:t>
      </w:r>
      <w:r>
        <w:t>unterrichtsunterstützendes Personal</w:t>
      </w:r>
      <w:r w:rsidR="004A62EF">
        <w:t>“</w:t>
      </w:r>
      <w:r>
        <w:t xml:space="preserve"> gehören z.</w:t>
      </w:r>
      <w:r w:rsidR="00693C0C">
        <w:t> </w:t>
      </w:r>
      <w:r>
        <w:t>B. folgende Beschäftigungsgruppen:</w:t>
      </w:r>
    </w:p>
    <w:p w:rsidR="006E4BC2" w:rsidRPr="00693C0C" w:rsidRDefault="006E4BC2" w:rsidP="006E4BC2">
      <w:pPr>
        <w:pStyle w:val="LTAntwortRessortText"/>
        <w:rPr>
          <w:b/>
        </w:rPr>
      </w:pPr>
      <w:r w:rsidRPr="00693C0C">
        <w:rPr>
          <w:b/>
        </w:rPr>
        <w:t>Fremdsprachenassistenzkräfte</w:t>
      </w:r>
      <w:r w:rsidR="00693C0C">
        <w:rPr>
          <w:b/>
        </w:rPr>
        <w:t>:</w:t>
      </w:r>
    </w:p>
    <w:p w:rsidR="006E4BC2" w:rsidRPr="00693C0C" w:rsidRDefault="006E4BC2" w:rsidP="006E4BC2">
      <w:pPr>
        <w:pStyle w:val="LTAntwortRessortText"/>
        <w:rPr>
          <w:u w:val="single"/>
        </w:rPr>
      </w:pPr>
      <w:r w:rsidRPr="00693C0C">
        <w:rPr>
          <w:u w:val="single"/>
        </w:rPr>
        <w:t>Anzahl im Schuljahr 2017/2018:</w:t>
      </w:r>
    </w:p>
    <w:p w:rsidR="006E4BC2" w:rsidRDefault="006E4BC2" w:rsidP="00693C0C">
      <w:pPr>
        <w:pStyle w:val="LTAntwortRessortText"/>
        <w:spacing w:before="120"/>
      </w:pPr>
      <w:r>
        <w:t>Realsc</w:t>
      </w:r>
      <w:r w:rsidR="00693C0C">
        <w:t xml:space="preserve">hule: </w:t>
      </w:r>
      <w:r w:rsidR="00693C0C">
        <w:tab/>
        <w:t xml:space="preserve">  </w:t>
      </w:r>
      <w:r>
        <w:t>7</w:t>
      </w:r>
    </w:p>
    <w:p w:rsidR="006E4BC2" w:rsidRDefault="00693C0C" w:rsidP="00693C0C">
      <w:pPr>
        <w:pStyle w:val="LTAntwortRessortText"/>
        <w:spacing w:before="120"/>
      </w:pPr>
      <w:r>
        <w:t>Gymnasium:</w:t>
      </w:r>
      <w:r>
        <w:tab/>
      </w:r>
      <w:r w:rsidR="006E4BC2">
        <w:t>30</w:t>
      </w:r>
    </w:p>
    <w:p w:rsidR="006E4BC2" w:rsidRDefault="00693C0C" w:rsidP="00693C0C">
      <w:pPr>
        <w:pStyle w:val="LTAntwortRessortText"/>
        <w:spacing w:before="120"/>
      </w:pPr>
      <w:r>
        <w:t>Fachoberschule:</w:t>
      </w:r>
      <w:r>
        <w:tab/>
        <w:t xml:space="preserve">  </w:t>
      </w:r>
      <w:r w:rsidR="006E4BC2">
        <w:t>2</w:t>
      </w:r>
    </w:p>
    <w:p w:rsidR="006E4BC2" w:rsidRDefault="006E4BC2" w:rsidP="00693C0C">
      <w:pPr>
        <w:pStyle w:val="LTAntwortRessortText"/>
        <w:spacing w:before="120"/>
      </w:pPr>
      <w:r>
        <w:t>G</w:t>
      </w:r>
      <w:r w:rsidR="00693C0C">
        <w:t>esamt</w:t>
      </w:r>
      <w:r>
        <w:t>:</w:t>
      </w:r>
      <w:r>
        <w:tab/>
      </w:r>
      <w:r>
        <w:tab/>
        <w:t>39</w:t>
      </w:r>
    </w:p>
    <w:p w:rsidR="006E4BC2" w:rsidRPr="00693C0C" w:rsidRDefault="006E4BC2" w:rsidP="002C4514">
      <w:pPr>
        <w:pStyle w:val="LTAntwortRessortText"/>
        <w:spacing w:before="360"/>
        <w:rPr>
          <w:u w:val="single"/>
        </w:rPr>
      </w:pPr>
      <w:r w:rsidRPr="00693C0C">
        <w:rPr>
          <w:u w:val="single"/>
        </w:rPr>
        <w:t>Profil:</w:t>
      </w:r>
    </w:p>
    <w:p w:rsidR="006E4BC2" w:rsidRDefault="006E4BC2" w:rsidP="002C4514">
      <w:pPr>
        <w:pStyle w:val="LTAntwortRessortText"/>
        <w:spacing w:before="120"/>
      </w:pPr>
      <w:r>
        <w:t>Studierende mit mindestens zweijährigem St</w:t>
      </w:r>
      <w:r w:rsidR="002C4514">
        <w:t>udium und guten Deutschkenntnis</w:t>
      </w:r>
      <w:r>
        <w:t xml:space="preserve">sen, vorzugsweise angehende Lehrkräfte mit Deutsch als Studienfach. </w:t>
      </w:r>
    </w:p>
    <w:p w:rsidR="00276106" w:rsidRDefault="00276106" w:rsidP="002C4514">
      <w:pPr>
        <w:pStyle w:val="LTAntwortRessortText"/>
        <w:spacing w:before="360"/>
        <w:rPr>
          <w:u w:val="single"/>
        </w:rPr>
      </w:pPr>
    </w:p>
    <w:p w:rsidR="006E4BC2" w:rsidRPr="002C4514" w:rsidRDefault="006E4BC2" w:rsidP="002C4514">
      <w:pPr>
        <w:pStyle w:val="LTAntwortRessortText"/>
        <w:spacing w:before="360"/>
        <w:rPr>
          <w:u w:val="single"/>
        </w:rPr>
      </w:pPr>
      <w:r w:rsidRPr="002C4514">
        <w:rPr>
          <w:u w:val="single"/>
        </w:rPr>
        <w:t>Aufgaben:</w:t>
      </w:r>
    </w:p>
    <w:p w:rsidR="006E4BC2" w:rsidRDefault="006E4BC2" w:rsidP="002C4514">
      <w:pPr>
        <w:pStyle w:val="LTAntwortRessortText"/>
        <w:spacing w:before="120"/>
      </w:pPr>
      <w:r>
        <w:t>Fremdsprachenassistenzkräfte unterstützen die Fachlehrkräfte, u</w:t>
      </w:r>
      <w:r w:rsidR="002C4514">
        <w:t>. </w:t>
      </w:r>
      <w:r>
        <w:t>a. durch die Durchführung von Übungen zur interkulturellen Kompetenz und Kommunikation, die Zusammenstellung von authentischem Übu</w:t>
      </w:r>
      <w:r w:rsidR="002C4514">
        <w:t>ngs- und Anschauungsmaterial so</w:t>
      </w:r>
      <w:r>
        <w:t>wie die Mitbetreuung extracurricularer Aktivitäten wie Theater-A</w:t>
      </w:r>
      <w:r w:rsidR="002C4514">
        <w:t>rbeitsgruppen oder Lesezir</w:t>
      </w:r>
      <w:r>
        <w:t>kel.</w:t>
      </w:r>
    </w:p>
    <w:p w:rsidR="006E4BC2" w:rsidRPr="002C4514" w:rsidRDefault="006E4BC2" w:rsidP="002C4514">
      <w:pPr>
        <w:pStyle w:val="LTAntwortRessortText"/>
        <w:spacing w:before="360"/>
        <w:rPr>
          <w:u w:val="single"/>
        </w:rPr>
      </w:pPr>
      <w:r w:rsidRPr="002C4514">
        <w:rPr>
          <w:u w:val="single"/>
        </w:rPr>
        <w:t>Rechtliche Grundlage:</w:t>
      </w:r>
    </w:p>
    <w:p w:rsidR="006E4BC2" w:rsidRDefault="006E4BC2" w:rsidP="006E4BC2">
      <w:pPr>
        <w:pStyle w:val="LTAntwortRessortText"/>
      </w:pPr>
      <w:r>
        <w:t xml:space="preserve">Bilaterale Kulturverhandlungen zwischen der </w:t>
      </w:r>
      <w:r w:rsidR="002C4514">
        <w:t xml:space="preserve">Bundesrepublik Deutschland </w:t>
      </w:r>
      <w:r>
        <w:t>und dem jeweiligen Partnerstaat</w:t>
      </w:r>
      <w:r w:rsidR="00FF421F">
        <w:t>,</w:t>
      </w:r>
      <w:r w:rsidR="002C4514">
        <w:t xml:space="preserve"> </w:t>
      </w:r>
      <w:r>
        <w:t xml:space="preserve">Beauftragung des Pädagogischen Austauschdiensts bei der </w:t>
      </w:r>
      <w:r w:rsidR="002C4514">
        <w:t>Kultusministerkonferenz mit der Durch</w:t>
      </w:r>
      <w:r>
        <w:t>führung des Programms</w:t>
      </w:r>
      <w:r w:rsidR="00FF421F">
        <w:t>.</w:t>
      </w:r>
    </w:p>
    <w:p w:rsidR="006E4BC2" w:rsidRPr="002C4514" w:rsidRDefault="006E4BC2" w:rsidP="002C4514">
      <w:pPr>
        <w:pStyle w:val="LTAntwortRessortText"/>
        <w:spacing w:before="360"/>
        <w:rPr>
          <w:b/>
        </w:rPr>
      </w:pPr>
      <w:r w:rsidRPr="002C4514">
        <w:rPr>
          <w:b/>
        </w:rPr>
        <w:t>Französische Freiwillige</w:t>
      </w:r>
      <w:r w:rsidR="002C4514">
        <w:rPr>
          <w:b/>
        </w:rPr>
        <w:t>:</w:t>
      </w:r>
    </w:p>
    <w:p w:rsidR="006E4BC2" w:rsidRPr="002C4514" w:rsidRDefault="006E4BC2" w:rsidP="006E4BC2">
      <w:pPr>
        <w:pStyle w:val="LTAntwortRessortText"/>
        <w:rPr>
          <w:u w:val="single"/>
        </w:rPr>
      </w:pPr>
      <w:r w:rsidRPr="002C4514">
        <w:rPr>
          <w:u w:val="single"/>
        </w:rPr>
        <w:t>Anzahl im Schuljahr 2017/2018:</w:t>
      </w:r>
    </w:p>
    <w:p w:rsidR="006E4BC2" w:rsidRDefault="006E4BC2" w:rsidP="002C4514">
      <w:pPr>
        <w:pStyle w:val="LTAntwortRessortText"/>
        <w:spacing w:before="120"/>
      </w:pPr>
      <w:r>
        <w:t>Gymnasium:</w:t>
      </w:r>
      <w:r>
        <w:tab/>
      </w:r>
      <w:r>
        <w:tab/>
        <w:t>10</w:t>
      </w:r>
    </w:p>
    <w:p w:rsidR="006E4BC2" w:rsidRPr="00FF421F" w:rsidRDefault="002C4514" w:rsidP="002C4514">
      <w:pPr>
        <w:pStyle w:val="LTAntwortRessortText"/>
        <w:spacing w:before="120"/>
      </w:pPr>
      <w:r w:rsidRPr="00FF421F">
        <w:t>Schule besonderer Art:</w:t>
      </w:r>
      <w:r w:rsidRPr="00FF421F">
        <w:tab/>
        <w:t xml:space="preserve">  </w:t>
      </w:r>
      <w:r w:rsidR="006E4BC2" w:rsidRPr="00FF421F">
        <w:t>1</w:t>
      </w:r>
    </w:p>
    <w:p w:rsidR="006E4BC2" w:rsidRDefault="002C4514" w:rsidP="002C4514">
      <w:pPr>
        <w:pStyle w:val="LTAntwortRessortText"/>
        <w:spacing w:before="120"/>
      </w:pPr>
      <w:r>
        <w:t>Gesamt:</w:t>
      </w:r>
      <w:r>
        <w:tab/>
      </w:r>
      <w:r>
        <w:tab/>
      </w:r>
      <w:r>
        <w:tab/>
      </w:r>
      <w:r w:rsidR="006E4BC2">
        <w:t>11</w:t>
      </w:r>
    </w:p>
    <w:p w:rsidR="006E4BC2" w:rsidRPr="002C4514" w:rsidRDefault="006E4BC2" w:rsidP="002C4514">
      <w:pPr>
        <w:pStyle w:val="LTAntwortRessortText"/>
        <w:spacing w:before="360"/>
        <w:rPr>
          <w:u w:val="single"/>
        </w:rPr>
      </w:pPr>
      <w:r w:rsidRPr="002C4514">
        <w:rPr>
          <w:u w:val="single"/>
        </w:rPr>
        <w:t>Profil:</w:t>
      </w:r>
    </w:p>
    <w:p w:rsidR="006E4BC2" w:rsidRDefault="006E4BC2" w:rsidP="002C4514">
      <w:pPr>
        <w:pStyle w:val="LTAntwortRessortText"/>
        <w:spacing w:before="120"/>
      </w:pPr>
      <w:r>
        <w:t>Französinnen und Franzosen zwischen 18 und 25 Jahren, die mindestens über gute Deutschkenntnisse verfügen.</w:t>
      </w:r>
    </w:p>
    <w:p w:rsidR="006E4BC2" w:rsidRPr="002C4514" w:rsidRDefault="006E4BC2" w:rsidP="002C4514">
      <w:pPr>
        <w:pStyle w:val="LTAntwortRessortText"/>
        <w:spacing w:before="360"/>
        <w:rPr>
          <w:u w:val="single"/>
        </w:rPr>
      </w:pPr>
      <w:r w:rsidRPr="002C4514">
        <w:rPr>
          <w:u w:val="single"/>
        </w:rPr>
        <w:t>Aufgaben:</w:t>
      </w:r>
    </w:p>
    <w:p w:rsidR="006E4BC2" w:rsidRDefault="006E4BC2" w:rsidP="002C4514">
      <w:pPr>
        <w:pStyle w:val="LTAntwortRessortText"/>
        <w:spacing w:before="120"/>
      </w:pPr>
      <w:r>
        <w:t>Französische Freiwillige wirken nach ihren Fähig</w:t>
      </w:r>
      <w:r w:rsidR="002C4514">
        <w:t>keiten und Interessen beispiels</w:t>
      </w:r>
      <w:r>
        <w:t xml:space="preserve">weise bei der Vorbereitung und Durchführung von Austauschmaßnahmen und Projekten mit, unterstützen die Hausaufgaben- und Ganztagesbetreuung sowie die Angebote der Schulbibliothek und bieten gemeinsam mit einer </w:t>
      </w:r>
      <w:r w:rsidR="002C4514">
        <w:t>Lehrkraft fran</w:t>
      </w:r>
      <w:r>
        <w:t>zös</w:t>
      </w:r>
      <w:r w:rsidR="002C4514">
        <w:t>ische Konversationskurse und Arbeitsgruppen</w:t>
      </w:r>
      <w:r>
        <w:t xml:space="preserve"> an.</w:t>
      </w:r>
    </w:p>
    <w:p w:rsidR="006E4BC2" w:rsidRPr="002C4514" w:rsidRDefault="006E4BC2" w:rsidP="002C4514">
      <w:pPr>
        <w:pStyle w:val="LTAntwortRessortText"/>
        <w:spacing w:before="360"/>
        <w:rPr>
          <w:u w:val="single"/>
        </w:rPr>
      </w:pPr>
      <w:r w:rsidRPr="002C4514">
        <w:rPr>
          <w:u w:val="single"/>
        </w:rPr>
        <w:t>Rechtliche Grundlage:</w:t>
      </w:r>
    </w:p>
    <w:p w:rsidR="006E4BC2" w:rsidRDefault="006E4BC2" w:rsidP="002C4514">
      <w:pPr>
        <w:pStyle w:val="LTAntwortRessortText"/>
        <w:spacing w:before="120"/>
      </w:pPr>
      <w:r>
        <w:t>Beauftragung des Deutsch-Französischen Jugendwerks durch die französische und deutsche Regierung mit der Durchführung</w:t>
      </w:r>
      <w:r w:rsidR="002C4514">
        <w:t xml:space="preserve"> des Deutsch-Französischen Frei</w:t>
      </w:r>
      <w:r>
        <w:t>willigendiensts auf der Grundlage des Gesetzes Loi du 10 mars 2010 relative au Service Civique</w:t>
      </w:r>
      <w:r w:rsidR="002C4514">
        <w:t>.</w:t>
      </w:r>
    </w:p>
    <w:p w:rsidR="006E4BC2" w:rsidRPr="002C4514" w:rsidRDefault="006E4BC2" w:rsidP="002C4514">
      <w:pPr>
        <w:pStyle w:val="LTAntwortRessortText"/>
        <w:spacing w:before="360"/>
        <w:rPr>
          <w:b/>
        </w:rPr>
      </w:pPr>
      <w:r w:rsidRPr="002C4514">
        <w:rPr>
          <w:b/>
        </w:rPr>
        <w:t>Drittkraft für Flüchtlingsförderung</w:t>
      </w:r>
      <w:r w:rsidR="002C4514">
        <w:rPr>
          <w:b/>
        </w:rPr>
        <w:t>:</w:t>
      </w:r>
    </w:p>
    <w:p w:rsidR="006E4BC2" w:rsidRPr="002C4514" w:rsidRDefault="006E4BC2" w:rsidP="006E4BC2">
      <w:pPr>
        <w:pStyle w:val="LTAntwortRessortText"/>
        <w:rPr>
          <w:u w:val="single"/>
        </w:rPr>
      </w:pPr>
      <w:r w:rsidRPr="002C4514">
        <w:rPr>
          <w:u w:val="single"/>
        </w:rPr>
        <w:t>Anzahl im Schuljahr 2017/2018:</w:t>
      </w:r>
    </w:p>
    <w:p w:rsidR="006E4BC2" w:rsidRPr="002C4514" w:rsidRDefault="006E4BC2" w:rsidP="002C4514">
      <w:pPr>
        <w:pStyle w:val="LTAntwortRessortText"/>
        <w:spacing w:before="120"/>
      </w:pPr>
      <w:r w:rsidRPr="002C4514">
        <w:t>Grund- und Mittelschule:</w:t>
      </w:r>
      <w:r w:rsidRPr="002C4514">
        <w:tab/>
      </w:r>
      <w:r w:rsidRPr="002C4514">
        <w:tab/>
        <w:t>873</w:t>
      </w:r>
    </w:p>
    <w:p w:rsidR="006E4BC2" w:rsidRPr="002C4514" w:rsidRDefault="006E4BC2" w:rsidP="002C4514">
      <w:pPr>
        <w:pStyle w:val="LTAntwortRessortText"/>
        <w:spacing w:before="120"/>
      </w:pPr>
      <w:r w:rsidRPr="002C4514">
        <w:t>Realschule:</w:t>
      </w:r>
      <w:r w:rsidRPr="002C4514">
        <w:tab/>
      </w:r>
      <w:r w:rsidRPr="002C4514">
        <w:tab/>
      </w:r>
      <w:r w:rsidRPr="002C4514">
        <w:tab/>
      </w:r>
      <w:r w:rsidRPr="002C4514">
        <w:tab/>
        <w:t xml:space="preserve">    2</w:t>
      </w:r>
    </w:p>
    <w:p w:rsidR="006E4BC2" w:rsidRPr="002C4514" w:rsidRDefault="002C4514" w:rsidP="002C4514">
      <w:pPr>
        <w:pStyle w:val="LTAntwortRessortText"/>
        <w:spacing w:before="120"/>
      </w:pPr>
      <w:r>
        <w:t>Gymnasium:</w:t>
      </w:r>
      <w:r>
        <w:tab/>
      </w:r>
      <w:r>
        <w:tab/>
      </w:r>
      <w:r>
        <w:tab/>
        <w:t xml:space="preserve">  </w:t>
      </w:r>
      <w:r w:rsidR="006E4BC2" w:rsidRPr="002C4514">
        <w:t>28</w:t>
      </w:r>
    </w:p>
    <w:p w:rsidR="006E4BC2" w:rsidRPr="002C4514" w:rsidRDefault="006E4BC2" w:rsidP="002C4514">
      <w:pPr>
        <w:pStyle w:val="LTAntwortRessortText"/>
        <w:spacing w:before="120"/>
      </w:pPr>
      <w:r w:rsidRPr="002C4514">
        <w:t>Fachoberschule/Berufsoberschule:</w:t>
      </w:r>
      <w:r w:rsidRPr="002C4514">
        <w:tab/>
        <w:t xml:space="preserve">  11</w:t>
      </w:r>
    </w:p>
    <w:p w:rsidR="006E4BC2" w:rsidRDefault="006E4BC2" w:rsidP="002C4514">
      <w:pPr>
        <w:pStyle w:val="LTAntwortRessortText"/>
        <w:spacing w:before="120"/>
      </w:pPr>
      <w:r>
        <w:t>Beruflich</w:t>
      </w:r>
      <w:r w:rsidR="002C4514">
        <w:t xml:space="preserve">e Schulen (ohne FOS/BOS): </w:t>
      </w:r>
      <w:r>
        <w:t>96</w:t>
      </w:r>
    </w:p>
    <w:p w:rsidR="006E4BC2" w:rsidRDefault="002C4514" w:rsidP="003B08A7">
      <w:pPr>
        <w:pStyle w:val="LTAntwortRessortText"/>
        <w:spacing w:before="120"/>
      </w:pPr>
      <w:r>
        <w:t>Förderschule:</w:t>
      </w:r>
      <w:r>
        <w:tab/>
      </w:r>
      <w:r>
        <w:tab/>
      </w:r>
      <w:r>
        <w:tab/>
      </w:r>
      <w:r w:rsidR="003B08A7">
        <w:t xml:space="preserve">  </w:t>
      </w:r>
      <w:r w:rsidR="006E4BC2">
        <w:t>46</w:t>
      </w:r>
    </w:p>
    <w:p w:rsidR="006E4BC2" w:rsidRDefault="003B08A7" w:rsidP="003B08A7">
      <w:pPr>
        <w:pStyle w:val="LTAntwortRessortText"/>
        <w:spacing w:before="120"/>
      </w:pPr>
      <w:r>
        <w:t>Gesamt:</w:t>
      </w:r>
      <w:r>
        <w:tab/>
      </w:r>
      <w:r>
        <w:tab/>
      </w:r>
      <w:r>
        <w:tab/>
        <w:t xml:space="preserve">          </w:t>
      </w:r>
      <w:r w:rsidR="006E4BC2">
        <w:t>1.056</w:t>
      </w:r>
    </w:p>
    <w:p w:rsidR="006E4BC2" w:rsidRDefault="006E4BC2" w:rsidP="006E4BC2">
      <w:pPr>
        <w:pStyle w:val="LTAntwortRessortText"/>
      </w:pPr>
      <w:r>
        <w:t xml:space="preserve">Vorab wird darauf hingewiesen, dass in der Beschäftigtengruppe </w:t>
      </w:r>
      <w:r w:rsidR="004A62EF">
        <w:t>„</w:t>
      </w:r>
      <w:r>
        <w:t>Drittkraft für Flüchtlingsförderung</w:t>
      </w:r>
      <w:r w:rsidR="004A62EF">
        <w:t>“</w:t>
      </w:r>
      <w:r>
        <w:t xml:space="preserve"> eine hohe Diversität hinsic</w:t>
      </w:r>
      <w:r w:rsidR="003B08A7">
        <w:t>htlich der Ausbildung des Perso</w:t>
      </w:r>
      <w:r>
        <w:t>nals als auch seiner Tätigkeit abgebildet wird.</w:t>
      </w:r>
    </w:p>
    <w:p w:rsidR="006E4BC2" w:rsidRPr="003B08A7" w:rsidRDefault="006E4BC2" w:rsidP="003B08A7">
      <w:pPr>
        <w:pStyle w:val="LTAntwortRessortText"/>
        <w:spacing w:before="360"/>
        <w:rPr>
          <w:u w:val="single"/>
        </w:rPr>
      </w:pPr>
      <w:r w:rsidRPr="003B08A7">
        <w:rPr>
          <w:u w:val="single"/>
        </w:rPr>
        <w:t>Profil:</w:t>
      </w:r>
    </w:p>
    <w:p w:rsidR="006E4BC2" w:rsidRDefault="003B08A7" w:rsidP="003B08A7">
      <w:pPr>
        <w:pStyle w:val="LTAntwortRessortText"/>
        <w:spacing w:before="120"/>
      </w:pPr>
      <w:r>
        <w:t>Personal:</w:t>
      </w:r>
    </w:p>
    <w:p w:rsidR="006E4BC2" w:rsidRDefault="003B08A7" w:rsidP="003B08A7">
      <w:pPr>
        <w:pStyle w:val="LTAntwortRessortText"/>
        <w:numPr>
          <w:ilvl w:val="2"/>
          <w:numId w:val="32"/>
        </w:numPr>
        <w:spacing w:before="120"/>
        <w:ind w:left="850" w:hanging="425"/>
      </w:pPr>
      <w:r>
        <w:t xml:space="preserve">für Sprachförderung: </w:t>
      </w:r>
      <w:r w:rsidR="006E4BC2">
        <w:t xml:space="preserve">Personen mit akademischer Ausbildung (insbesondere </w:t>
      </w:r>
      <w:r>
        <w:t>Deutsch als Zweitsprache – DaZ bzw. Deutsch als Fremdsprache –</w:t>
      </w:r>
      <w:r w:rsidR="00FF421F">
        <w:t xml:space="preserve"> </w:t>
      </w:r>
      <w:r w:rsidR="006E4BC2">
        <w:t>DaF) bzw. pensionierte Lehrkräfte, abe</w:t>
      </w:r>
      <w:r>
        <w:t>r auch anderes geeignetes Perso</w:t>
      </w:r>
      <w:r w:rsidR="00FF421F">
        <w:t>nal</w:t>
      </w:r>
      <w:r>
        <w:t>.</w:t>
      </w:r>
    </w:p>
    <w:p w:rsidR="006E4BC2" w:rsidRDefault="006E4BC2" w:rsidP="003B08A7">
      <w:pPr>
        <w:pStyle w:val="LTAntwortRessortText"/>
        <w:numPr>
          <w:ilvl w:val="2"/>
          <w:numId w:val="32"/>
        </w:numPr>
        <w:spacing w:before="120"/>
        <w:ind w:left="850" w:hanging="425"/>
      </w:pPr>
      <w:r>
        <w:t>für interkulturelle (o.</w:t>
      </w:r>
      <w:r w:rsidR="003B08A7">
        <w:t xml:space="preserve"> </w:t>
      </w:r>
      <w:r>
        <w:t>ä.) Projekte: u.</w:t>
      </w:r>
      <w:r w:rsidR="003B08A7">
        <w:t> </w:t>
      </w:r>
      <w:r>
        <w:t>a. Künstler</w:t>
      </w:r>
      <w:r w:rsidR="00FF421F">
        <w:t>innen und Künstler</w:t>
      </w:r>
      <w:r>
        <w:t>, Musiker</w:t>
      </w:r>
      <w:r w:rsidR="00FF421F">
        <w:t>innen und Musiker</w:t>
      </w:r>
      <w:r>
        <w:t>, Sozial</w:t>
      </w:r>
      <w:r w:rsidR="003B08A7">
        <w:t>pädagoginnen und -pädagogen</w:t>
      </w:r>
      <w:r>
        <w:t>, Dolmetscher</w:t>
      </w:r>
      <w:r w:rsidR="003B08A7">
        <w:t>innen und Dolmetscher</w:t>
      </w:r>
      <w:r>
        <w:t>, pensionierte Lehrkräfte, Studierende, Erzieherinnen</w:t>
      </w:r>
      <w:r w:rsidR="003B08A7">
        <w:t xml:space="preserve"> und Erzieher</w:t>
      </w:r>
      <w:r>
        <w:t>, Trainer mit Trainerlizenz, Musiklehrkräfte der Musikschu</w:t>
      </w:r>
      <w:r w:rsidR="003B08A7">
        <w:t>len, Theaterpädagoginnen und -pädagogen, Absolventinnen und Absolventen</w:t>
      </w:r>
      <w:r>
        <w:t xml:space="preserve"> der Studiengänge </w:t>
      </w:r>
      <w:r w:rsidR="004A62EF">
        <w:t>„</w:t>
      </w:r>
      <w:r>
        <w:t>Soziale Arbeit</w:t>
      </w:r>
      <w:r w:rsidR="004A62EF">
        <w:t>“</w:t>
      </w:r>
      <w:r>
        <w:t xml:space="preserve"> und ve</w:t>
      </w:r>
      <w:r w:rsidR="003B08A7">
        <w:t>rwandter Studiengänge, Familien</w:t>
      </w:r>
      <w:r>
        <w:t>pfleger</w:t>
      </w:r>
      <w:r w:rsidR="003B08A7">
        <w:t>innen und -pfleger</w:t>
      </w:r>
      <w:r>
        <w:t>, Religi</w:t>
      </w:r>
      <w:r w:rsidR="003B08A7">
        <w:t>onspädagoginnen und -pädagogen, Jugendsozialarbeiterinnen und -arbeiter.</w:t>
      </w:r>
    </w:p>
    <w:p w:rsidR="006E4BC2" w:rsidRDefault="006E4BC2" w:rsidP="003B08A7">
      <w:pPr>
        <w:pStyle w:val="LTAntwortRessortText"/>
        <w:numPr>
          <w:ilvl w:val="2"/>
          <w:numId w:val="32"/>
        </w:numPr>
        <w:spacing w:before="120"/>
        <w:ind w:left="850" w:hanging="425"/>
      </w:pPr>
      <w:r>
        <w:t>Sofern keine Drittkraft mit angemessener Qual</w:t>
      </w:r>
      <w:r w:rsidR="003B08A7">
        <w:t>ifikation in der jeweiligen Bil</w:t>
      </w:r>
      <w:r>
        <w:t>dungsregion verfügbar ist, kann im Ausnahmefall die Anstellung einer Drittkraft ohne entsprechende Ausbildung erfolgen, wenn die antragstellende Schulleitung und die Schulaufsicht dies übereinstimmend befürworten.</w:t>
      </w:r>
    </w:p>
    <w:p w:rsidR="006E4BC2" w:rsidRPr="003B08A7" w:rsidRDefault="006E4BC2" w:rsidP="003B08A7">
      <w:pPr>
        <w:pStyle w:val="LTAntwortRessortText"/>
        <w:spacing w:before="360"/>
        <w:rPr>
          <w:u w:val="single"/>
        </w:rPr>
      </w:pPr>
      <w:r w:rsidRPr="003B08A7">
        <w:rPr>
          <w:u w:val="single"/>
        </w:rPr>
        <w:t>Aufgaben:</w:t>
      </w:r>
    </w:p>
    <w:p w:rsidR="006E4BC2" w:rsidRDefault="006E4BC2" w:rsidP="00912A01">
      <w:pPr>
        <w:pStyle w:val="LTAntwortRessortText"/>
        <w:numPr>
          <w:ilvl w:val="2"/>
          <w:numId w:val="32"/>
        </w:numPr>
        <w:spacing w:before="120"/>
        <w:ind w:left="850" w:hanging="425"/>
      </w:pPr>
      <w:r>
        <w:t>Sprach- und Alphabetisierungskurse, auch fachsprachlich orientiert</w:t>
      </w:r>
      <w:r w:rsidR="00912A01">
        <w:t>,</w:t>
      </w:r>
    </w:p>
    <w:p w:rsidR="006E4BC2" w:rsidRDefault="006E4BC2" w:rsidP="00912A01">
      <w:pPr>
        <w:pStyle w:val="LTAntwortRessortText"/>
        <w:numPr>
          <w:ilvl w:val="2"/>
          <w:numId w:val="32"/>
        </w:numPr>
        <w:spacing w:before="120"/>
        <w:ind w:left="850" w:hanging="425"/>
      </w:pPr>
      <w:r>
        <w:t>Unterstützung bei der Nachbereitung von Unte</w:t>
      </w:r>
      <w:r w:rsidR="00912A01">
        <w:t>rricht (wesentlich sprachbilden</w:t>
      </w:r>
      <w:r>
        <w:t>der Aspekt)</w:t>
      </w:r>
      <w:r w:rsidR="00912A01">
        <w:t>,</w:t>
      </w:r>
    </w:p>
    <w:p w:rsidR="006E4BC2" w:rsidRDefault="006E4BC2" w:rsidP="00912A01">
      <w:pPr>
        <w:pStyle w:val="LTAntwortRessortText"/>
        <w:numPr>
          <w:ilvl w:val="2"/>
          <w:numId w:val="32"/>
        </w:numPr>
        <w:spacing w:before="120"/>
        <w:ind w:left="850" w:hanging="425"/>
      </w:pPr>
      <w:r>
        <w:t>Sprachförderung Englisch für besonders leis</w:t>
      </w:r>
      <w:r w:rsidR="00912A01">
        <w:t>tungsstarke Jugendliche in Über</w:t>
      </w:r>
      <w:r>
        <w:t>gangsklassen</w:t>
      </w:r>
      <w:r w:rsidR="00912A01">
        <w:t>,</w:t>
      </w:r>
    </w:p>
    <w:p w:rsidR="006E4BC2" w:rsidRDefault="00912A01" w:rsidP="00912A01">
      <w:pPr>
        <w:pStyle w:val="LTAntwortRessortText"/>
        <w:numPr>
          <w:ilvl w:val="2"/>
          <w:numId w:val="32"/>
        </w:numPr>
        <w:spacing w:before="120"/>
        <w:ind w:left="850" w:hanging="425"/>
      </w:pPr>
      <w:r>
        <w:t>i</w:t>
      </w:r>
      <w:r w:rsidR="006E4BC2">
        <w:t>nterkulturelle Projekte zur Förderung der Integration durch Wertevermittlung und Stärkung der Sozialkompetenz (u</w:t>
      </w:r>
      <w:r>
        <w:t>. </w:t>
      </w:r>
      <w:r w:rsidR="006E4BC2">
        <w:t>a. mit den Medien Musik, Kunst, Sport)</w:t>
      </w:r>
      <w:r>
        <w:t>,</w:t>
      </w:r>
    </w:p>
    <w:p w:rsidR="006E4BC2" w:rsidRDefault="006E4BC2" w:rsidP="00912A01">
      <w:pPr>
        <w:pStyle w:val="LTAntwortRessortText"/>
        <w:numPr>
          <w:ilvl w:val="2"/>
          <w:numId w:val="32"/>
        </w:numPr>
        <w:spacing w:before="120"/>
        <w:ind w:left="850" w:hanging="425"/>
      </w:pPr>
      <w:r>
        <w:t>Unterstützung im Bereich Berufsorientierung</w:t>
      </w:r>
      <w:r w:rsidR="00912A01">
        <w:t>,</w:t>
      </w:r>
    </w:p>
    <w:p w:rsidR="006E4BC2" w:rsidRDefault="006E4BC2" w:rsidP="00912A01">
      <w:pPr>
        <w:pStyle w:val="LTAntwortRessortText"/>
        <w:numPr>
          <w:ilvl w:val="2"/>
          <w:numId w:val="32"/>
        </w:numPr>
        <w:spacing w:before="120"/>
        <w:ind w:left="850" w:hanging="425"/>
      </w:pPr>
      <w:r>
        <w:t>Radikalisierungsprävention</w:t>
      </w:r>
      <w:r w:rsidR="00912A01">
        <w:t>,</w:t>
      </w:r>
    </w:p>
    <w:p w:rsidR="006E4BC2" w:rsidRDefault="006E4BC2" w:rsidP="00912A01">
      <w:pPr>
        <w:pStyle w:val="LTAntwortRessortText"/>
        <w:numPr>
          <w:ilvl w:val="2"/>
          <w:numId w:val="32"/>
        </w:numPr>
        <w:spacing w:before="120"/>
        <w:ind w:left="850" w:hanging="425"/>
      </w:pPr>
      <w:r>
        <w:t>Begleitung von Elterngesprächen und Lernentwicklungsgespräch</w:t>
      </w:r>
      <w:r w:rsidR="00912A01">
        <w:t>en durch Fremdsprachenbegleiter.</w:t>
      </w:r>
    </w:p>
    <w:p w:rsidR="006E4BC2" w:rsidRPr="00912A01" w:rsidRDefault="006E4BC2" w:rsidP="00912A01">
      <w:pPr>
        <w:pStyle w:val="LTAntwortRessortText"/>
        <w:spacing w:before="360"/>
        <w:rPr>
          <w:u w:val="single"/>
        </w:rPr>
      </w:pPr>
      <w:r w:rsidRPr="00912A01">
        <w:rPr>
          <w:u w:val="single"/>
        </w:rPr>
        <w:t>Rechtliche Grundlage</w:t>
      </w:r>
      <w:r w:rsidR="00912A01">
        <w:rPr>
          <w:u w:val="single"/>
        </w:rPr>
        <w:t>:</w:t>
      </w:r>
    </w:p>
    <w:p w:rsidR="006E4BC2" w:rsidRDefault="006E4BC2" w:rsidP="00912A01">
      <w:pPr>
        <w:pStyle w:val="LTAntwortRessortText"/>
        <w:spacing w:before="120"/>
      </w:pPr>
      <w:r>
        <w:t>Haushaltsgesetz (Mittelveranschlagung für Drittkräfte)</w:t>
      </w:r>
      <w:r w:rsidR="00C1124A">
        <w:t>.</w:t>
      </w:r>
    </w:p>
    <w:p w:rsidR="006E4BC2" w:rsidRPr="00C1124A" w:rsidRDefault="006E4BC2" w:rsidP="00276106">
      <w:pPr>
        <w:pStyle w:val="LTAntwortRessortText"/>
        <w:spacing w:before="600"/>
        <w:rPr>
          <w:b/>
        </w:rPr>
      </w:pPr>
      <w:r w:rsidRPr="00C1124A">
        <w:rPr>
          <w:b/>
        </w:rPr>
        <w:t>Heilpädagogische Förderlehrer, heilpädag</w:t>
      </w:r>
      <w:r w:rsidR="00C1124A">
        <w:rPr>
          <w:b/>
        </w:rPr>
        <w:t>ogische Unterrichtshilfen, Werk</w:t>
      </w:r>
      <w:r w:rsidRPr="00C1124A">
        <w:rPr>
          <w:b/>
        </w:rPr>
        <w:t>meister</w:t>
      </w:r>
    </w:p>
    <w:p w:rsidR="006E4BC2" w:rsidRPr="00C1124A" w:rsidRDefault="006E4BC2" w:rsidP="006E4BC2">
      <w:pPr>
        <w:pStyle w:val="LTAntwortRessortText"/>
        <w:rPr>
          <w:u w:val="single"/>
        </w:rPr>
      </w:pPr>
      <w:r w:rsidRPr="00C1124A">
        <w:rPr>
          <w:u w:val="single"/>
        </w:rPr>
        <w:t>Anzahl im Schuljahr 2017/2018:</w:t>
      </w:r>
    </w:p>
    <w:p w:rsidR="006E4BC2" w:rsidRDefault="006E4BC2" w:rsidP="00C1124A">
      <w:pPr>
        <w:pStyle w:val="LTAntwortRessortText"/>
        <w:spacing w:before="120"/>
      </w:pPr>
      <w:r>
        <w:t>Förderschule:</w:t>
      </w:r>
      <w:r>
        <w:tab/>
      </w:r>
      <w:r>
        <w:tab/>
        <w:t>876</w:t>
      </w:r>
    </w:p>
    <w:p w:rsidR="006E4BC2" w:rsidRDefault="006E4BC2" w:rsidP="006E4BC2">
      <w:pPr>
        <w:pStyle w:val="LTAntwortRessortText"/>
      </w:pPr>
      <w:r>
        <w:t xml:space="preserve">Es wird darauf hingewiesen, dass im Förderschulbereich ca. 50 </w:t>
      </w:r>
      <w:r w:rsidR="004A62EF">
        <w:t>Prozent</w:t>
      </w:r>
      <w:r>
        <w:t xml:space="preserve"> der Schulen nicht in staatlicher Tr</w:t>
      </w:r>
      <w:r w:rsidR="00C1124A">
        <w:t>ägerschaft stehen. Die Angaben bzw.</w:t>
      </w:r>
      <w:r>
        <w:t xml:space="preserve"> dargestellte</w:t>
      </w:r>
      <w:r w:rsidR="00C1124A">
        <w:t>n Zahlen be</w:t>
      </w:r>
      <w:r>
        <w:t>ziehen sich daher nur auf das unmittelbar beim Staat beschäftigte Personal. Das übrige Personal wird von den nichtstaatlichen Schulträgern beschäf</w:t>
      </w:r>
      <w:r w:rsidR="00C1124A">
        <w:t>tigt und nach Maßgabe des Bayerischen</w:t>
      </w:r>
      <w:r>
        <w:t xml:space="preserve"> Schulfinanzierungsgesetzes </w:t>
      </w:r>
      <w:r w:rsidR="00FF421F">
        <w:t xml:space="preserve">(BaySchFG) </w:t>
      </w:r>
      <w:r>
        <w:t xml:space="preserve">ggf. entsprechend refinanziert. </w:t>
      </w:r>
    </w:p>
    <w:p w:rsidR="006E4BC2" w:rsidRPr="00C1124A" w:rsidRDefault="006E4BC2" w:rsidP="00C1124A">
      <w:pPr>
        <w:pStyle w:val="LTAntwortRessortText"/>
        <w:spacing w:before="360"/>
        <w:rPr>
          <w:u w:val="single"/>
        </w:rPr>
      </w:pPr>
      <w:r w:rsidRPr="00C1124A">
        <w:rPr>
          <w:u w:val="single"/>
        </w:rPr>
        <w:t>Profil:</w:t>
      </w:r>
    </w:p>
    <w:p w:rsidR="006E4BC2" w:rsidRDefault="006E4BC2" w:rsidP="00C1124A">
      <w:pPr>
        <w:pStyle w:val="LTAntwortRessortText"/>
        <w:spacing w:before="120"/>
      </w:pPr>
      <w:r>
        <w:t xml:space="preserve">Personen mit abgeschlossener Ausbildung </w:t>
      </w:r>
      <w:r w:rsidR="00FF421F">
        <w:t>zur s</w:t>
      </w:r>
      <w:r w:rsidR="00C1124A">
        <w:t xml:space="preserve">taatlich anerkannten Heilpädagogin bzw. </w:t>
      </w:r>
      <w:r>
        <w:t>zum</w:t>
      </w:r>
      <w:r w:rsidR="00FF421F">
        <w:t xml:space="preserve"> s</w:t>
      </w:r>
      <w:r w:rsidR="00C1124A">
        <w:t>taatlich anerkannten Heilpäda</w:t>
      </w:r>
      <w:r>
        <w:t>gogen an der Fachakademie für Heilpädagogik oder mit einschlägiger Vorbildung und abgeschlossener berufsbegleitender sonderpädagogischer Zusatzausbildung (Heilpädagogische Förderlehrer</w:t>
      </w:r>
      <w:r w:rsidR="00C1124A">
        <w:t>in bzw. -lehrer</w:t>
      </w:r>
      <w:r>
        <w:t>).</w:t>
      </w:r>
    </w:p>
    <w:p w:rsidR="006E4BC2" w:rsidRDefault="006E4BC2" w:rsidP="006E4BC2">
      <w:pPr>
        <w:pStyle w:val="LTAntwortRessortText"/>
      </w:pPr>
      <w:r>
        <w:t>Heilpädagogische Unterrichtshilfe umfasst Per</w:t>
      </w:r>
      <w:r w:rsidR="00C1124A">
        <w:t>sonen verschiedener Ausbildungs</w:t>
      </w:r>
      <w:r>
        <w:t xml:space="preserve">gänge, Berufsbezeichnungen und Tätigkeiten. Als Personal für heilpädagogische Unterrichtshilfe kommen </w:t>
      </w:r>
      <w:r w:rsidR="00C1124A">
        <w:t>vor allem</w:t>
      </w:r>
      <w:r>
        <w:t xml:space="preserve"> staatlich anerkannte Erzieher</w:t>
      </w:r>
      <w:r w:rsidR="00C1124A">
        <w:t xml:space="preserve">innen bzw. Erzieher, Krankengymnastinnen und Krankengymnasten sowie </w:t>
      </w:r>
      <w:r>
        <w:t>Physiotherap</w:t>
      </w:r>
      <w:r w:rsidR="00C1124A">
        <w:t>eutinnen und. -therapeuten</w:t>
      </w:r>
      <w:r>
        <w:t>, Beschä</w:t>
      </w:r>
      <w:r w:rsidR="00C1124A">
        <w:t xml:space="preserve">ftigungs- und Arbeitstherapeutinnen und </w:t>
      </w:r>
      <w:r w:rsidR="00C1124A">
        <w:br/>
        <w:t>-thera</w:t>
      </w:r>
      <w:r w:rsidR="007C0176">
        <w:softHyphen/>
      </w:r>
      <w:r w:rsidR="00C1124A">
        <w:t>peuten, Ergotherapeutinnen und -therapeuten, Logopädinnen und Logopäden, Motopädinnen und Motopäden, Orthoptistinnen und Orthoptisten</w:t>
      </w:r>
      <w:r>
        <w:t xml:space="preserve"> </w:t>
      </w:r>
      <w:r w:rsidR="00C1124A">
        <w:t>sowie Heilerziehungspflegerinnen und -pfleger ohne sonderpä</w:t>
      </w:r>
      <w:r>
        <w:t>dagogische Zusatzausbildung in Betracht.</w:t>
      </w:r>
    </w:p>
    <w:p w:rsidR="006E4BC2" w:rsidRPr="00DB697A" w:rsidRDefault="006E4BC2" w:rsidP="00DB697A">
      <w:pPr>
        <w:pStyle w:val="LTAntwortRessortText"/>
        <w:spacing w:before="360"/>
        <w:rPr>
          <w:u w:val="single"/>
        </w:rPr>
      </w:pPr>
      <w:r w:rsidRPr="00DB697A">
        <w:rPr>
          <w:u w:val="single"/>
        </w:rPr>
        <w:t>Aufgaben:</w:t>
      </w:r>
    </w:p>
    <w:p w:rsidR="006E4BC2" w:rsidRDefault="00DB697A" w:rsidP="00DB697A">
      <w:pPr>
        <w:pStyle w:val="LTAntwortRessortText"/>
        <w:spacing w:before="120"/>
      </w:pPr>
      <w:r>
        <w:t>Heilpädagogische Förderlehrkräfte</w:t>
      </w:r>
      <w:r w:rsidR="006E4BC2">
        <w:t>, Werkmeister und sonstiges Personal für heilpäda</w:t>
      </w:r>
      <w:r>
        <w:t>g</w:t>
      </w:r>
      <w:r w:rsidR="006E4BC2">
        <w:t>ogische Unterrichtshilfe an Förderschulen unte</w:t>
      </w:r>
      <w:r>
        <w:t>rstützen die Erziehungs- und Un</w:t>
      </w:r>
      <w:r w:rsidR="006E4BC2">
        <w:t xml:space="preserve">terrichtstätigkeit der Lehrkraft an Schulen mit dem Profil </w:t>
      </w:r>
      <w:r w:rsidR="004A62EF">
        <w:t>„</w:t>
      </w:r>
      <w:r w:rsidR="006E4BC2">
        <w:t>Inklusion</w:t>
      </w:r>
      <w:r w:rsidR="004A62EF">
        <w:t>“</w:t>
      </w:r>
      <w:r>
        <w:t xml:space="preserve"> und an För</w:t>
      </w:r>
      <w:r w:rsidR="006E4BC2">
        <w:t>derschulen; im Rahmen eines mit den Lehrkrä</w:t>
      </w:r>
      <w:r>
        <w:t>ften für Sonderpädagogik gemein</w:t>
      </w:r>
      <w:r w:rsidR="006E4BC2">
        <w:t>sam erstellten Gesamtplans wirken sie bei Erziehung, Unterrichtung und Beratung von Kindern und Jugendlichen mit sonderpädagogischem Förderbedarf mit. Heil</w:t>
      </w:r>
      <w:r>
        <w:t>pädagogische Förderlehrkräfte</w:t>
      </w:r>
      <w:r w:rsidR="006E4BC2">
        <w:t xml:space="preserve"> und das sonstige Pers</w:t>
      </w:r>
      <w:r>
        <w:t>onal für heilpädagogische Unter</w:t>
      </w:r>
      <w:r w:rsidR="006E4BC2">
        <w:t>richtshilfe leiten die Gruppen der Schulvorbere</w:t>
      </w:r>
      <w:r>
        <w:t>itenden Einrichtungen im Einver</w:t>
      </w:r>
      <w:r w:rsidR="006E4BC2">
        <w:t>nehmen mit der Lehrkraft für Sonderpädagogik und erfüllen in Absprache mit der Lehrkraft für Sonderpädagogik Aufgaben der sonderpädagogischen Förderung und Beratung im Rahmen der Mobilen Sonderpädagogischen Dienste und Hilfen.</w:t>
      </w:r>
    </w:p>
    <w:p w:rsidR="006E4BC2" w:rsidRPr="00DB697A" w:rsidRDefault="006E4BC2" w:rsidP="00DB697A">
      <w:pPr>
        <w:pStyle w:val="LTAntwortRessortText"/>
        <w:spacing w:before="360"/>
        <w:rPr>
          <w:u w:val="single"/>
        </w:rPr>
      </w:pPr>
      <w:r w:rsidRPr="00DB697A">
        <w:rPr>
          <w:u w:val="single"/>
        </w:rPr>
        <w:t>Rechtliche Grundlage</w:t>
      </w:r>
      <w:r w:rsidR="00DB697A">
        <w:rPr>
          <w:u w:val="single"/>
        </w:rPr>
        <w:t>:</w:t>
      </w:r>
    </w:p>
    <w:p w:rsidR="006E4BC2" w:rsidRDefault="001008E7" w:rsidP="001008E7">
      <w:pPr>
        <w:pStyle w:val="LTAntwortRessortText"/>
        <w:spacing w:before="120"/>
      </w:pPr>
      <w:r>
        <w:t>A</w:t>
      </w:r>
      <w:r w:rsidR="006E4BC2">
        <w:t>rt. 60 Abs. 2</w:t>
      </w:r>
      <w:r w:rsidRPr="001008E7">
        <w:t xml:space="preserve"> </w:t>
      </w:r>
      <w:r>
        <w:rPr>
          <w:rStyle w:val="st"/>
        </w:rPr>
        <w:t>Bayerische Gesetz über das Erziehungs- und Unterrichtswesen</w:t>
      </w:r>
      <w:r w:rsidR="006E4BC2">
        <w:t xml:space="preserve"> </w:t>
      </w:r>
      <w:r>
        <w:t>(</w:t>
      </w:r>
      <w:r w:rsidR="006E4BC2">
        <w:t>BayEUG</w:t>
      </w:r>
      <w:r>
        <w:t>)</w:t>
      </w:r>
      <w:r w:rsidR="006E4BC2">
        <w:t>, Art. 33 BaySchFG</w:t>
      </w:r>
      <w:r w:rsidR="00FF421F">
        <w:t>.</w:t>
      </w:r>
    </w:p>
    <w:p w:rsidR="006E4BC2" w:rsidRDefault="006E4BC2" w:rsidP="001008E7">
      <w:pPr>
        <w:pStyle w:val="LTAntwortRessortText"/>
        <w:spacing w:before="120"/>
      </w:pPr>
      <w:r>
        <w:t>Für eine umfassendere Abbildung der aktuellen Sit</w:t>
      </w:r>
      <w:r w:rsidR="001008E7">
        <w:t>uation bezüglich des an staatli</w:t>
      </w:r>
      <w:r>
        <w:t>chen Schulen eingesetzten sonstigen pädagogi</w:t>
      </w:r>
      <w:r w:rsidR="001008E7">
        <w:t>schen Personals wäre eine Umfra</w:t>
      </w:r>
      <w:r>
        <w:t>ge bei den Regierungen unumgänglich. Dies ist in der für die Beantwortung einer Anfrage zum Plenum nach der Geschäftsordn</w:t>
      </w:r>
      <w:r w:rsidR="001008E7">
        <w:t>ung des Landtags ge</w:t>
      </w:r>
      <w:r>
        <w:t>setzten Frist nicht möglich.</w:t>
      </w:r>
    </w:p>
    <w:p w:rsidR="00276106" w:rsidRDefault="00276106" w:rsidP="001008E7">
      <w:pPr>
        <w:pStyle w:val="LTAntwortRessortText"/>
        <w:spacing w:before="12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Ulrike</w:t>
            </w:r>
            <w:r w:rsidRPr="006E4BC2">
              <w:rPr>
                <w:b/>
              </w:rPr>
              <w:br/>
              <w:t>Gote</w:t>
            </w:r>
            <w:r w:rsidRPr="006E4BC2">
              <w:rPr>
                <w:b/>
              </w:rPr>
              <w:br/>
            </w:r>
            <w:r w:rsidRPr="006E4BC2">
              <w:t>(BÜNDNIS 90/DIE GRÜNEN)</w:t>
            </w:r>
            <w:r>
              <w:fldChar w:fldCharType="begin"/>
            </w:r>
            <w:r>
              <w:instrText xml:space="preserve"> TC </w:instrText>
            </w:r>
            <w:r w:rsidR="004A62EF">
              <w:instrText>„</w:instrText>
            </w:r>
            <w:bookmarkStart w:id="28" w:name="_Toc511290247"/>
            <w:r>
              <w:instrText>Gote, Ulrike (BÜNDNIS 90/DIE GRÜNEN)</w:instrText>
            </w:r>
            <w:r>
              <w:br/>
              <w:instrText>Abschaffung des Modellversuchs \</w:instrText>
            </w:r>
            <w:r w:rsidR="004A62EF">
              <w:instrText>“</w:instrText>
            </w:r>
            <w:r>
              <w:instrText>Islamischer Religionsunterricht\</w:instrText>
            </w:r>
            <w:bookmarkEnd w:id="28"/>
            <w:r w:rsidR="004A62EF">
              <w:instrText>“</w:instrText>
            </w:r>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 xml:space="preserve">Ich frage die Staatsregierung, wird mit Auslaufen des Modellversuchs zum islamischen Religionsunterricht das bisher bestehende Unterrichtsangebot in diesem Bereich abgeschafft, wurden das Vorgehen und die Fortführung des Angebots für muslimische Schülerinnen und Schüler nach Auslaufen des Modellversuchs mit der Friedrich-Alexander-Universität Erlangen-Nürnberg und der Universität Augsburg sowie dem Bayerischen Lehrer- und Lehrerinnenverband (BLLV) besprochen und wie soll die Vermittlung der Inhalte des Islamunterrichts künftig in einen </w:t>
            </w:r>
            <w:r w:rsidR="004A62EF">
              <w:t>„</w:t>
            </w:r>
            <w:r>
              <w:t>verstärkten Ethikunterricht</w:t>
            </w:r>
            <w:r w:rsidR="004A62EF">
              <w:t>“</w:t>
            </w:r>
            <w:r>
              <w:t xml:space="preserve"> (Zitat des Staatsministers für Unterricht und Kultus, Bernd Sibler) integriert werden?</w:t>
            </w:r>
          </w:p>
          <w:p w:rsidR="006E4BC2" w:rsidRDefault="006E4BC2" w:rsidP="006E4BC2">
            <w:pPr>
              <w:pStyle w:val="LTAnfrageText"/>
            </w:pPr>
          </w:p>
        </w:tc>
      </w:tr>
    </w:tbl>
    <w:p w:rsidR="00276106" w:rsidRDefault="00276106" w:rsidP="006E4BC2">
      <w:pPr>
        <w:pStyle w:val="LTUeberschrAntwortRessort"/>
      </w:pPr>
    </w:p>
    <w:p w:rsidR="006E4BC2" w:rsidRDefault="006E4BC2" w:rsidP="006E4BC2">
      <w:pPr>
        <w:pStyle w:val="LTUeberschrAntwortRessort"/>
      </w:pPr>
      <w:r>
        <w:t>Antwort des Staatsministeriums für Unterricht und Kultus</w:t>
      </w:r>
    </w:p>
    <w:p w:rsidR="006E4BC2" w:rsidRDefault="006E4BC2" w:rsidP="006E4BC2">
      <w:pPr>
        <w:pStyle w:val="LTAntwortRessortText"/>
      </w:pPr>
      <w:r>
        <w:t>Gemäß Ministerratsbeschluss vom 20.05.2014 wird</w:t>
      </w:r>
      <w:r w:rsidR="00F72600">
        <w:t xml:space="preserve"> die zweite Phase des Modellver</w:t>
      </w:r>
      <w:r>
        <w:t xml:space="preserve">suchs </w:t>
      </w:r>
      <w:r w:rsidR="004A62EF">
        <w:t>„</w:t>
      </w:r>
      <w:r>
        <w:t>Islamischer Unterricht</w:t>
      </w:r>
      <w:r w:rsidR="004A62EF">
        <w:t>“</w:t>
      </w:r>
      <w:r>
        <w:t xml:space="preserve"> erst zum Ende des Schuljahres 2018/2019 auslaufen. Zum Ende des Modellversuchs stehen eine Bewertung und die Entscheidung über die Art der Fortführung an, auch im Verhältnis zum Ethikunterricht. Eine Abstimmung des weiteren Vorgehens z.</w:t>
      </w:r>
      <w:r w:rsidR="00B53363">
        <w:t> </w:t>
      </w:r>
      <w:r>
        <w:t>B. mit den genannten Universitäten ist daher nicht aktuell veranlasst.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Martin</w:t>
            </w:r>
            <w:r w:rsidRPr="006E4BC2">
              <w:rPr>
                <w:b/>
              </w:rPr>
              <w:br/>
              <w:t>Güll</w:t>
            </w:r>
            <w:r w:rsidRPr="006E4BC2">
              <w:rPr>
                <w:b/>
              </w:rPr>
              <w:br/>
            </w:r>
            <w:r w:rsidRPr="006E4BC2">
              <w:t>(SPD)</w:t>
            </w:r>
            <w:r>
              <w:fldChar w:fldCharType="begin"/>
            </w:r>
            <w:r>
              <w:instrText xml:space="preserve"> TC </w:instrText>
            </w:r>
            <w:r w:rsidR="004A62EF">
              <w:instrText>„</w:instrText>
            </w:r>
            <w:bookmarkStart w:id="29" w:name="_Toc511290248"/>
            <w:r>
              <w:instrText>Güll, Martin (SPD)</w:instrText>
            </w:r>
            <w:r>
              <w:br/>
              <w:instrText>Unterstützung der Lehrkräfte bei der Inklusion</w:instrText>
            </w:r>
            <w:bookmarkEnd w:id="29"/>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an wie vielen Schulen in Bayern wird das Lehrerkollegium durch andere pädagogische Professionen (multiprofessionelle Teams) in der Arbeit mit Kindern mit sonderpädagogischem Förderbedarf unterstützt, wie viele Lehrkräfte (umgerechnet in Vollzeitstellen) sind im Mobilen Sonderpädagogischen Dienst tätig und wie viele von diesen Lehrkräften sind keine ausgebildeten Sonderschulpädagogen?</w:t>
            </w:r>
          </w:p>
          <w:p w:rsidR="006E4BC2" w:rsidRDefault="006E4BC2" w:rsidP="006E4BC2">
            <w:pPr>
              <w:pStyle w:val="LTAnfrageText"/>
            </w:pPr>
          </w:p>
        </w:tc>
      </w:tr>
    </w:tbl>
    <w:p w:rsidR="006E4BC2" w:rsidRDefault="006E4BC2" w:rsidP="006E4BC2">
      <w:pPr>
        <w:pStyle w:val="LTUeberschrAntwortRessort"/>
      </w:pPr>
      <w:r>
        <w:t>Antwort des Staatsministeriums für Unterricht und Kultus</w:t>
      </w:r>
    </w:p>
    <w:p w:rsidR="006E4BC2" w:rsidRDefault="006E4BC2" w:rsidP="006E4BC2">
      <w:pPr>
        <w:pStyle w:val="LTAntwortRessortText"/>
      </w:pPr>
      <w:r>
        <w:t xml:space="preserve">Die Frage zur Anzahl der Schulen, die durch andere pädagogische Professionen in der Arbeit mit Kindern mit </w:t>
      </w:r>
      <w:r w:rsidR="0098407B">
        <w:t>s</w:t>
      </w:r>
      <w:r>
        <w:t>onderpädagogischem Förderbedarf unterstü</w:t>
      </w:r>
      <w:r w:rsidR="0098407B">
        <w:t>tzt werden, kann auf Basis der a</w:t>
      </w:r>
      <w:r>
        <w:t>mtlichen Schuldaten nicht vollumfänglich beantwortet werden. Es können daher nur allgemeine Angaben gemacht werden. Unterstützung erfahren die Lehrkräfte der Regelschulen insbesondere durch:</w:t>
      </w:r>
    </w:p>
    <w:p w:rsidR="006E4BC2" w:rsidRPr="005E1112" w:rsidRDefault="006E4BC2" w:rsidP="006E4BC2">
      <w:pPr>
        <w:pStyle w:val="LTAntwortRessortText"/>
        <w:rPr>
          <w:u w:val="single"/>
        </w:rPr>
      </w:pPr>
      <w:r w:rsidRPr="005E1112">
        <w:rPr>
          <w:u w:val="single"/>
        </w:rPr>
        <w:t>Lehrkräfte für Sonderpädagogik:</w:t>
      </w:r>
    </w:p>
    <w:p w:rsidR="006E4BC2" w:rsidRDefault="006E4BC2" w:rsidP="005E1112">
      <w:pPr>
        <w:pStyle w:val="LTAntwortRessortText"/>
        <w:spacing w:before="120"/>
      </w:pPr>
      <w:r>
        <w:t>Sie unterstützen im Rahmen des Mobilen Sonderpädagogischen Dienstes (s</w:t>
      </w:r>
      <w:r w:rsidR="005E1112">
        <w:t xml:space="preserve"> </w:t>
      </w:r>
      <w:r>
        <w:t>.u.) und im Wege der Abordnung an Grund- und Mitte</w:t>
      </w:r>
      <w:r w:rsidR="005E1112">
        <w:t>lschulen mit dem Profil Inklusi</w:t>
      </w:r>
      <w:r>
        <w:t>on.</w:t>
      </w:r>
    </w:p>
    <w:p w:rsidR="006E4BC2" w:rsidRPr="005E1112" w:rsidRDefault="005E1112" w:rsidP="006E4BC2">
      <w:pPr>
        <w:pStyle w:val="LTAntwortRessortText"/>
        <w:rPr>
          <w:u w:val="single"/>
        </w:rPr>
      </w:pPr>
      <w:r w:rsidRPr="005E1112">
        <w:rPr>
          <w:u w:val="single"/>
        </w:rPr>
        <w:t>S</w:t>
      </w:r>
      <w:r w:rsidR="006E4BC2" w:rsidRPr="005E1112">
        <w:rPr>
          <w:u w:val="single"/>
        </w:rPr>
        <w:t>chulpsychologinnen und Schulpsychologen; Beratungslehrkräfte:</w:t>
      </w:r>
    </w:p>
    <w:p w:rsidR="006E4BC2" w:rsidRPr="006764A8" w:rsidRDefault="006E4BC2" w:rsidP="005E1112">
      <w:pPr>
        <w:pStyle w:val="LTAntwortRessortText"/>
        <w:spacing w:before="120"/>
        <w:rPr>
          <w:spacing w:val="-2"/>
        </w:rPr>
      </w:pPr>
      <w:r w:rsidRPr="006764A8">
        <w:rPr>
          <w:spacing w:val="-2"/>
        </w:rPr>
        <w:t>Insgesamt sind ca. 880 Schulpsychologinnen und Schulpsychologen und ca. 1</w:t>
      </w:r>
      <w:r w:rsidR="005E1112" w:rsidRPr="006764A8">
        <w:rPr>
          <w:spacing w:val="-2"/>
        </w:rPr>
        <w:t>.</w:t>
      </w:r>
      <w:r w:rsidRPr="006764A8">
        <w:rPr>
          <w:spacing w:val="-2"/>
        </w:rPr>
        <w:t>800 Beratungslehrkrä</w:t>
      </w:r>
      <w:r w:rsidR="005E1112" w:rsidRPr="006764A8">
        <w:rPr>
          <w:spacing w:val="-2"/>
        </w:rPr>
        <w:t>fte an den Schulen vor Ort und an den Staatlichen Schulberat</w:t>
      </w:r>
      <w:r w:rsidRPr="006764A8">
        <w:rPr>
          <w:spacing w:val="-2"/>
        </w:rPr>
        <w:t>ungsstellen in der Beratung der Schülerinnen un</w:t>
      </w:r>
      <w:r w:rsidR="005E1112" w:rsidRPr="006764A8">
        <w:rPr>
          <w:spacing w:val="-2"/>
        </w:rPr>
        <w:t>d Schüler, der Erziehungsberech</w:t>
      </w:r>
      <w:r w:rsidRPr="006764A8">
        <w:rPr>
          <w:spacing w:val="-2"/>
        </w:rPr>
        <w:t>tigten und der Lehrkräfte tätig. Dabei ist für jede Schule eine Schulpsychologin bzw. ein Schulpsychologe und eine Beratungslehrkraft zuständig, somit erhalten alle Schulen eine diesbezügliche Unterstützung. Die Lehrkräfte werden von den Schulpsychologinnen und Schulpsychologen so</w:t>
      </w:r>
      <w:r w:rsidR="005E1112" w:rsidRPr="006764A8">
        <w:rPr>
          <w:spacing w:val="-2"/>
        </w:rPr>
        <w:t>wie den Beratungslehrkräften so</w:t>
      </w:r>
      <w:r w:rsidR="0098407B">
        <w:rPr>
          <w:spacing w:val="-2"/>
        </w:rPr>
        <w:t>wohl in allgemeinen pädagogisch</w:t>
      </w:r>
      <w:r w:rsidRPr="006764A8">
        <w:rPr>
          <w:spacing w:val="-2"/>
        </w:rPr>
        <w:t xml:space="preserve">-psychologischen Fragestellungen als auch in der Arbeit mit Kindern mit sonderpädagogischem Förderbedarf unterstützt. In der Handreichung </w:t>
      </w:r>
      <w:r w:rsidR="004A62EF" w:rsidRPr="006764A8">
        <w:rPr>
          <w:spacing w:val="-2"/>
        </w:rPr>
        <w:t>„</w:t>
      </w:r>
      <w:r w:rsidRPr="006764A8">
        <w:rPr>
          <w:spacing w:val="-2"/>
        </w:rPr>
        <w:t xml:space="preserve">Inklusion an Schulen in Bayern </w:t>
      </w:r>
      <w:r w:rsidR="005E1112" w:rsidRPr="006764A8">
        <w:rPr>
          <w:spacing w:val="-2"/>
        </w:rPr>
        <w:t>–</w:t>
      </w:r>
      <w:r w:rsidRPr="006764A8">
        <w:rPr>
          <w:spacing w:val="-2"/>
        </w:rPr>
        <w:t xml:space="preserve"> </w:t>
      </w:r>
      <w:r w:rsidR="005E1112" w:rsidRPr="006764A8">
        <w:rPr>
          <w:spacing w:val="-2"/>
        </w:rPr>
        <w:t>Informationen für Beratungslehr</w:t>
      </w:r>
      <w:r w:rsidRPr="006764A8">
        <w:rPr>
          <w:spacing w:val="-2"/>
        </w:rPr>
        <w:t>kräfte und Schulpsychologen</w:t>
      </w:r>
      <w:r w:rsidR="004A62EF" w:rsidRPr="006764A8">
        <w:rPr>
          <w:spacing w:val="-2"/>
        </w:rPr>
        <w:t>“</w:t>
      </w:r>
      <w:r w:rsidRPr="006764A8">
        <w:rPr>
          <w:spacing w:val="-2"/>
        </w:rPr>
        <w:t xml:space="preserve"> (</w:t>
      </w:r>
      <w:hyperlink r:id="rId16" w:history="1">
        <w:r w:rsidR="005E1112" w:rsidRPr="006764A8">
          <w:rPr>
            <w:rStyle w:val="Hyperlink"/>
            <w:spacing w:val="-2"/>
          </w:rPr>
          <w:t>http://www.isb.bayern.de/schulartspezifisches/</w:t>
        </w:r>
        <w:r w:rsidR="006764A8">
          <w:rPr>
            <w:rStyle w:val="Hyperlink"/>
            <w:spacing w:val="-2"/>
          </w:rPr>
          <w:softHyphen/>
        </w:r>
        <w:r w:rsidR="005E1112" w:rsidRPr="006764A8">
          <w:rPr>
            <w:rStyle w:val="Hyperlink"/>
            <w:spacing w:val="-2"/>
          </w:rPr>
          <w:t>materialien/</w:t>
        </w:r>
        <w:r w:rsidR="006764A8">
          <w:rPr>
            <w:rStyle w:val="Hyperlink"/>
            <w:spacing w:val="-2"/>
          </w:rPr>
          <w:softHyphen/>
        </w:r>
        <w:r w:rsidR="005E1112" w:rsidRPr="006764A8">
          <w:rPr>
            <w:rStyle w:val="Hyperlink"/>
            <w:spacing w:val="-2"/>
          </w:rPr>
          <w:t>inklusion-an-schulen/</w:t>
        </w:r>
      </w:hyperlink>
      <w:r w:rsidRPr="006764A8">
        <w:rPr>
          <w:spacing w:val="-2"/>
        </w:rPr>
        <w:t>) werden Maßnahmen der Unterstützung beispielhaft dargestellt.</w:t>
      </w:r>
    </w:p>
    <w:p w:rsidR="006E4BC2" w:rsidRPr="006764A8" w:rsidRDefault="006E4BC2" w:rsidP="006764A8">
      <w:pPr>
        <w:pStyle w:val="LTAntwortRessortText"/>
        <w:spacing w:before="360"/>
        <w:rPr>
          <w:u w:val="single"/>
        </w:rPr>
      </w:pPr>
      <w:r w:rsidRPr="006764A8">
        <w:rPr>
          <w:u w:val="single"/>
        </w:rPr>
        <w:t>Förderlehrkräfte:</w:t>
      </w:r>
    </w:p>
    <w:p w:rsidR="006E4BC2" w:rsidRDefault="006E4BC2" w:rsidP="006764A8">
      <w:pPr>
        <w:pStyle w:val="LTAntwortRessortText"/>
        <w:spacing w:before="120"/>
      </w:pPr>
      <w:r>
        <w:t>An Grund-</w:t>
      </w:r>
      <w:r w:rsidR="0098407B">
        <w:t>,</w:t>
      </w:r>
      <w:r>
        <w:t xml:space="preserve"> Mittel- und Förderschulen in Bayern sind rund 1.600 Förderlehrerkräfte tätig. Diese sind von der ersten Phase ihrer Au</w:t>
      </w:r>
      <w:r w:rsidR="006764A8">
        <w:t>sbildung an auch auf inklusions</w:t>
      </w:r>
      <w:r>
        <w:t>spezifische Themen vorbereitet. Allerdings stehen sie auch für weitere Themenbereiche wie zum Beispiel für die Sprachförderung und für individuelle Lernstörungen zur Verfügung. Sie werden insbesondere an größeren Schulen sowie an Schulen mit besonderen Herausforderungen zur Unterstü</w:t>
      </w:r>
      <w:r w:rsidR="006764A8">
        <w:t>tzung der Klassenlehrkräfte ein</w:t>
      </w:r>
      <w:r>
        <w:t>gesetzt und arbeiten in der Regel in kleinen Gruppen mit den Schülerinnen und Schülern, um die individuelle Förderung zu intensivieren. Eine auf die Schülerinnen und Schüler mit sonderpädagogischem Förderbedarf bezogene Zahl wird dazu nicht erhoben.</w:t>
      </w:r>
    </w:p>
    <w:p w:rsidR="006E4BC2" w:rsidRPr="006764A8" w:rsidRDefault="006E4BC2" w:rsidP="006764A8">
      <w:pPr>
        <w:pStyle w:val="LTAntwortRessortText"/>
        <w:spacing w:before="360"/>
        <w:rPr>
          <w:u w:val="single"/>
        </w:rPr>
      </w:pPr>
      <w:r w:rsidRPr="006764A8">
        <w:rPr>
          <w:u w:val="single"/>
        </w:rPr>
        <w:t xml:space="preserve">Heilpädagogen: </w:t>
      </w:r>
    </w:p>
    <w:p w:rsidR="006E4BC2" w:rsidRDefault="006E4BC2" w:rsidP="006764A8">
      <w:pPr>
        <w:pStyle w:val="LTAntwortRessortText"/>
        <w:spacing w:before="120"/>
      </w:pPr>
      <w:r>
        <w:t>Im Schuljahr 2017/</w:t>
      </w:r>
      <w:r w:rsidR="006764A8">
        <w:t>20</w:t>
      </w:r>
      <w:r>
        <w:t xml:space="preserve">18 wurden den Regierungen </w:t>
      </w:r>
      <w:r w:rsidR="006764A8">
        <w:t>zehn Vollzeitkapazitäten zugewie</w:t>
      </w:r>
      <w:r>
        <w:t xml:space="preserve">sen. Dies geht auf den Wunsch der interfraktionellen Arbeitsgruppe </w:t>
      </w:r>
      <w:r w:rsidR="006764A8">
        <w:t>„</w:t>
      </w:r>
      <w:r>
        <w:t>Inklusion</w:t>
      </w:r>
      <w:r w:rsidR="006764A8">
        <w:t>“</w:t>
      </w:r>
      <w:r>
        <w:t xml:space="preserve"> des </w:t>
      </w:r>
      <w:r w:rsidR="006764A8">
        <w:t>Ausschusses für Bildung und Kultus</w:t>
      </w:r>
      <w:r>
        <w:t xml:space="preserve"> des Landtages zurück.</w:t>
      </w:r>
    </w:p>
    <w:p w:rsidR="006E4BC2" w:rsidRPr="006764A8" w:rsidRDefault="006E4BC2" w:rsidP="006764A8">
      <w:pPr>
        <w:pStyle w:val="LTAntwortRessortText"/>
        <w:spacing w:before="360"/>
        <w:rPr>
          <w:u w:val="single"/>
        </w:rPr>
      </w:pPr>
      <w:r w:rsidRPr="006764A8">
        <w:rPr>
          <w:u w:val="single"/>
        </w:rPr>
        <w:t>Jugendsozialarbeit an Schulen (JaS):</w:t>
      </w:r>
    </w:p>
    <w:p w:rsidR="006E4BC2" w:rsidRDefault="006E4BC2" w:rsidP="006764A8">
      <w:pPr>
        <w:pStyle w:val="LTAntwortRessortText"/>
        <w:spacing w:before="120"/>
      </w:pPr>
      <w:r>
        <w:t xml:space="preserve">Es gibt insgesamt rd. 900 Fachkräfte der Jugendsozialarbeit an Schulen an rd. 1.200 Einsatzorten zur Unterstützung sozial benachteiligter junger Menschen durch die Jugendhilfe auf der Grundlage von § 13 </w:t>
      </w:r>
      <w:r w:rsidR="006764A8">
        <w:t>Sozialgesetzbuch (</w:t>
      </w:r>
      <w:r>
        <w:t>SGB</w:t>
      </w:r>
      <w:r w:rsidR="006764A8">
        <w:t>)</w:t>
      </w:r>
      <w:r>
        <w:t xml:space="preserve"> </w:t>
      </w:r>
      <w:r w:rsidR="006764A8">
        <w:t>Achtes Buch (</w:t>
      </w:r>
      <w:r>
        <w:t>VIII</w:t>
      </w:r>
      <w:r w:rsidR="006764A8">
        <w:t>)</w:t>
      </w:r>
      <w:r>
        <w:t xml:space="preserve"> und </w:t>
      </w:r>
      <w:r w:rsidR="007C0176">
        <w:t>bei entsprechen</w:t>
      </w:r>
      <w:r>
        <w:t>der Bedarfsfeststellung durch das Jugendamt.</w:t>
      </w:r>
    </w:p>
    <w:p w:rsidR="006E4BC2" w:rsidRPr="006764A8" w:rsidRDefault="006E4BC2" w:rsidP="006764A8">
      <w:pPr>
        <w:pStyle w:val="LTAntwortRessortText"/>
        <w:spacing w:before="360"/>
        <w:rPr>
          <w:u w:val="single"/>
        </w:rPr>
      </w:pPr>
      <w:r w:rsidRPr="006764A8">
        <w:rPr>
          <w:u w:val="single"/>
        </w:rPr>
        <w:t xml:space="preserve">Zum Mobilen Sonderpädagogischen Dienst kann Folgendes mitgeteilt werden: </w:t>
      </w:r>
    </w:p>
    <w:p w:rsidR="006E4BC2" w:rsidRDefault="006E4BC2" w:rsidP="006764A8">
      <w:pPr>
        <w:pStyle w:val="LTAntwortRessortText"/>
        <w:spacing w:before="120"/>
      </w:pPr>
      <w:r>
        <w:t xml:space="preserve">Für das Schuljahr 2017/2018 können derzeit noch keine Angaben gemacht werden, da die im Rahmen des Verfahrens </w:t>
      </w:r>
      <w:r w:rsidR="004A62EF">
        <w:t>„</w:t>
      </w:r>
      <w:r>
        <w:t>Amtliche Schuldaten</w:t>
      </w:r>
      <w:r w:rsidR="004A62EF">
        <w:t>“</w:t>
      </w:r>
      <w:r>
        <w:t xml:space="preserve"> erhobenen Lehrerdaten zunächst zeitaufwendige Plausibilisierungsprozesse durchlaufen, die momentan noch nicht vollständig abgeschlossen sind.</w:t>
      </w:r>
    </w:p>
    <w:p w:rsidR="006E4BC2" w:rsidRDefault="006E4BC2" w:rsidP="006E4BC2">
      <w:pPr>
        <w:pStyle w:val="LTAntwortRessortText"/>
      </w:pPr>
      <w:r>
        <w:t xml:space="preserve">Im Schuljahr 2016/2017 waren 672 Lehrkräfte (in Vollzeitlehrereinheiten umgerechnet) im Mobilen Sonderpädagogischen Dienst </w:t>
      </w:r>
      <w:r w:rsidR="004473A4">
        <w:t xml:space="preserve">(MSD) </w:t>
      </w:r>
      <w:r>
        <w:t xml:space="preserve">der Förderzentren eingesetzt. Davon verfügten 97,4 </w:t>
      </w:r>
      <w:r w:rsidR="004A62EF">
        <w:t>Prozent</w:t>
      </w:r>
      <w:r>
        <w:t xml:space="preserve"> über die Qualifikation </w:t>
      </w:r>
      <w:r w:rsidR="004A62EF">
        <w:t>„</w:t>
      </w:r>
      <w:r>
        <w:t>Lehramt für Sonderpädagogik</w:t>
      </w:r>
      <w:r w:rsidR="004A62EF">
        <w:t>“</w:t>
      </w:r>
      <w:r>
        <w:t>.</w:t>
      </w:r>
    </w:p>
    <w:p w:rsidR="006E4BC2" w:rsidRDefault="006E4BC2" w:rsidP="006E4BC2">
      <w:pPr>
        <w:pStyle w:val="LTAntwortRessortText"/>
      </w:pPr>
      <w:r>
        <w:t>Einschließlich der sonderpädagogischen Expertise an Profilschulen und dem MSD werden die allgemein bildenden Regelschulen mit i</w:t>
      </w:r>
      <w:r w:rsidR="004473A4">
        <w:t>nsgesamt 1.351 Vollzeitkapazitä</w:t>
      </w:r>
      <w:r>
        <w:t>ten speziell zum Thema Inklusion unterstützt.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Ulrich</w:t>
            </w:r>
            <w:r w:rsidRPr="006E4BC2">
              <w:rPr>
                <w:b/>
              </w:rPr>
              <w:br/>
              <w:t>Leiner</w:t>
            </w:r>
            <w:r w:rsidRPr="006E4BC2">
              <w:rPr>
                <w:b/>
              </w:rPr>
              <w:br/>
            </w:r>
            <w:r w:rsidRPr="006E4BC2">
              <w:t>(BÜNDNIS 90/DIE GRÜNEN)</w:t>
            </w:r>
            <w:r>
              <w:fldChar w:fldCharType="begin"/>
            </w:r>
            <w:r>
              <w:instrText xml:space="preserve"> TC </w:instrText>
            </w:r>
            <w:r w:rsidR="004A62EF">
              <w:instrText>„</w:instrText>
            </w:r>
            <w:bookmarkStart w:id="30" w:name="_Toc511290249"/>
            <w:r>
              <w:instrText>Leiner, Ulrich (BÜNDNIS 90/DIE GRÜNEN)</w:instrText>
            </w:r>
            <w:r>
              <w:br/>
              <w:instrText>Unterstützung bei anerkannter Lese-Rechtschreib-Schwäche an Berufsschulen</w:instrText>
            </w:r>
            <w:bookmarkEnd w:id="30"/>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wie kann für von Lese-Rechtschreib-Schwäche  betroffene Schülerinnen und Schüler nach dem Wechsel an eine Berufsschule gewährleistet werden, dass sie weiterhin die notwendige Förderung wie an den allgemeinbildenden Schulen (z. B. Vorlesen der Prüfungsaufgaben) erhalten, insbesondere unter der Berücksichtigung, dass nicht für alle Berufszweige auch entsprechende Förderberufsschulen in erreichbarer Nähe liegen, und auf welche rechtliche Grundlage kann sich die Forderung gegenüber der Schule dann stützen?</w:t>
            </w:r>
          </w:p>
          <w:p w:rsidR="006E4BC2" w:rsidRDefault="006E4BC2" w:rsidP="006E4BC2">
            <w:pPr>
              <w:pStyle w:val="LTAnfrageText"/>
            </w:pPr>
          </w:p>
        </w:tc>
      </w:tr>
    </w:tbl>
    <w:p w:rsidR="006E4BC2" w:rsidRDefault="006E4BC2" w:rsidP="006E4BC2">
      <w:pPr>
        <w:pStyle w:val="LTUeberschrAntwortRessort"/>
      </w:pPr>
      <w:r>
        <w:t>Antwort des Staatsministeriums für Unterricht und Kultus</w:t>
      </w:r>
    </w:p>
    <w:p w:rsidR="006E4BC2" w:rsidRDefault="006E4BC2" w:rsidP="006E4BC2">
      <w:pPr>
        <w:pStyle w:val="LTAntwortRessortText"/>
      </w:pPr>
      <w:r>
        <w:t>Die bisherige Unterscheidung zwischen Legasthenie und Lese-Rechtschreib-Schwäche erfolgt nicht mehr; Legasthenie und Lese-Rechtschreib-Schwäche ist nicht identisch mit einem sonderpädagogischen Förderbedarf. Schülerinnen u</w:t>
      </w:r>
      <w:r w:rsidR="0098407B">
        <w:t>nd Schüler</w:t>
      </w:r>
      <w:r>
        <w:t xml:space="preserve">, bei denen eine attestierte Lese-Rechtschreib-Störung vorliegt und bei denen der nach § 36 Abs. 2 Satz 1 der Schulordnung für schulartübergreifende Regelungen an Schulen in Bayern (Bayerische Schulordnung </w:t>
      </w:r>
      <w:r w:rsidR="005311BE">
        <w:t>–</w:t>
      </w:r>
      <w:r>
        <w:t xml:space="preserve"> BaySchO) erforderliche Antrag vorliegt, können auch an Berufsschulen einen Nachteilsausgleich oder Notenschutz erhalten. Der Besuch einer Förderberufsschule ist hierfür nicht angezeigt.</w:t>
      </w:r>
    </w:p>
    <w:p w:rsidR="006E4BC2" w:rsidRDefault="006E4BC2" w:rsidP="006E4BC2">
      <w:pPr>
        <w:pStyle w:val="LTAntwortRessortText"/>
      </w:pPr>
      <w:r>
        <w:t>Der Nachweis einer Lese-Rechtschreib-Störung erfolgt durch ein fachärztliches Zeugnis in Verbindung mit einer schulpsychologischen Stellungnahme oder durch eine schulpsychologische Stellungnahme alleine.</w:t>
      </w:r>
    </w:p>
    <w:p w:rsidR="006E4BC2" w:rsidRDefault="006E4BC2" w:rsidP="006E4BC2">
      <w:pPr>
        <w:pStyle w:val="LTAntwortRessortText"/>
      </w:pPr>
      <w:r>
        <w:t xml:space="preserve">Gemäß § 36 Abs. 6 BaySchO prüft nach dem Schulwechsel die aufnehmende Schule (in diesem Fall die Berufsschule) in eigener Verantwortung, welche Formen der individuellen Unterstützung, des Nachteilsausgleichs oder Notenschutzes zu gewähren sind. </w:t>
      </w:r>
    </w:p>
    <w:p w:rsidR="006E4BC2" w:rsidRDefault="006E4BC2" w:rsidP="006E4BC2">
      <w:pPr>
        <w:pStyle w:val="LTAntwortRessortText"/>
      </w:pPr>
      <w:r>
        <w:t>Rechtliche Grundlagen für Maßnahmen der individuellen Unterstützung, des Nachteilsausgleichs u</w:t>
      </w:r>
      <w:r w:rsidR="005311BE">
        <w:t xml:space="preserve">nd des Notenschutzes sind §§ 31 - </w:t>
      </w:r>
      <w:r>
        <w:t xml:space="preserve">36 der Schulordnung für schulartübergreifende Regelungen an Schulen in Bayern (BaySchO) in Verbindung mit Art. 52 Abs. 5 </w:t>
      </w:r>
      <w:r w:rsidR="005311BE">
        <w:t>Bayerisches</w:t>
      </w:r>
      <w:r>
        <w:t xml:space="preserve"> Gesetzes über das Erziehungs- und Unterrichtswesen (BayEUG). </w:t>
      </w:r>
    </w:p>
    <w:p w:rsidR="006E4BC2" w:rsidRDefault="006E4BC2" w:rsidP="005311BE">
      <w:pPr>
        <w:pStyle w:val="LTAntwortRessortText"/>
      </w:pPr>
      <w:r>
        <w:t xml:space="preserve">Ergänzende Hinweise zum Verfahren und zu Maßnahmen finden sich im Handbuch </w:t>
      </w:r>
      <w:r w:rsidR="004A62EF">
        <w:t>„</w:t>
      </w:r>
      <w:r>
        <w:t xml:space="preserve">Individuelle Unterstützung </w:t>
      </w:r>
      <w:r w:rsidR="005311BE">
        <w:t xml:space="preserve">– </w:t>
      </w:r>
      <w:r>
        <w:t xml:space="preserve">Nachteilsausgleich </w:t>
      </w:r>
      <w:r w:rsidR="005311BE">
        <w:t>–</w:t>
      </w:r>
      <w:r>
        <w:t xml:space="preserve"> Notenschutz</w:t>
      </w:r>
      <w:r w:rsidR="004A62EF">
        <w:t>“</w:t>
      </w:r>
      <w:r>
        <w:t xml:space="preserve"> (</w:t>
      </w:r>
      <w:hyperlink r:id="rId17" w:history="1">
        <w:r w:rsidR="005311BE" w:rsidRPr="007473B9">
          <w:rPr>
            <w:rStyle w:val="Hyperlink"/>
          </w:rPr>
          <w:t>http://www.isb.bayern.de/schulartspezifisches/</w:t>
        </w:r>
        <w:r w:rsidR="005311BE" w:rsidRPr="007473B9">
          <w:rPr>
            <w:rStyle w:val="Hyperlink"/>
          </w:rPr>
          <w:softHyphen/>
          <w:t>materialien/nachteilsausgleich-notenschutz/</w:t>
        </w:r>
      </w:hyperlink>
      <w:r w:rsidR="005311BE">
        <w:t xml:space="preserve"> </w:t>
      </w:r>
      <w:r>
        <w:t xml:space="preserve">). </w:t>
      </w:r>
    </w:p>
    <w:p w:rsidR="006E4BC2" w:rsidRDefault="006E4BC2" w:rsidP="006E4BC2">
      <w:pPr>
        <w:pStyle w:val="LTAntwortRessortText"/>
      </w:pPr>
      <w:r>
        <w:t xml:space="preserve">Bezüglich der Maßnahme </w:t>
      </w:r>
      <w:r w:rsidR="004A62EF">
        <w:t>„</w:t>
      </w:r>
      <w:r>
        <w:t>Vorlesen einer Aufgabenstellung</w:t>
      </w:r>
      <w:r w:rsidR="004A62EF">
        <w:t>“</w:t>
      </w:r>
      <w:r>
        <w:t xml:space="preserve"> wird auf Folgendes hingewiesen: In den höheren Klassen (ab Jahrgangsstufe 7) der Mittelschule, der Realschule, des Gymnasiums und an den beruflichen Schulen gehört das selbständige Lesen und Erschließen eines Textes zum fundamentalen Kern der Leistung, das Vorlesen der Aufgabenstellung durch die Lehrkraft würde demnach das Anforderungsniveau der entsprechenden Schulart und Jahrgangsstufe nicht wahren. Demzufolge kann bei einer Lese-Rechtschreib-Störung in höheren Jahrgangsstufen das Vorlesen nicht als Maßnahme des Nachteilsausgleichs eingesetzt werden, da hier die Grenze zum Notenschutz überschritten wäre. Gemäß § 34 Abs. 6 und 7 BaySchO kommt es j</w:t>
      </w:r>
      <w:r w:rsidR="005311BE">
        <w:t>edoch als Notenschutz nicht inf</w:t>
      </w:r>
      <w:r>
        <w:t>rage.</w:t>
      </w:r>
    </w:p>
    <w:p w:rsidR="006E4BC2" w:rsidRDefault="006E4BC2" w:rsidP="006E4BC2">
      <w:pPr>
        <w:pStyle w:val="LTAntwortRessortText"/>
      </w:pPr>
      <w:r>
        <w:t>Die Zuständigkeit für das Prüfungswesen (z.</w:t>
      </w:r>
      <w:r w:rsidR="005311BE">
        <w:t> </w:t>
      </w:r>
      <w:r>
        <w:t>B. Gesellenprüfung) liegt im dualen System bei den zuständigen Stellen (Kammern). Von der Gewährung und von der Art sowie des Umfangs des Nachteilsausgleichs und des Notenschutzes in schulischen Leistungsfeststellungen sind deshalb grundsätzlich die Gewährung und die Art sowie der Umfang des Nachteilsausgleiches in Prüfungen der zuständigen Stellen zu unterscheiden. Für die Prüfungen der zuständigen Stellen sind die Regelungen der für die Ausbildun</w:t>
      </w:r>
      <w:r w:rsidR="008F0A3E">
        <w:t>g verantwortlichen Kammern und Staatsm</w:t>
      </w:r>
      <w:r>
        <w:t>inisterien (Berufsbildungsgesetz, Handwerksordnung, Verordnungen für die Berufsausbildung) maßgebend. Über die Gewährleistung eines Nachteilsausgleiches entscheidet die jeweilige Kammer in ihrer Prüfungszuständigkeit.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Kathi</w:t>
            </w:r>
            <w:r w:rsidRPr="006E4BC2">
              <w:rPr>
                <w:b/>
              </w:rPr>
              <w:br/>
              <w:t>Petersen</w:t>
            </w:r>
            <w:r w:rsidRPr="006E4BC2">
              <w:rPr>
                <w:b/>
              </w:rPr>
              <w:br/>
            </w:r>
            <w:r w:rsidRPr="006E4BC2">
              <w:t>(SPD)</w:t>
            </w:r>
            <w:r>
              <w:fldChar w:fldCharType="begin"/>
            </w:r>
            <w:r>
              <w:instrText xml:space="preserve"> TC </w:instrText>
            </w:r>
            <w:r w:rsidR="004A62EF">
              <w:instrText>„</w:instrText>
            </w:r>
            <w:bookmarkStart w:id="31" w:name="_Toc511290250"/>
            <w:r>
              <w:instrText>Petersen, Kathi (SPD)</w:instrText>
            </w:r>
            <w:r>
              <w:br/>
              <w:instrText>Praxisstunden in der Krankenpflegeausbildung</w:instrText>
            </w:r>
            <w:bookmarkEnd w:id="31"/>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wird die Budgetierung zur Betreuung der praktischen Ausbildung an den Berufsfachschulen für Krankenpflege in der Höhe von 1,3 Wochenstunden auch bei der Realisierung der generalistischen Pflegeausbildung im Rahmen des Pflegeberufegesetzes aufrecht bleiben?</w:t>
            </w:r>
          </w:p>
          <w:p w:rsidR="006E4BC2" w:rsidRDefault="006E4BC2" w:rsidP="006E4BC2">
            <w:pPr>
              <w:pStyle w:val="LTAnfrageText"/>
            </w:pPr>
          </w:p>
        </w:tc>
      </w:tr>
    </w:tbl>
    <w:p w:rsidR="006E4BC2" w:rsidRDefault="006E4BC2" w:rsidP="006E4BC2">
      <w:pPr>
        <w:pStyle w:val="LTUeberschrAntwortRessort"/>
      </w:pPr>
      <w:r>
        <w:t>Antwort des Staatsministeriums für Unterricht und Kultus</w:t>
      </w:r>
    </w:p>
    <w:p w:rsidR="006E4BC2" w:rsidRDefault="006E4BC2" w:rsidP="006E4BC2">
      <w:pPr>
        <w:pStyle w:val="LTAntwortRessortText"/>
      </w:pPr>
      <w:r>
        <w:t xml:space="preserve">Der Umfang der Lehrerwochenstunden für die Begleitung der praktischen Ausbildung in den Einrichtungen durch die Lehrkräfte kann voraussichtlich nicht wie bisher gehalten werden. Grund dafür ist eine Überprüfung der Betriebszuschüsse nach dem Schulfinanzierungsgesetz durch den Obersten Rechnungshof (ORH). In der Kranken- und Kinderkrankenpflege werden derzeit 1,3 </w:t>
      </w:r>
      <w:r w:rsidR="004647E7">
        <w:t xml:space="preserve">Stunden pro Woche pro Schülerin und </w:t>
      </w:r>
      <w:r>
        <w:t xml:space="preserve">Schüler und in der Altenpflege 0,9 Stunden bezuschusst. Die Unterschiede sind historisch bedingt und spielen bei der aktuellen Debatte keine Rolle. Der ORH kritisiert, dass der Umfang zu groß bemessen sei, die Schulen den Umfang nicht ausschöpfen, andere Bundesländer deutlich weniger Stunden für diese Aufgabe bereitstellen und die von ihm besuchten Schulen den Umfang als übertrieben einschätzen. Nach langen und schwierigen Gesprächen konnte seitens des </w:t>
      </w:r>
      <w:r w:rsidR="004647E7">
        <w:t xml:space="preserve">Staatsministeriums für Unterricht und Kultus (StMUK) erreicht werden, dass bis zum </w:t>
      </w:r>
      <w:r>
        <w:t xml:space="preserve">Inkrafttreten des neuen Pflegeberufegesetzes keine Änderung vorgenommen wird. Den Schulen haben wir empfohlen, den Begleitungsaufwand sorgfältig durchzuführen und zu dokumentieren, damit bei den zukünftigen Verhandlungen nachweisbar ist, dass der Begleitung der praktischen Ausbildung durch Lehrkräfte der Schule eine große Bedeutung beigemessen wird. </w:t>
      </w:r>
    </w:p>
    <w:p w:rsidR="006E4BC2" w:rsidRDefault="006E4BC2" w:rsidP="006E4BC2">
      <w:pPr>
        <w:pStyle w:val="LTAntwortRessortText"/>
      </w:pPr>
      <w:r>
        <w:t xml:space="preserve">Die Finanzierung der Schulen wird mit dem neuen Pflegeberufegesetz ab 2020 nicht mehr über das Schulfinanzierungsgesetz abgebildet, sondern wird aus einem Landesfonds geleistet, in den Krankenhäuser, ambulante Pflegedienste, stationäre Pflegeeinrichtungen, das Land und die Pflegeversicherung einzahlen (siehe Abschnitt 3 </w:t>
      </w:r>
      <w:r w:rsidR="004647E7">
        <w:t xml:space="preserve">des </w:t>
      </w:r>
      <w:r>
        <w:t>Pflegeberufegesetz</w:t>
      </w:r>
      <w:r w:rsidR="008F0A3E">
        <w:t>es</w:t>
      </w:r>
      <w:r>
        <w:t>). Es wird auf die Verhandlungen mit der fondsverwaltenden Stelle ankommen, wie umfangreich die Praxisbegleitung zukünftig ausgestaltet werden kann. Das StMUK wird sich dafür einsetzen, dass alle Schulen zuverlässig mit 0,9</w:t>
      </w:r>
      <w:r w:rsidR="004647E7">
        <w:t xml:space="preserve"> Stunde pro Woche pro Schülerin und </w:t>
      </w:r>
      <w:r>
        <w:t>Schüler arbeiten können. Mehr wird vermutlich angesichts der Kritik durch den ORH und der Handhabung in anderen Bundesländern nicht durchzusetzen sein.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Dr. Simone</w:t>
            </w:r>
            <w:r w:rsidRPr="006E4BC2">
              <w:rPr>
                <w:b/>
              </w:rPr>
              <w:br/>
              <w:t>Strohmayr</w:t>
            </w:r>
            <w:r w:rsidRPr="006E4BC2">
              <w:rPr>
                <w:b/>
              </w:rPr>
              <w:br/>
            </w:r>
            <w:r w:rsidRPr="006E4BC2">
              <w:t>(SPD)</w:t>
            </w:r>
            <w:r>
              <w:fldChar w:fldCharType="begin"/>
            </w:r>
            <w:r>
              <w:instrText xml:space="preserve"> TC </w:instrText>
            </w:r>
            <w:r w:rsidR="004A62EF">
              <w:instrText>„</w:instrText>
            </w:r>
            <w:bookmarkStart w:id="32" w:name="_Toc511290251"/>
            <w:r>
              <w:instrText>Dr. Strohmayr, Simone (SPD)</w:instrText>
            </w:r>
            <w:r>
              <w:br/>
              <w:instrText>WLAN-Zonen an Schulen in Bayern</w:instrText>
            </w:r>
            <w:bookmarkEnd w:id="32"/>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wie viele Schulen in Bayern verfügen über so genannte WLAN-Zonen in der absoluten Zahl und prozentual gesehen (bitte aufgeschlüsselt nach Schularten, Bayern gesamt, den Regierungsbezirken und dort ansässigen Landkreisen und kreisfreien Städten)?</w:t>
            </w:r>
          </w:p>
          <w:p w:rsidR="006E4BC2" w:rsidRDefault="006E4BC2" w:rsidP="006E4BC2">
            <w:pPr>
              <w:pStyle w:val="LTAnfrageText"/>
            </w:pPr>
          </w:p>
        </w:tc>
      </w:tr>
    </w:tbl>
    <w:p w:rsidR="006E4BC2" w:rsidRDefault="006E4BC2" w:rsidP="003D1E3B">
      <w:pPr>
        <w:pStyle w:val="LTUeberschrAntwortRessort"/>
        <w:spacing w:before="0"/>
      </w:pPr>
      <w:r>
        <w:t>Antwort des Staatsministeriums für Unterricht und Kultus</w:t>
      </w:r>
    </w:p>
    <w:p w:rsidR="006E4BC2" w:rsidRDefault="006E4BC2" w:rsidP="006E4BC2">
      <w:pPr>
        <w:pStyle w:val="LTAntwortRessortText"/>
      </w:pPr>
      <w:r>
        <w:t>Die folgende Tabelle stellt die angefragten absoluten und prozentualen Zahlen für diejenigen bayerischen Schulen, die laut IT-Umfrage</w:t>
      </w:r>
      <w:r w:rsidR="008F0A3E">
        <w:t xml:space="preserve"> des Jahres 2017</w:t>
      </w:r>
      <w:r>
        <w:t xml:space="preserve"> der Akademie für Lehrerfortbildung und Personalführung Dillingen WLAN-Accesspoints eingerichtet haben, dar (Stand: 08/2017). Alle Schulen mit mindestens einem Accesspoint finden darin Berücksichtigung.</w:t>
      </w:r>
    </w:p>
    <w:p w:rsidR="006E4BC2" w:rsidRDefault="006E4BC2" w:rsidP="006E4BC2">
      <w:pPr>
        <w:pStyle w:val="LTAntwortRessortTex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2530"/>
        <w:gridCol w:w="1002"/>
      </w:tblGrid>
      <w:tr w:rsidR="004040A9" w:rsidRPr="00C019F1" w:rsidTr="00294419">
        <w:tc>
          <w:tcPr>
            <w:tcW w:w="2531" w:type="dxa"/>
            <w:tcBorders>
              <w:bottom w:val="single" w:sz="12" w:space="0" w:color="auto"/>
            </w:tcBorders>
            <w:shd w:val="clear" w:color="auto" w:fill="auto"/>
          </w:tcPr>
          <w:p w:rsidR="004040A9" w:rsidRPr="00C019F1" w:rsidRDefault="004040A9" w:rsidP="00294419">
            <w:pPr>
              <w:rPr>
                <w:rFonts w:eastAsia="Calibri"/>
                <w:b/>
                <w:sz w:val="22"/>
                <w:szCs w:val="22"/>
                <w:lang w:eastAsia="en-US"/>
              </w:rPr>
            </w:pPr>
            <w:r w:rsidRPr="00C019F1">
              <w:rPr>
                <w:rFonts w:eastAsia="Calibri"/>
                <w:b/>
                <w:sz w:val="22"/>
                <w:szCs w:val="22"/>
                <w:lang w:eastAsia="en-US"/>
              </w:rPr>
              <w:t>Schulart</w:t>
            </w:r>
          </w:p>
        </w:tc>
        <w:tc>
          <w:tcPr>
            <w:tcW w:w="2530" w:type="dxa"/>
            <w:tcBorders>
              <w:bottom w:val="single" w:sz="12" w:space="0" w:color="auto"/>
            </w:tcBorders>
            <w:shd w:val="clear" w:color="auto" w:fill="auto"/>
          </w:tcPr>
          <w:p w:rsidR="004040A9" w:rsidRPr="00C019F1" w:rsidRDefault="004040A9" w:rsidP="00294419">
            <w:pPr>
              <w:rPr>
                <w:rFonts w:eastAsia="Calibri"/>
                <w:b/>
                <w:sz w:val="22"/>
                <w:szCs w:val="22"/>
                <w:lang w:eastAsia="en-US"/>
              </w:rPr>
            </w:pPr>
            <w:r w:rsidRPr="00C019F1">
              <w:rPr>
                <w:rFonts w:eastAsia="Calibri"/>
                <w:b/>
                <w:sz w:val="22"/>
                <w:szCs w:val="22"/>
                <w:lang w:eastAsia="en-US"/>
              </w:rPr>
              <w:t>Schulen mit WLAN</w:t>
            </w:r>
          </w:p>
        </w:tc>
        <w:tc>
          <w:tcPr>
            <w:tcW w:w="1002" w:type="dxa"/>
            <w:tcBorders>
              <w:bottom w:val="single" w:sz="12" w:space="0" w:color="auto"/>
            </w:tcBorders>
            <w:shd w:val="clear" w:color="auto" w:fill="auto"/>
          </w:tcPr>
          <w:p w:rsidR="004040A9" w:rsidRPr="00C019F1" w:rsidRDefault="004040A9" w:rsidP="00294419">
            <w:pPr>
              <w:rPr>
                <w:rFonts w:eastAsia="Calibri"/>
                <w:b/>
                <w:sz w:val="22"/>
                <w:szCs w:val="22"/>
                <w:lang w:eastAsia="en-US"/>
              </w:rPr>
            </w:pPr>
            <w:r w:rsidRPr="00C019F1">
              <w:rPr>
                <w:rFonts w:eastAsia="Calibri"/>
                <w:b/>
                <w:sz w:val="22"/>
                <w:szCs w:val="22"/>
                <w:lang w:eastAsia="en-US"/>
              </w:rPr>
              <w:t>Anteil</w:t>
            </w:r>
          </w:p>
        </w:tc>
      </w:tr>
      <w:tr w:rsidR="004040A9" w:rsidRPr="00C019F1" w:rsidTr="00383C95">
        <w:tc>
          <w:tcPr>
            <w:tcW w:w="2531" w:type="dxa"/>
            <w:tcBorders>
              <w:top w:val="single" w:sz="12" w:space="0" w:color="auto"/>
            </w:tcBorders>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Grundschulen</w:t>
            </w:r>
          </w:p>
        </w:tc>
        <w:tc>
          <w:tcPr>
            <w:tcW w:w="2530" w:type="dxa"/>
            <w:tcBorders>
              <w:top w:val="single" w:sz="12" w:space="0" w:color="auto"/>
            </w:tcBorders>
            <w:shd w:val="clear" w:color="auto" w:fill="auto"/>
            <w:vAlign w:val="center"/>
          </w:tcPr>
          <w:p w:rsidR="004040A9" w:rsidRPr="00C019F1" w:rsidRDefault="00125DC4" w:rsidP="00383C95">
            <w:pPr>
              <w:jc w:val="center"/>
              <w:rPr>
                <w:rFonts w:eastAsia="Calibri"/>
                <w:sz w:val="22"/>
                <w:szCs w:val="22"/>
                <w:lang w:eastAsia="en-US"/>
              </w:rPr>
            </w:pPr>
            <w:r>
              <w:rPr>
                <w:rFonts w:eastAsia="Calibri"/>
                <w:sz w:val="22"/>
                <w:szCs w:val="22"/>
                <w:lang w:eastAsia="en-US"/>
              </w:rPr>
              <w:t xml:space="preserve"> </w:t>
            </w:r>
            <w:r w:rsidR="004040A9" w:rsidRPr="00C019F1">
              <w:rPr>
                <w:rFonts w:eastAsia="Calibri"/>
                <w:sz w:val="22"/>
                <w:szCs w:val="22"/>
                <w:lang w:eastAsia="en-US"/>
              </w:rPr>
              <w:t>907</w:t>
            </w:r>
          </w:p>
        </w:tc>
        <w:tc>
          <w:tcPr>
            <w:tcW w:w="1002" w:type="dxa"/>
            <w:tcBorders>
              <w:top w:val="single" w:sz="12" w:space="0" w:color="auto"/>
            </w:tcBorders>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39</w:t>
            </w:r>
            <w:r w:rsidR="00125DC4">
              <w:rPr>
                <w:rFonts w:eastAsia="Calibri"/>
                <w:sz w:val="22"/>
                <w:szCs w:val="22"/>
                <w:lang w:eastAsia="en-US"/>
              </w:rPr>
              <w:t xml:space="preserve"> </w:t>
            </w:r>
            <w:r w:rsidRPr="00C019F1">
              <w:rPr>
                <w:rFonts w:eastAsia="Calibri"/>
                <w:sz w:val="22"/>
                <w:szCs w:val="22"/>
                <w:lang w:eastAsia="en-US"/>
              </w:rPr>
              <w:t>%</w:t>
            </w:r>
          </w:p>
        </w:tc>
      </w:tr>
      <w:tr w:rsidR="004040A9" w:rsidRPr="00C019F1" w:rsidTr="00383C95">
        <w:tc>
          <w:tcPr>
            <w:tcW w:w="2531" w:type="dxa"/>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Mittelschulen</w:t>
            </w:r>
          </w:p>
        </w:tc>
        <w:tc>
          <w:tcPr>
            <w:tcW w:w="2530" w:type="dxa"/>
            <w:shd w:val="clear" w:color="auto" w:fill="auto"/>
            <w:vAlign w:val="center"/>
          </w:tcPr>
          <w:p w:rsidR="004040A9" w:rsidRPr="00C019F1" w:rsidRDefault="00125DC4" w:rsidP="00383C95">
            <w:pPr>
              <w:jc w:val="center"/>
              <w:rPr>
                <w:rFonts w:eastAsia="Calibri"/>
                <w:sz w:val="22"/>
                <w:szCs w:val="22"/>
                <w:lang w:eastAsia="en-US"/>
              </w:rPr>
            </w:pPr>
            <w:r>
              <w:rPr>
                <w:rFonts w:eastAsia="Calibri"/>
                <w:sz w:val="22"/>
                <w:szCs w:val="22"/>
                <w:lang w:eastAsia="en-US"/>
              </w:rPr>
              <w:t xml:space="preserve"> </w:t>
            </w:r>
            <w:r w:rsidR="004040A9" w:rsidRPr="00C019F1">
              <w:rPr>
                <w:rFonts w:eastAsia="Calibri"/>
                <w:sz w:val="22"/>
                <w:szCs w:val="22"/>
                <w:lang w:eastAsia="en-US"/>
              </w:rPr>
              <w:t>548</w:t>
            </w:r>
          </w:p>
        </w:tc>
        <w:tc>
          <w:tcPr>
            <w:tcW w:w="1002" w:type="dxa"/>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56</w:t>
            </w:r>
            <w:r w:rsidR="00125DC4">
              <w:rPr>
                <w:rFonts w:eastAsia="Calibri"/>
                <w:sz w:val="22"/>
                <w:szCs w:val="22"/>
                <w:lang w:eastAsia="en-US"/>
              </w:rPr>
              <w:t xml:space="preserve"> </w:t>
            </w:r>
            <w:r w:rsidRPr="00C019F1">
              <w:rPr>
                <w:rFonts w:eastAsia="Calibri"/>
                <w:sz w:val="22"/>
                <w:szCs w:val="22"/>
                <w:lang w:eastAsia="en-US"/>
              </w:rPr>
              <w:t>%</w:t>
            </w:r>
          </w:p>
        </w:tc>
      </w:tr>
      <w:tr w:rsidR="004040A9" w:rsidRPr="00C019F1" w:rsidTr="00383C95">
        <w:tc>
          <w:tcPr>
            <w:tcW w:w="2531" w:type="dxa"/>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Realschulen</w:t>
            </w:r>
          </w:p>
        </w:tc>
        <w:tc>
          <w:tcPr>
            <w:tcW w:w="2530" w:type="dxa"/>
            <w:shd w:val="clear" w:color="auto" w:fill="auto"/>
            <w:vAlign w:val="center"/>
          </w:tcPr>
          <w:p w:rsidR="004040A9" w:rsidRPr="00C019F1" w:rsidRDefault="00125DC4" w:rsidP="00383C95">
            <w:pPr>
              <w:jc w:val="center"/>
              <w:rPr>
                <w:rFonts w:eastAsia="Calibri"/>
                <w:sz w:val="22"/>
                <w:szCs w:val="22"/>
                <w:lang w:eastAsia="en-US"/>
              </w:rPr>
            </w:pPr>
            <w:r>
              <w:rPr>
                <w:rFonts w:eastAsia="Calibri"/>
                <w:sz w:val="22"/>
                <w:szCs w:val="22"/>
                <w:lang w:eastAsia="en-US"/>
              </w:rPr>
              <w:t xml:space="preserve"> </w:t>
            </w:r>
            <w:r w:rsidR="004040A9" w:rsidRPr="00C019F1">
              <w:rPr>
                <w:rFonts w:eastAsia="Calibri"/>
                <w:sz w:val="22"/>
                <w:szCs w:val="22"/>
                <w:lang w:eastAsia="en-US"/>
              </w:rPr>
              <w:t>252</w:t>
            </w:r>
          </w:p>
        </w:tc>
        <w:tc>
          <w:tcPr>
            <w:tcW w:w="1002" w:type="dxa"/>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67</w:t>
            </w:r>
            <w:r w:rsidR="00125DC4">
              <w:rPr>
                <w:rFonts w:eastAsia="Calibri"/>
                <w:sz w:val="22"/>
                <w:szCs w:val="22"/>
                <w:lang w:eastAsia="en-US"/>
              </w:rPr>
              <w:t xml:space="preserve"> </w:t>
            </w:r>
            <w:r w:rsidRPr="00C019F1">
              <w:rPr>
                <w:rFonts w:eastAsia="Calibri"/>
                <w:sz w:val="22"/>
                <w:szCs w:val="22"/>
                <w:lang w:eastAsia="en-US"/>
              </w:rPr>
              <w:t>%</w:t>
            </w:r>
          </w:p>
        </w:tc>
      </w:tr>
      <w:tr w:rsidR="004040A9" w:rsidRPr="00C019F1" w:rsidTr="00383C95">
        <w:tc>
          <w:tcPr>
            <w:tcW w:w="2531" w:type="dxa"/>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Gymnasien</w:t>
            </w:r>
          </w:p>
        </w:tc>
        <w:tc>
          <w:tcPr>
            <w:tcW w:w="2530" w:type="dxa"/>
            <w:shd w:val="clear" w:color="auto" w:fill="auto"/>
            <w:vAlign w:val="center"/>
          </w:tcPr>
          <w:p w:rsidR="004040A9" w:rsidRPr="00C019F1" w:rsidRDefault="00125DC4" w:rsidP="00383C95">
            <w:pPr>
              <w:jc w:val="center"/>
              <w:rPr>
                <w:rFonts w:eastAsia="Calibri"/>
                <w:sz w:val="22"/>
                <w:szCs w:val="22"/>
                <w:lang w:eastAsia="en-US"/>
              </w:rPr>
            </w:pPr>
            <w:r>
              <w:rPr>
                <w:rFonts w:eastAsia="Calibri"/>
                <w:sz w:val="22"/>
                <w:szCs w:val="22"/>
                <w:lang w:eastAsia="en-US"/>
              </w:rPr>
              <w:t xml:space="preserve"> </w:t>
            </w:r>
            <w:r w:rsidR="004040A9" w:rsidRPr="00C019F1">
              <w:rPr>
                <w:rFonts w:eastAsia="Calibri"/>
                <w:sz w:val="22"/>
                <w:szCs w:val="22"/>
                <w:lang w:eastAsia="en-US"/>
              </w:rPr>
              <w:t>339</w:t>
            </w:r>
          </w:p>
        </w:tc>
        <w:tc>
          <w:tcPr>
            <w:tcW w:w="1002" w:type="dxa"/>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79</w:t>
            </w:r>
            <w:r w:rsidR="00125DC4">
              <w:rPr>
                <w:rFonts w:eastAsia="Calibri"/>
                <w:sz w:val="22"/>
                <w:szCs w:val="22"/>
                <w:lang w:eastAsia="en-US"/>
              </w:rPr>
              <w:t xml:space="preserve"> </w:t>
            </w:r>
            <w:r w:rsidRPr="00C019F1">
              <w:rPr>
                <w:rFonts w:eastAsia="Calibri"/>
                <w:sz w:val="22"/>
                <w:szCs w:val="22"/>
                <w:lang w:eastAsia="en-US"/>
              </w:rPr>
              <w:t>%</w:t>
            </w:r>
          </w:p>
        </w:tc>
      </w:tr>
      <w:tr w:rsidR="004040A9" w:rsidRPr="00C019F1" w:rsidTr="00383C95">
        <w:tc>
          <w:tcPr>
            <w:tcW w:w="2531" w:type="dxa"/>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Förderschulen</w:t>
            </w:r>
          </w:p>
        </w:tc>
        <w:tc>
          <w:tcPr>
            <w:tcW w:w="2530" w:type="dxa"/>
            <w:shd w:val="clear" w:color="auto" w:fill="auto"/>
            <w:vAlign w:val="center"/>
          </w:tcPr>
          <w:p w:rsidR="004040A9" w:rsidRPr="00C019F1" w:rsidRDefault="00125DC4" w:rsidP="00383C95">
            <w:pPr>
              <w:jc w:val="center"/>
              <w:rPr>
                <w:rFonts w:eastAsia="Calibri"/>
                <w:sz w:val="22"/>
                <w:szCs w:val="22"/>
                <w:lang w:eastAsia="en-US"/>
              </w:rPr>
            </w:pPr>
            <w:r>
              <w:rPr>
                <w:rFonts w:eastAsia="Calibri"/>
                <w:sz w:val="22"/>
                <w:szCs w:val="22"/>
                <w:lang w:eastAsia="en-US"/>
              </w:rPr>
              <w:t xml:space="preserve"> </w:t>
            </w:r>
            <w:r w:rsidR="004040A9" w:rsidRPr="00C019F1">
              <w:rPr>
                <w:rFonts w:eastAsia="Calibri"/>
                <w:sz w:val="22"/>
                <w:szCs w:val="22"/>
                <w:lang w:eastAsia="en-US"/>
              </w:rPr>
              <w:t>201</w:t>
            </w:r>
          </w:p>
        </w:tc>
        <w:tc>
          <w:tcPr>
            <w:tcW w:w="1002" w:type="dxa"/>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50</w:t>
            </w:r>
            <w:r w:rsidR="00125DC4">
              <w:rPr>
                <w:rFonts w:eastAsia="Calibri"/>
                <w:sz w:val="22"/>
                <w:szCs w:val="22"/>
                <w:lang w:eastAsia="en-US"/>
              </w:rPr>
              <w:t xml:space="preserve"> </w:t>
            </w:r>
            <w:r w:rsidRPr="00C019F1">
              <w:rPr>
                <w:rFonts w:eastAsia="Calibri"/>
                <w:sz w:val="22"/>
                <w:szCs w:val="22"/>
                <w:lang w:eastAsia="en-US"/>
              </w:rPr>
              <w:t>%</w:t>
            </w:r>
          </w:p>
        </w:tc>
      </w:tr>
      <w:tr w:rsidR="004040A9" w:rsidRPr="00C019F1" w:rsidTr="00383C95">
        <w:tc>
          <w:tcPr>
            <w:tcW w:w="2531" w:type="dxa"/>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Berufliche Schulen</w:t>
            </w:r>
          </w:p>
        </w:tc>
        <w:tc>
          <w:tcPr>
            <w:tcW w:w="2530" w:type="dxa"/>
            <w:shd w:val="clear" w:color="auto" w:fill="auto"/>
            <w:vAlign w:val="center"/>
          </w:tcPr>
          <w:p w:rsidR="004040A9" w:rsidRPr="00C019F1" w:rsidRDefault="00125DC4" w:rsidP="00383C95">
            <w:pPr>
              <w:jc w:val="center"/>
              <w:rPr>
                <w:rFonts w:eastAsia="Calibri"/>
                <w:sz w:val="22"/>
                <w:szCs w:val="22"/>
                <w:lang w:eastAsia="en-US"/>
              </w:rPr>
            </w:pPr>
            <w:r>
              <w:rPr>
                <w:rFonts w:eastAsia="Calibri"/>
                <w:sz w:val="22"/>
                <w:szCs w:val="22"/>
                <w:lang w:eastAsia="en-US"/>
              </w:rPr>
              <w:t xml:space="preserve"> </w:t>
            </w:r>
            <w:r w:rsidR="004040A9" w:rsidRPr="00C019F1">
              <w:rPr>
                <w:rFonts w:eastAsia="Calibri"/>
                <w:sz w:val="22"/>
                <w:szCs w:val="22"/>
                <w:lang w:eastAsia="en-US"/>
              </w:rPr>
              <w:t>760</w:t>
            </w:r>
          </w:p>
        </w:tc>
        <w:tc>
          <w:tcPr>
            <w:tcW w:w="1002" w:type="dxa"/>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51</w:t>
            </w:r>
            <w:r w:rsidR="00125DC4">
              <w:rPr>
                <w:rFonts w:eastAsia="Calibri"/>
                <w:sz w:val="22"/>
                <w:szCs w:val="22"/>
                <w:lang w:eastAsia="en-US"/>
              </w:rPr>
              <w:t xml:space="preserve"> </w:t>
            </w:r>
            <w:r w:rsidRPr="00C019F1">
              <w:rPr>
                <w:rFonts w:eastAsia="Calibri"/>
                <w:sz w:val="22"/>
                <w:szCs w:val="22"/>
                <w:lang w:eastAsia="en-US"/>
              </w:rPr>
              <w:t>%</w:t>
            </w:r>
          </w:p>
        </w:tc>
      </w:tr>
      <w:tr w:rsidR="004040A9" w:rsidRPr="00C019F1" w:rsidTr="00383C95">
        <w:tc>
          <w:tcPr>
            <w:tcW w:w="2531" w:type="dxa"/>
            <w:tcBorders>
              <w:bottom w:val="single" w:sz="12" w:space="0" w:color="auto"/>
            </w:tcBorders>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Sonstige Schulen</w:t>
            </w:r>
          </w:p>
        </w:tc>
        <w:tc>
          <w:tcPr>
            <w:tcW w:w="2530" w:type="dxa"/>
            <w:tcBorders>
              <w:bottom w:val="single" w:sz="12" w:space="0" w:color="auto"/>
            </w:tcBorders>
            <w:shd w:val="clear" w:color="auto" w:fill="auto"/>
            <w:vAlign w:val="center"/>
          </w:tcPr>
          <w:p w:rsidR="004040A9" w:rsidRPr="00C019F1" w:rsidRDefault="00125DC4" w:rsidP="00383C95">
            <w:pPr>
              <w:jc w:val="center"/>
              <w:rPr>
                <w:rFonts w:eastAsia="Calibri"/>
                <w:sz w:val="22"/>
                <w:szCs w:val="22"/>
                <w:lang w:eastAsia="en-US"/>
              </w:rPr>
            </w:pPr>
            <w:r>
              <w:rPr>
                <w:rFonts w:eastAsia="Calibri"/>
                <w:sz w:val="22"/>
                <w:szCs w:val="22"/>
                <w:lang w:eastAsia="en-US"/>
              </w:rPr>
              <w:t xml:space="preserve">   </w:t>
            </w:r>
            <w:r w:rsidR="004040A9" w:rsidRPr="00C019F1">
              <w:rPr>
                <w:rFonts w:eastAsia="Calibri"/>
                <w:sz w:val="22"/>
                <w:szCs w:val="22"/>
                <w:lang w:eastAsia="en-US"/>
              </w:rPr>
              <w:t>12</w:t>
            </w:r>
          </w:p>
        </w:tc>
        <w:tc>
          <w:tcPr>
            <w:tcW w:w="1002" w:type="dxa"/>
            <w:tcBorders>
              <w:bottom w:val="single" w:sz="12" w:space="0" w:color="auto"/>
            </w:tcBorders>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31</w:t>
            </w:r>
            <w:r w:rsidR="00125DC4">
              <w:rPr>
                <w:rFonts w:eastAsia="Calibri"/>
                <w:sz w:val="22"/>
                <w:szCs w:val="22"/>
                <w:lang w:eastAsia="en-US"/>
              </w:rPr>
              <w:t xml:space="preserve"> </w:t>
            </w:r>
            <w:r w:rsidRPr="00C019F1">
              <w:rPr>
                <w:rFonts w:eastAsia="Calibri"/>
                <w:sz w:val="22"/>
                <w:szCs w:val="22"/>
                <w:lang w:eastAsia="en-US"/>
              </w:rPr>
              <w:t>%</w:t>
            </w:r>
          </w:p>
        </w:tc>
      </w:tr>
      <w:tr w:rsidR="004040A9" w:rsidRPr="00C019F1" w:rsidTr="00383C95">
        <w:tc>
          <w:tcPr>
            <w:tcW w:w="2531" w:type="dxa"/>
            <w:tcBorders>
              <w:top w:val="single" w:sz="12" w:space="0" w:color="auto"/>
            </w:tcBorders>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Insgesamt</w:t>
            </w:r>
          </w:p>
        </w:tc>
        <w:tc>
          <w:tcPr>
            <w:tcW w:w="2530" w:type="dxa"/>
            <w:tcBorders>
              <w:top w:val="single" w:sz="12" w:space="0" w:color="auto"/>
            </w:tcBorders>
            <w:shd w:val="clear" w:color="auto" w:fill="auto"/>
            <w:vAlign w:val="center"/>
          </w:tcPr>
          <w:p w:rsidR="004040A9" w:rsidRPr="00C019F1" w:rsidRDefault="004040A9" w:rsidP="00383C95">
            <w:pPr>
              <w:jc w:val="center"/>
              <w:rPr>
                <w:rFonts w:eastAsia="Calibri"/>
                <w:sz w:val="22"/>
                <w:szCs w:val="22"/>
                <w:lang w:eastAsia="en-US"/>
              </w:rPr>
            </w:pPr>
            <w:r w:rsidRPr="00C019F1">
              <w:rPr>
                <w:rFonts w:eastAsia="Calibri"/>
                <w:sz w:val="22"/>
                <w:szCs w:val="22"/>
                <w:lang w:eastAsia="en-US"/>
              </w:rPr>
              <w:t>3.019</w:t>
            </w:r>
          </w:p>
        </w:tc>
        <w:tc>
          <w:tcPr>
            <w:tcW w:w="1002" w:type="dxa"/>
            <w:tcBorders>
              <w:top w:val="single" w:sz="12" w:space="0" w:color="auto"/>
            </w:tcBorders>
            <w:shd w:val="clear" w:color="auto" w:fill="auto"/>
          </w:tcPr>
          <w:p w:rsidR="004040A9" w:rsidRPr="00C019F1" w:rsidRDefault="004040A9" w:rsidP="00294419">
            <w:pPr>
              <w:rPr>
                <w:rFonts w:eastAsia="Calibri"/>
                <w:sz w:val="22"/>
                <w:szCs w:val="22"/>
                <w:lang w:eastAsia="en-US"/>
              </w:rPr>
            </w:pPr>
            <w:r w:rsidRPr="00C019F1">
              <w:rPr>
                <w:rFonts w:eastAsia="Calibri"/>
                <w:sz w:val="22"/>
                <w:szCs w:val="22"/>
                <w:lang w:eastAsia="en-US"/>
              </w:rPr>
              <w:t>50</w:t>
            </w:r>
            <w:r w:rsidR="00125DC4">
              <w:rPr>
                <w:rFonts w:eastAsia="Calibri"/>
                <w:sz w:val="22"/>
                <w:szCs w:val="22"/>
                <w:lang w:eastAsia="en-US"/>
              </w:rPr>
              <w:t xml:space="preserve"> </w:t>
            </w:r>
            <w:r w:rsidRPr="00C019F1">
              <w:rPr>
                <w:rFonts w:eastAsia="Calibri"/>
                <w:sz w:val="22"/>
                <w:szCs w:val="22"/>
                <w:lang w:eastAsia="en-US"/>
              </w:rPr>
              <w:t>%</w:t>
            </w:r>
          </w:p>
        </w:tc>
      </w:tr>
    </w:tbl>
    <w:p w:rsidR="003D1E3B" w:rsidRDefault="006E4BC2" w:rsidP="006E4BC2">
      <w:pPr>
        <w:pStyle w:val="LTAntwortRessortText"/>
        <w:rPr>
          <w:u w:val="single"/>
        </w:rPr>
      </w:pPr>
      <w:r>
        <w:t>Insgesamt sind 16.543 Zugangspunkte (Access Points) an den Schulen mit WLAN vorhanden, d.</w:t>
      </w:r>
      <w:r w:rsidR="004040A9">
        <w:t> </w:t>
      </w:r>
      <w:r>
        <w:t>h. durchschnittlich sind an den rund 3.000 Schulen mit WLAN rund 5,5 Access Points vorhanden.</w:t>
      </w:r>
    </w:p>
    <w:p w:rsidR="006E4BC2" w:rsidRPr="004040A9" w:rsidRDefault="006E4BC2" w:rsidP="006E4BC2">
      <w:pPr>
        <w:pStyle w:val="LTAntwortRessortText"/>
        <w:rPr>
          <w:u w:val="single"/>
        </w:rPr>
      </w:pPr>
      <w:r w:rsidRPr="004040A9">
        <w:rPr>
          <w:u w:val="single"/>
        </w:rPr>
        <w:t xml:space="preserve">Zum Vergleich: </w:t>
      </w:r>
    </w:p>
    <w:p w:rsidR="006E4BC2" w:rsidRDefault="006E4BC2" w:rsidP="004040A9">
      <w:pPr>
        <w:pStyle w:val="LTAntwortRessortText"/>
        <w:spacing w:before="120"/>
      </w:pPr>
      <w:r>
        <w:t>2009 gab es noch 1.295 Schulen mit WLAN (24</w:t>
      </w:r>
      <w:r w:rsidR="004A62EF">
        <w:t>Prozent</w:t>
      </w:r>
      <w:r>
        <w:t>) mit 3.200 Access Points (d.</w:t>
      </w:r>
      <w:r w:rsidR="004040A9">
        <w:t> </w:t>
      </w:r>
      <w:r>
        <w:t>h. durchschnittlich 2,5 Access Points pro Schule).</w:t>
      </w:r>
    </w:p>
    <w:p w:rsidR="006E4BC2" w:rsidRDefault="006E4BC2" w:rsidP="006E4BC2">
      <w:pPr>
        <w:pStyle w:val="LTAntwortRessortText"/>
      </w:pPr>
      <w:r>
        <w:t xml:space="preserve">Insgesamt hat sich die Anzahl der Schulen mit WLAN seit 2009 mehr als verdoppelt, die Anzahl der Access Points an den Schulen im gleichen Zeitraum </w:t>
      </w:r>
      <w:r w:rsidR="004040A9">
        <w:t>m</w:t>
      </w:r>
      <w:r>
        <w:t>ehr als verfünffacht, was für einen systematis</w:t>
      </w:r>
      <w:r w:rsidR="004040A9">
        <w:t>cheren und flächendeckenden Ein</w:t>
      </w:r>
      <w:r>
        <w:t>satz des WLAN an den Schulen spricht.</w:t>
      </w:r>
    </w:p>
    <w:p w:rsidR="006E4BC2" w:rsidRDefault="006E4BC2" w:rsidP="006E4BC2">
      <w:pPr>
        <w:pStyle w:val="LTAntwortRessortText"/>
      </w:pPr>
      <w:r>
        <w:t>Eine Aufschlüsselung der gewünschten Daten nach Schularten, Regierungsbezirken und dort ansässigen Landkreisen und kreisfreien St</w:t>
      </w:r>
      <w:r w:rsidR="004040A9">
        <w:t>ädten kann in der für die Beant</w:t>
      </w:r>
      <w:r>
        <w:t>wortung einer Anfrage zum Plenum nach der Geschäftsordnung des Landtags vorgesehenen Frist nicht erfolgen.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Margit</w:t>
            </w:r>
            <w:r w:rsidRPr="006E4BC2">
              <w:rPr>
                <w:b/>
              </w:rPr>
              <w:br/>
              <w:t>Wild</w:t>
            </w:r>
            <w:r w:rsidRPr="006E4BC2">
              <w:rPr>
                <w:b/>
              </w:rPr>
              <w:br/>
            </w:r>
            <w:r w:rsidRPr="006E4BC2">
              <w:t>(SPD)</w:t>
            </w:r>
            <w:r>
              <w:fldChar w:fldCharType="begin"/>
            </w:r>
            <w:r>
              <w:instrText xml:space="preserve"> TC </w:instrText>
            </w:r>
            <w:r w:rsidR="004A62EF">
              <w:instrText>„</w:instrText>
            </w:r>
            <w:bookmarkStart w:id="33" w:name="_Toc511290252"/>
            <w:r>
              <w:instrText>Wild, Margit (SPD)</w:instrText>
            </w:r>
            <w:r>
              <w:br/>
              <w:instrText>Kinder mit sonderpädagogischem Förderbedarf an bayerischen Schulen</w:instrText>
            </w:r>
            <w:bookmarkEnd w:id="33"/>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wie viele Kinder und Jugendliche mit welchem sonderpädagogischen Förderbedarf wurden in den Schuljahren 2016/2017 und 2017/2018 in den bayerischen Schulen unterrichtet (bitte als Gesamtzahl und als Anteil an der Gesamtschülerzahl für die Schularten getrennt angeben)?</w:t>
            </w:r>
          </w:p>
          <w:p w:rsidR="006E4BC2" w:rsidRDefault="006E4BC2" w:rsidP="006E4BC2">
            <w:pPr>
              <w:pStyle w:val="LTAnfrageText"/>
            </w:pPr>
          </w:p>
        </w:tc>
      </w:tr>
    </w:tbl>
    <w:p w:rsidR="006E4BC2" w:rsidRDefault="006E4BC2" w:rsidP="00276106">
      <w:pPr>
        <w:pStyle w:val="LTUeberschrAntwortRessort"/>
        <w:spacing w:before="0"/>
      </w:pPr>
      <w:r>
        <w:t>Antwort des Staatsministeriums für Unterricht und Kultus</w:t>
      </w:r>
    </w:p>
    <w:p w:rsidR="006E4BC2" w:rsidRDefault="006E4BC2" w:rsidP="006E4BC2">
      <w:pPr>
        <w:pStyle w:val="LTAntwortRessortText"/>
      </w:pPr>
      <w:r>
        <w:t>Die beiliegende Tabelle</w:t>
      </w:r>
      <w:r w:rsidR="007F507C">
        <w:t>*</w:t>
      </w:r>
      <w:r>
        <w:t xml:space="preserve"> enthält die Anzahl der Schüler</w:t>
      </w:r>
      <w:r w:rsidR="007F507C">
        <w:t>innen und Schüler</w:t>
      </w:r>
      <w:r>
        <w:t xml:space="preserve"> mit sonderpädagogischer Förderung an allgemein bildenden Schulen in Bayern (ohne Schulen des zweiten Bildungswegs) im Schuljahr 2016/2017 in Aufgliederung nach den einzelnen Förderschwerpunkten. </w:t>
      </w:r>
    </w:p>
    <w:p w:rsidR="006E4BC2" w:rsidRDefault="006E4BC2" w:rsidP="006E4BC2">
      <w:pPr>
        <w:pStyle w:val="LTAntwortRessortText"/>
      </w:pPr>
      <w:r>
        <w:t xml:space="preserve">Zusätzlich ist für jede Schulart der Anteil der sonderpädagogisch geförderten Schüler an der jeweiligen Schülergesamtzahl ausgewiesen. </w:t>
      </w:r>
    </w:p>
    <w:p w:rsidR="006E4BC2" w:rsidRDefault="006E4BC2" w:rsidP="006E4BC2">
      <w:pPr>
        <w:pStyle w:val="LTAntwortRessortText"/>
      </w:pPr>
      <w:r>
        <w:t xml:space="preserve">Die Unterschiede hinsichtlich der Schülerzahlen an Förderzentren und Realschulen zur sonderpädagogischen Förderung insgesamt und der Zahl der sich darunter befindlichen Schüler mit sonderpädagogischer Förderung erklären sich wie folgt: </w:t>
      </w:r>
    </w:p>
    <w:p w:rsidR="006E4BC2" w:rsidRDefault="006E4BC2" w:rsidP="007F507C">
      <w:pPr>
        <w:pStyle w:val="LTAntwortRessortText"/>
        <w:spacing w:before="120"/>
      </w:pPr>
      <w:r>
        <w:t xml:space="preserve">Förderschulen unterrichten in offenen Klassen nach Art. 30a Abs. 7 Nr. 3 </w:t>
      </w:r>
      <w:r w:rsidR="007F507C">
        <w:t>Bayerische</w:t>
      </w:r>
      <w:r w:rsidR="003D1E3B">
        <w:t>s</w:t>
      </w:r>
      <w:r w:rsidR="007F507C">
        <w:t xml:space="preserve"> Gesetz</w:t>
      </w:r>
      <w:r>
        <w:t xml:space="preserve"> über das Erziehungs-</w:t>
      </w:r>
      <w:r w:rsidR="003D1E3B">
        <w:t xml:space="preserve"> </w:t>
      </w:r>
      <w:r>
        <w:t>und Unterrichtswesen (BayEUG) auch Schüler</w:t>
      </w:r>
      <w:r w:rsidR="007F507C">
        <w:t>innen und Schüler</w:t>
      </w:r>
      <w:r>
        <w:t xml:space="preserve"> ohne sonderpädagogischen Förderbedarf und ermöglichen so gemeinsamen Unterricht auch an ihren Schulen. Bayern verfolgt insoweit den Weg der Inklusion durch eine Vielfalt schulischer Angebote. An den Förderzentren wurden im Schuljahr 2016/2017 insgesamt 354 Schüler und an den Realschulen zur sonderpädagogischen Förderung 140 Schüler ohne sonderpädagogischen Förderbedarf unterrichtet. Darüber hinaus gab es an Förderzentren 2.663 Schüler in Klassen für Kranke.</w:t>
      </w:r>
    </w:p>
    <w:p w:rsidR="006E4BC2" w:rsidRDefault="006E4BC2" w:rsidP="006E4BC2">
      <w:pPr>
        <w:pStyle w:val="LTAntwortRessortText"/>
      </w:pPr>
      <w:r>
        <w:t>Zu den geringeren Schülerz</w:t>
      </w:r>
      <w:r w:rsidR="007F507C">
        <w:t>ahlen bzw. Anteilen von Schülerinnen und Schülern</w:t>
      </w:r>
      <w:r>
        <w:t xml:space="preserve"> m</w:t>
      </w:r>
      <w:r w:rsidR="003D1E3B">
        <w:t>it sonderpädagogischer</w:t>
      </w:r>
      <w:r>
        <w:t xml:space="preserve"> Förderung an Realschule und Gymnasium ist Folgendes zu beachten: Inklusion ist nach Art. 2 Abs. 2 BayEUG Aufgabe aller Schulen, d.</w:t>
      </w:r>
      <w:r w:rsidR="007F507C">
        <w:t> </w:t>
      </w:r>
      <w:r>
        <w:t xml:space="preserve">h. auch der weiterführenden Schulen und wird dort auch umgesetzt. Es gelten nach Art. 30a Abs. 5 Satz 2 BayEUG die allgemeinen schulartbezogenen Voraussetzungen für den Zugang (vgl. </w:t>
      </w:r>
      <w:r w:rsidR="007F507C">
        <w:t>die jeweiligen</w:t>
      </w:r>
      <w:r>
        <w:t xml:space="preserve"> Übertrittsbedingungen) gleichermaßen für Schüler</w:t>
      </w:r>
      <w:r w:rsidR="007F507C">
        <w:t>innen und Schüler</w:t>
      </w:r>
      <w:r>
        <w:t xml:space="preserve"> mit und ohne sonderpädagogischem Förderbedarf. Die Mehrzahl der Schüler</w:t>
      </w:r>
      <w:r w:rsidR="007F507C">
        <w:t>innen und Schüler</w:t>
      </w:r>
      <w:r>
        <w:t xml:space="preserve"> mit sonderpädagogischem Förderbedarf hat ihren Förderschwerpunkt im Bereich Lernen oder geistige Entwicklung, ggf. auch zusätzlich zu weiteren Förderschwerpunkten wie Sehen, Hören sowie körperliche und motorische Entwicklung. Die Zahl der Schüler</w:t>
      </w:r>
      <w:r w:rsidR="007F507C">
        <w:t>innen und Schüler</w:t>
      </w:r>
      <w:r>
        <w:t xml:space="preserve"> mit sonderpädagogischem Förderbedarf, die die Zugangsvoraussetzungen zum Besuch einer Realschule und Gymnasium erfüllt, ist daher vergleichsweise gering.</w:t>
      </w:r>
    </w:p>
    <w:p w:rsidR="006E4BC2" w:rsidRDefault="006E4BC2" w:rsidP="006E4BC2">
      <w:pPr>
        <w:pStyle w:val="LTAntwortRessortText"/>
      </w:pPr>
      <w:r>
        <w:t>Die amtlichen Schülerdaten für das Schuljahr 2017/2018 stehen für die allgemein bildenden Schulen derzeit noch nicht vollständig plausibilisiert zur Verfügung.</w:t>
      </w:r>
    </w:p>
    <w:p w:rsidR="007F507C" w:rsidRDefault="007F507C" w:rsidP="00276106">
      <w:pPr>
        <w:pStyle w:val="LTAntwortRessortText"/>
        <w:rPr>
          <w:rFonts w:cs="Arial"/>
          <w:b/>
          <w:sz w:val="22"/>
          <w:szCs w:val="22"/>
        </w:rPr>
      </w:pPr>
      <w:r w:rsidRPr="00276106">
        <w:rPr>
          <w:sz w:val="24"/>
          <w:vertAlign w:val="superscript"/>
        </w:rPr>
        <w:t xml:space="preserve">*) Von einem Abdruck wurde abgesehen. Die Tabelle ist als pdf-Dokument </w:t>
      </w:r>
      <w:hyperlink r:id="rId18" w:history="1">
        <w:r w:rsidRPr="005A7511">
          <w:rPr>
            <w:rStyle w:val="Hyperlink"/>
            <w:sz w:val="24"/>
            <w:vertAlign w:val="superscript"/>
          </w:rPr>
          <w:t>hier</w:t>
        </w:r>
      </w:hyperlink>
      <w:r w:rsidRPr="00276106">
        <w:rPr>
          <w:sz w:val="24"/>
          <w:vertAlign w:val="superscript"/>
        </w:rPr>
        <w:t xml:space="preserve"> einsehbar.</w:t>
      </w:r>
      <w:r>
        <w:br w:type="page"/>
      </w:r>
    </w:p>
    <w:p w:rsidR="006E4BC2" w:rsidRDefault="006E4BC2" w:rsidP="006E4BC2">
      <w:pPr>
        <w:pStyle w:val="LTUeberschrRessort"/>
      </w:pPr>
      <w:r>
        <w:t>Geschäftsbereich des Staatsministeriums der Finanzen, für Landesentwicklung und Heimat</w:t>
      </w:r>
      <w:r>
        <w:fldChar w:fldCharType="begin"/>
      </w:r>
      <w:r>
        <w:instrText xml:space="preserve"> TC </w:instrText>
      </w:r>
      <w:r w:rsidR="004A62EF">
        <w:instrText>„</w:instrText>
      </w:r>
      <w:bookmarkStart w:id="34" w:name="_Toc511290253"/>
      <w:r>
        <w:instrText>Geschäftsbereich des Staatsministeriums der Finanzen, für Landesentwicklung und Heimat</w:instrText>
      </w:r>
      <w:bookmarkEnd w:id="34"/>
      <w:r w:rsidR="004A62E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Jürgen</w:t>
            </w:r>
            <w:r w:rsidRPr="006E4BC2">
              <w:rPr>
                <w:b/>
              </w:rPr>
              <w:br/>
              <w:t>Mistol</w:t>
            </w:r>
            <w:r w:rsidRPr="006E4BC2">
              <w:rPr>
                <w:b/>
              </w:rPr>
              <w:br/>
            </w:r>
            <w:r w:rsidRPr="006E4BC2">
              <w:t>(BÜNDNIS 90/DIE GRÜNEN)</w:t>
            </w:r>
            <w:r>
              <w:fldChar w:fldCharType="begin"/>
            </w:r>
            <w:r>
              <w:instrText xml:space="preserve"> TC </w:instrText>
            </w:r>
            <w:r w:rsidR="004A62EF">
              <w:instrText>„</w:instrText>
            </w:r>
            <w:bookmarkStart w:id="35" w:name="_Toc511290254"/>
            <w:r>
              <w:instrText>Mistol, Jürgen (BÜNDNIS 90/DIE GRÜNEN)</w:instrText>
            </w:r>
            <w:r>
              <w:br/>
              <w:instrText>Öffentliche Schwimmbäder in der Oberpfalz</w:instrText>
            </w:r>
            <w:bookmarkEnd w:id="35"/>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welche öffentlichen Schwimmbäder in der Oberpfalz haben in den letzten zehn Jahren staatliche Fördermittel für Bauinvestitionen bzw. Sanierungsmaßnahmen erhalten (bitte aufgeschlüsselt nach kreisfreien Städten und Landkreisen und jeweiligen Maßnahmen), an welchen Grundschulen kann kein regelmäßiger Schwimmunterricht angeboten werden und was sind jeweils die Gründe hierfür?</w:t>
            </w:r>
          </w:p>
          <w:p w:rsidR="006E4BC2" w:rsidRDefault="006E4BC2" w:rsidP="006E4BC2">
            <w:pPr>
              <w:pStyle w:val="LTAnfrageText"/>
            </w:pPr>
          </w:p>
        </w:tc>
      </w:tr>
    </w:tbl>
    <w:p w:rsidR="006E4BC2" w:rsidRDefault="006E4BC2" w:rsidP="00276106">
      <w:pPr>
        <w:pStyle w:val="LTUeberschrAntwortRessort"/>
        <w:spacing w:before="0"/>
      </w:pPr>
      <w:r>
        <w:t>Antwort des Staatsministeriums der Finanzen, für Landesentwicklung und Heimat</w:t>
      </w:r>
    </w:p>
    <w:p w:rsidR="006E4BC2" w:rsidRDefault="006E4BC2" w:rsidP="006E4BC2">
      <w:pPr>
        <w:pStyle w:val="LTAntwortRessortText"/>
      </w:pPr>
      <w:r>
        <w:t xml:space="preserve">Im Rahmen des kommunalen Finanzausgleichs fördert der Freistaat </w:t>
      </w:r>
      <w:r w:rsidR="00CF22FB">
        <w:t xml:space="preserve">Bayern </w:t>
      </w:r>
      <w:r>
        <w:t xml:space="preserve">nach Art. 10 </w:t>
      </w:r>
      <w:r w:rsidR="00CF22FB">
        <w:t>Bayerisches Finanzausgleichsgesetz (</w:t>
      </w:r>
      <w:r>
        <w:t>BayFAG</w:t>
      </w:r>
      <w:r w:rsidR="00CF22FB">
        <w:t>)</w:t>
      </w:r>
      <w:r>
        <w:t xml:space="preserve"> u. a. Neu-, Um- und Erwei</w:t>
      </w:r>
      <w:r w:rsidR="00CF22FB">
        <w:t>terungsbauten sowie Generalsan</w:t>
      </w:r>
      <w:r>
        <w:t>ierungen kommunaler Hallenschwimmbäder, soweit diese Einrichtungen Schulsportzwecken dienen. Die Förderung bezieht sich ausschließlich auf den schulisch genutzten Anteil der Sportan</w:t>
      </w:r>
      <w:r w:rsidR="00CF22FB">
        <w:t>lage und bedarf einer schulauf</w:t>
      </w:r>
      <w:r>
        <w:t>sichtlichen Genehmigung.</w:t>
      </w:r>
    </w:p>
    <w:p w:rsidR="006E4BC2" w:rsidRDefault="006E4BC2" w:rsidP="006E4BC2">
      <w:pPr>
        <w:pStyle w:val="LTAntwortRessortText"/>
      </w:pPr>
      <w:r>
        <w:t>Die Ausgabemittel zur Sanierung sämtliche</w:t>
      </w:r>
      <w:r w:rsidR="00CF22FB">
        <w:t>r Schulsportanlagen (Schulturn</w:t>
      </w:r>
      <w:r>
        <w:t>hallen, Freisportanlagen und Schulschwimmbäder) werden in einer Summe erfasst. Eine Untergliederung nach Art der Sc</w:t>
      </w:r>
      <w:r w:rsidR="00CF22FB">
        <w:t>hulsportanlage ist förderrecht</w:t>
      </w:r>
      <w:r>
        <w:t>lich nicht erforderlich und wird daher auch nicht vorgenommen.</w:t>
      </w:r>
    </w:p>
    <w:p w:rsidR="006E4BC2" w:rsidRDefault="006E4BC2" w:rsidP="006E4BC2">
      <w:pPr>
        <w:pStyle w:val="LTAntwortRessortText"/>
      </w:pPr>
      <w:r>
        <w:t>Im Zeitraum 2008 bis 2017 wurden zur Förderung von Baumaßnahmen an Schulsportanlagen Zuweisungen nach Art. 10 B</w:t>
      </w:r>
      <w:r w:rsidR="00CF22FB">
        <w:t>ayFAG in der Stadt Regens</w:t>
      </w:r>
      <w:r>
        <w:t xml:space="preserve">burg von insgesamt 6,8 Mio. </w:t>
      </w:r>
      <w:r w:rsidR="004A62EF">
        <w:t>Euro</w:t>
      </w:r>
      <w:r>
        <w:t xml:space="preserve"> bewilligt; in der Stadt Amberg 1,1 Mio. </w:t>
      </w:r>
      <w:r w:rsidR="004A62EF">
        <w:t>Euro</w:t>
      </w:r>
      <w:r>
        <w:t>, in der Stadt Weiden i.</w:t>
      </w:r>
      <w:r w:rsidR="00CF22FB">
        <w:t xml:space="preserve"> </w:t>
      </w:r>
      <w:r>
        <w:t>d.</w:t>
      </w:r>
      <w:r w:rsidR="00CF22FB">
        <w:t xml:space="preserve"> Oberpfalz</w:t>
      </w:r>
      <w:r>
        <w:t xml:space="preserve">. 300.000 </w:t>
      </w:r>
      <w:r w:rsidR="004A62EF">
        <w:t>Euro</w:t>
      </w:r>
      <w:r>
        <w:t>, im Landkreis Amberg-Sulzbach</w:t>
      </w:r>
      <w:r w:rsidR="00CF22FB">
        <w:t xml:space="preserve"> </w:t>
      </w:r>
      <w:r>
        <w:t xml:space="preserve">10,2 Mio. </w:t>
      </w:r>
      <w:r w:rsidR="004A62EF">
        <w:t>Euro</w:t>
      </w:r>
      <w:r>
        <w:t xml:space="preserve">, im Landkreis Cham 16,1 Mio. </w:t>
      </w:r>
      <w:r w:rsidR="004A62EF">
        <w:t>Euro</w:t>
      </w:r>
      <w:r>
        <w:t>, im Landkreis Neumarkt i.</w:t>
      </w:r>
      <w:r w:rsidR="00CF22FB">
        <w:t> </w:t>
      </w:r>
      <w:r>
        <w:t>d.</w:t>
      </w:r>
      <w:r w:rsidR="00CF22FB">
        <w:t xml:space="preserve"> Oberpfalz</w:t>
      </w:r>
      <w:r>
        <w:t xml:space="preserve">. 3,3 Mio. </w:t>
      </w:r>
      <w:r w:rsidR="004A62EF">
        <w:t>Euro</w:t>
      </w:r>
      <w:r>
        <w:t>, im Landkreis Neustadt a.</w:t>
      </w:r>
      <w:r w:rsidR="00CF22FB">
        <w:t xml:space="preserve"> </w:t>
      </w:r>
      <w:r>
        <w:t>d.</w:t>
      </w:r>
      <w:r w:rsidR="00CF22FB">
        <w:t xml:space="preserve"> </w:t>
      </w:r>
      <w:r>
        <w:t xml:space="preserve">Waldnaab 5,3 Mio. </w:t>
      </w:r>
      <w:r w:rsidR="004A62EF">
        <w:t>Euro</w:t>
      </w:r>
      <w:r>
        <w:t xml:space="preserve">, im Landkreis Regensburg 4,4 Mio. </w:t>
      </w:r>
      <w:r w:rsidR="004A62EF">
        <w:t>Euro</w:t>
      </w:r>
      <w:r>
        <w:t xml:space="preserve">, im Landkreis Schwandorf 3,7 Mio. </w:t>
      </w:r>
      <w:r w:rsidR="004A62EF">
        <w:t>Euro</w:t>
      </w:r>
      <w:r w:rsidR="00CF22FB">
        <w:t xml:space="preserve"> und im Land</w:t>
      </w:r>
      <w:r>
        <w:t xml:space="preserve">kreis Tirschenreuth 2,7 Mio. </w:t>
      </w:r>
      <w:r w:rsidR="004A62EF">
        <w:t>Euro</w:t>
      </w:r>
      <w:r>
        <w:t>.</w:t>
      </w:r>
    </w:p>
    <w:p w:rsidR="006E4BC2" w:rsidRDefault="006E4BC2" w:rsidP="006E4BC2">
      <w:pPr>
        <w:pStyle w:val="LTAntwortRessortText"/>
      </w:pPr>
      <w:r>
        <w:t xml:space="preserve">In Abstimmung mit dem Staatsministerium für Unterricht und Kultus teilt das Staatsministerium der Finanzen, für Landesentwicklung und Heimat mit, dass der Staatsregierung, wie auch in der Antwort vom </w:t>
      </w:r>
      <w:r w:rsidR="00CF22FB">
        <w:t>31.05.</w:t>
      </w:r>
      <w:r>
        <w:t xml:space="preserve">2017 zu den Fragen 47 f. der Interpellation der Fraktion FREIE WÄHLER </w:t>
      </w:r>
      <w:r w:rsidR="004A62EF">
        <w:t>„</w:t>
      </w:r>
      <w:r w:rsidR="00CF22FB">
        <w:t>Bewegtes Ler</w:t>
      </w:r>
      <w:r>
        <w:t>nen 2020</w:t>
      </w:r>
      <w:r w:rsidR="004A62EF">
        <w:t>“</w:t>
      </w:r>
      <w:r w:rsidR="007C0176">
        <w:t xml:space="preserve"> (Drs. </w:t>
      </w:r>
      <w:r>
        <w:t>17/17207) ausgeführt, k</w:t>
      </w:r>
      <w:r w:rsidR="00CF22FB">
        <w:t>eine Kenntnisse darüber vorlie</w:t>
      </w:r>
      <w:r>
        <w:t>gen, an welchen Grundschulen kein regel</w:t>
      </w:r>
      <w:r w:rsidR="00CF22FB">
        <w:t>mäßiger Schwimmunterricht ange</w:t>
      </w:r>
      <w:r>
        <w:t>boten werden kann. Das Vorhalten kommunaler Schwimmbäder liegt in der kommunalen Eigenverantwortung. Bau und Unterhalt öffentlicher Sch</w:t>
      </w:r>
      <w:r w:rsidR="00CF22FB">
        <w:t>wimm</w:t>
      </w:r>
      <w:r>
        <w:t>bäder gehören zu den freiwilligen Aufgaben im eigenen Wirkungskreis der Kommunen. Im Rahmen ihrer Aufgabenw</w:t>
      </w:r>
      <w:r w:rsidR="00CF22FB">
        <w:t>ahrnehmung als schulische Sach</w:t>
      </w:r>
      <w:r>
        <w:t>aufwandsträger sind die Kommunen gehalten, den Schulen die Erteilung von Schwimmunterricht entsprechend den Fac</w:t>
      </w:r>
      <w:r w:rsidR="00CF22FB">
        <w:t>hlehrplänen Sport zu ermögli</w:t>
      </w:r>
      <w:r>
        <w:t>chen, z.</w:t>
      </w:r>
      <w:r w:rsidR="00CF22FB">
        <w:t> </w:t>
      </w:r>
      <w:r>
        <w:t>B. auch durch die Übernahme der Kosten für die Anmietung von Schwimmzeiten in nahe gelegenen Bädern sowie der Transportkosten auf dem Unterrichtsweg.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Verena</w:t>
            </w:r>
            <w:r w:rsidRPr="006E4BC2">
              <w:rPr>
                <w:b/>
              </w:rPr>
              <w:br/>
              <w:t>Osgyan</w:t>
            </w:r>
            <w:r w:rsidRPr="006E4BC2">
              <w:rPr>
                <w:b/>
              </w:rPr>
              <w:br/>
            </w:r>
            <w:r w:rsidRPr="006E4BC2">
              <w:t>(BÜNDNIS 90/DIE GRÜNEN)</w:t>
            </w:r>
            <w:r>
              <w:fldChar w:fldCharType="begin"/>
            </w:r>
            <w:r>
              <w:instrText xml:space="preserve"> TC </w:instrText>
            </w:r>
            <w:r w:rsidR="004A62EF">
              <w:instrText>„</w:instrText>
            </w:r>
            <w:bookmarkStart w:id="36" w:name="_Toc511290255"/>
            <w:r>
              <w:instrText>Osgyan, Verena (BÜNDNIS 90/DIE GRÜNEN)</w:instrText>
            </w:r>
            <w:r>
              <w:br/>
              <w:instrText>Blacklisting im @BayernWLAN</w:instrText>
            </w:r>
            <w:bookmarkEnd w:id="36"/>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276106">
            <w:pPr>
              <w:pStyle w:val="LTAnfrageText"/>
            </w:pPr>
            <w:r>
              <w:t>Ich frage die Staatsregierung, nach welchen Kriterien das Blac</w:t>
            </w:r>
            <w:r w:rsidR="009B5E8F">
              <w:t xml:space="preserve">klisting für Seiten im </w:t>
            </w:r>
            <w:r>
              <w:t>BayernWLAN erfolgt, wel</w:t>
            </w:r>
            <w:r w:rsidR="009B5E8F">
              <w:t xml:space="preserve">che Seiten und Apps derzeit im </w:t>
            </w:r>
            <w:r>
              <w:t>BayernWLAN geblockt sind (bitte auflisten) und auf welchem Weg es möglich ist, Blacklisting-Einträgen zu widersprechen?</w:t>
            </w:r>
          </w:p>
        </w:tc>
      </w:tr>
    </w:tbl>
    <w:p w:rsidR="006E4BC2" w:rsidRDefault="006E4BC2" w:rsidP="006E4BC2">
      <w:pPr>
        <w:pStyle w:val="LTUeberschrAntwortRessort"/>
      </w:pPr>
      <w:r>
        <w:t>Antwort des Staatsministeriums der Finanzen, für Landesentwicklung und Heimat</w:t>
      </w:r>
    </w:p>
    <w:p w:rsidR="006E4BC2" w:rsidRPr="000711EB" w:rsidRDefault="006E4BC2" w:rsidP="006E4BC2">
      <w:pPr>
        <w:pStyle w:val="LTAntwortRessortText"/>
        <w:rPr>
          <w:spacing w:val="-4"/>
        </w:rPr>
      </w:pPr>
      <w:r w:rsidRPr="000711EB">
        <w:rPr>
          <w:spacing w:val="-4"/>
        </w:rPr>
        <w:t>Im BayernWLAN wird der Jugendschutzfilter des JusProg e.V. (</w:t>
      </w:r>
      <w:hyperlink r:id="rId19" w:history="1">
        <w:r w:rsidR="00CF22FB" w:rsidRPr="000711EB">
          <w:rPr>
            <w:rStyle w:val="Hyperlink"/>
            <w:spacing w:val="-4"/>
          </w:rPr>
          <w:t>https://www.jugendschutzprogramm.de/</w:t>
        </w:r>
      </w:hyperlink>
      <w:r w:rsidRPr="000711EB">
        <w:rPr>
          <w:spacing w:val="-4"/>
        </w:rPr>
        <w:t>) v</w:t>
      </w:r>
      <w:r w:rsidR="00CF22FB" w:rsidRPr="000711EB">
        <w:rPr>
          <w:spacing w:val="-4"/>
        </w:rPr>
        <w:t>erwendet, der nicht nu</w:t>
      </w:r>
      <w:r w:rsidR="000711EB">
        <w:rPr>
          <w:spacing w:val="-4"/>
        </w:rPr>
        <w:t>r im Bay</w:t>
      </w:r>
      <w:r w:rsidRPr="000711EB">
        <w:rPr>
          <w:spacing w:val="-4"/>
        </w:rPr>
        <w:t>ernWLAN zum Einsatz kommt. Ziel bei dem eingesetzten Filter ist rein der Jugendschutz, der durch einen unabhängigen</w:t>
      </w:r>
      <w:r w:rsidR="000711EB" w:rsidRPr="000711EB">
        <w:rPr>
          <w:spacing w:val="-4"/>
        </w:rPr>
        <w:t xml:space="preserve"> Dritten, JusProg e.V., bereit</w:t>
      </w:r>
      <w:r w:rsidRPr="000711EB">
        <w:rPr>
          <w:spacing w:val="-4"/>
        </w:rPr>
        <w:t>gestellt wird.</w:t>
      </w:r>
    </w:p>
    <w:p w:rsidR="006E4BC2" w:rsidRDefault="006E4BC2" w:rsidP="006E4BC2">
      <w:pPr>
        <w:pStyle w:val="LTAntwortRessortText"/>
      </w:pPr>
      <w:r>
        <w:t>Es ist einem Website-Betreiber unbenomm</w:t>
      </w:r>
      <w:r w:rsidR="000711EB">
        <w:t>en, mit JusProg e.V. in Verbin</w:t>
      </w:r>
      <w:r>
        <w:t xml:space="preserve">dung zu treten und für eine Freischaltung seiner Internetseite </w:t>
      </w:r>
      <w:r w:rsidR="000711EB">
        <w:t xml:space="preserve">– </w:t>
      </w:r>
      <w:r>
        <w:t xml:space="preserve">ggf. durch eigene Sperrung einzelner Inhalte </w:t>
      </w:r>
      <w:r w:rsidR="000711EB">
        <w:t>–</w:t>
      </w:r>
      <w:r>
        <w:t xml:space="preserve"> zu sorgen.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Florian</w:t>
            </w:r>
            <w:r w:rsidRPr="006E4BC2">
              <w:rPr>
                <w:b/>
              </w:rPr>
              <w:br/>
              <w:t>Streibl</w:t>
            </w:r>
            <w:r w:rsidRPr="006E4BC2">
              <w:rPr>
                <w:b/>
              </w:rPr>
              <w:br/>
            </w:r>
            <w:r w:rsidRPr="006E4BC2">
              <w:t>(FREIE WÄHLER)</w:t>
            </w:r>
            <w:r>
              <w:fldChar w:fldCharType="begin"/>
            </w:r>
            <w:r>
              <w:instrText xml:space="preserve"> TC </w:instrText>
            </w:r>
            <w:r w:rsidR="004A62EF">
              <w:instrText>„</w:instrText>
            </w:r>
            <w:bookmarkStart w:id="37" w:name="_Toc511290256"/>
            <w:r>
              <w:instrText>Streibl, Florian (FREIE WÄHLER)</w:instrText>
            </w:r>
            <w:r>
              <w:br/>
              <w:instrText>Kostensteigerung der Venusgrotte von Schloss Linderhof</w:instrText>
            </w:r>
            <w:bookmarkEnd w:id="37"/>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welche Ursachen liegen der Kostensteigerung bei der Sanierung der Venusgrotte von Schloss Linderhof (Landkreis Garmisch-Partenkirchen) zugrunde?</w:t>
            </w:r>
          </w:p>
          <w:p w:rsidR="006E4BC2" w:rsidRDefault="006E4BC2" w:rsidP="006E4BC2">
            <w:pPr>
              <w:pStyle w:val="LTAnfrageText"/>
            </w:pPr>
          </w:p>
        </w:tc>
      </w:tr>
    </w:tbl>
    <w:p w:rsidR="006E4BC2" w:rsidRDefault="006E4BC2" w:rsidP="006E4BC2">
      <w:pPr>
        <w:pStyle w:val="LTUeberschrAntwortRessort"/>
      </w:pPr>
      <w:r>
        <w:t>Antwort des Staatsministeriums der Finanzen, für Landesentwicklung und Heimat</w:t>
      </w:r>
    </w:p>
    <w:p w:rsidR="006E4BC2" w:rsidRDefault="006E4BC2" w:rsidP="006E4BC2">
      <w:pPr>
        <w:pStyle w:val="LTAntwortRessortText"/>
      </w:pPr>
      <w:r>
        <w:t>Schloss und Park Linderhof bilden eines der vielfältigsten und kunstvollsten Ensembles des 19.</w:t>
      </w:r>
      <w:r w:rsidR="00F45099">
        <w:t> </w:t>
      </w:r>
      <w:r>
        <w:t>Jahrhunderts, das Ludwig II. als einziges seiner Schlossprojekte vollenden konnte.</w:t>
      </w:r>
    </w:p>
    <w:p w:rsidR="006E4BC2" w:rsidRDefault="006E4BC2" w:rsidP="006E4BC2">
      <w:pPr>
        <w:pStyle w:val="LTAntwortRessortText"/>
      </w:pPr>
      <w:r>
        <w:t>Die Venusgrotte, ein unersetzbares wertvolles bayerisches Kulturgut, ist ein einzigartiges Bauwerk in Form einer künstlichen Tropfsteinhöhle und der Höhepunkt der Illusionsarchitektur König Ludwig</w:t>
      </w:r>
      <w:r w:rsidR="00F45099">
        <w:t> </w:t>
      </w:r>
      <w:r>
        <w:t>II.. Um</w:t>
      </w:r>
      <w:r w:rsidR="00F45099">
        <w:t xml:space="preserve"> die Grotte in ver</w:t>
      </w:r>
      <w:r>
        <w:t>schiedenen Farben künstlich beleuchten zu können, wurde eines der ersten Elektrizitätskraftwerke der Welt geschaffen.</w:t>
      </w:r>
    </w:p>
    <w:p w:rsidR="006E4BC2" w:rsidRDefault="006E4BC2" w:rsidP="006E4BC2">
      <w:pPr>
        <w:pStyle w:val="LTAntwortRessortText"/>
      </w:pPr>
      <w:r>
        <w:t>Schon zu Lebzeiten Ludwigs II. traten e</w:t>
      </w:r>
      <w:r w:rsidR="00F45099">
        <w:t>rste Schäden an der Baukonstruktion u. </w:t>
      </w:r>
      <w:r>
        <w:t>a. infolge von Feuchtigkeitsproblemen auf.</w:t>
      </w:r>
    </w:p>
    <w:p w:rsidR="006E4BC2" w:rsidRDefault="006E4BC2" w:rsidP="00F45099">
      <w:pPr>
        <w:pStyle w:val="LTAntwortRessortText"/>
      </w:pPr>
      <w:r>
        <w:t>Im August 2015 starteten zum ersten Mal seit über 100 Jahren die Arbeiten zur grundlegenden Restaurierung und Sa</w:t>
      </w:r>
      <w:r w:rsidR="00F45099">
        <w:t>nierung der Venusgrotte vorwie</w:t>
      </w:r>
      <w:r>
        <w:t xml:space="preserve">gend im Außenbereich. </w:t>
      </w:r>
      <w:r w:rsidR="00F45099">
        <w:t>Im</w:t>
      </w:r>
      <w:r>
        <w:t xml:space="preserve"> Jahr </w:t>
      </w:r>
      <w:r w:rsidR="00F45099">
        <w:t xml:space="preserve">2017 </w:t>
      </w:r>
      <w:r>
        <w:t>beg</w:t>
      </w:r>
      <w:r w:rsidR="00F45099">
        <w:t>ann die dringend notwendige In</w:t>
      </w:r>
      <w:r>
        <w:t>nenrestaurierung. Vorrangiges Ziel der Resta</w:t>
      </w:r>
      <w:r w:rsidR="00F45099">
        <w:t>urierung ist die Wiederherstel</w:t>
      </w:r>
      <w:r>
        <w:t>lung des ursprünglichen, ungest</w:t>
      </w:r>
      <w:r w:rsidR="00F45099">
        <w:t>örten Raumeindrucks der Grotte.</w:t>
      </w:r>
    </w:p>
    <w:p w:rsidR="006E4BC2" w:rsidRDefault="006E4BC2" w:rsidP="00F45099">
      <w:pPr>
        <w:pStyle w:val="LTAntwortRessortText"/>
      </w:pPr>
      <w:r>
        <w:t xml:space="preserve">Der Ausschuss für Staatshaushalt und Finanzfragen des </w:t>
      </w:r>
      <w:r w:rsidR="00F45099">
        <w:t>Land</w:t>
      </w:r>
      <w:r>
        <w:t xml:space="preserve">tags hat am 21.03.2018 einen Nachtrag in Höhe von 8 Mio. Euro für die bauliche Sanierung und Restaurierung der </w:t>
      </w:r>
      <w:r w:rsidR="00F45099">
        <w:t>Venusgrotte auf Schloss Linder</w:t>
      </w:r>
      <w:r>
        <w:t>hof genehmigt. Die Gesamtkosten bet</w:t>
      </w:r>
      <w:r w:rsidR="00F45099">
        <w:t>ragen nunmehr 33,245 Mio. Euro.</w:t>
      </w:r>
    </w:p>
    <w:p w:rsidR="006E4BC2" w:rsidRDefault="00196271" w:rsidP="006E4BC2">
      <w:pPr>
        <w:pStyle w:val="LTAntwortRessortText"/>
      </w:pPr>
      <w:r>
        <w:t>Anlass des Nachtrag</w:t>
      </w:r>
      <w:r w:rsidR="006E4BC2">
        <w:t>s sind baulich bedingte Anpassungen, die im Zuge der Bauausführung erforderlich wurden, sowie Mehraufwend</w:t>
      </w:r>
      <w:r w:rsidR="00F45099">
        <w:t>ungen zur Be</w:t>
      </w:r>
      <w:r w:rsidR="006E4BC2">
        <w:t>seitigung von Altlasten und unerwartet a</w:t>
      </w:r>
      <w:r w:rsidR="00F45099">
        <w:t>ufwändige statische Sicherungs</w:t>
      </w:r>
      <w:r w:rsidR="006E4BC2">
        <w:t>maßnahmen während der Bauphase. Hinzu kommt, dass aufgrund der allgemeinen Baukonjunktur im Rahmen der Ausschreibungen anstehende Bauleistungen nur zu deutlich höheren Preisen vergeben werden können. Der Kostenanstieg im Rahmen der Baudurchführung bedingt damit einhergehend auch eine Steigerung bei den Baunebenkosten. Die Bauarbeiten werden vom Staatlichen Bauamt Weilheim koordiniert.</w:t>
      </w:r>
    </w:p>
    <w:p w:rsidR="006E4BC2" w:rsidRDefault="006E4BC2" w:rsidP="006E4BC2">
      <w:pPr>
        <w:pStyle w:val="LTAntwortRessortText"/>
      </w:pPr>
      <w:r>
        <w:t>Die Mehrkosten entstanden im Einzelnen durch</w:t>
      </w:r>
    </w:p>
    <w:p w:rsidR="006E4BC2" w:rsidRDefault="006E4BC2" w:rsidP="00F45099">
      <w:pPr>
        <w:pStyle w:val="LTAntwortRessortText"/>
        <w:numPr>
          <w:ilvl w:val="2"/>
          <w:numId w:val="35"/>
        </w:numPr>
        <w:spacing w:before="120"/>
        <w:ind w:left="850" w:hanging="425"/>
      </w:pPr>
      <w:r>
        <w:t xml:space="preserve">Restaurierung bzw. Rekonstruktion der Ausstattungsgegenstände der Venusgrotte, die wesentlicher Bestandteil des zukünftigen </w:t>
      </w:r>
      <w:r w:rsidR="004A62EF">
        <w:t>„</w:t>
      </w:r>
      <w:r>
        <w:t>UNESCO-Welterbeantrags Königsschlösser</w:t>
      </w:r>
      <w:r w:rsidR="004A62EF">
        <w:t>“</w:t>
      </w:r>
      <w:r>
        <w:t xml:space="preserve"> ist. Dazu gehören beispielsweise der Steinthron am Königssitz, Kristallthron, Muschelkahn, Astwerkgeländer, sowie die Reaktivierung der Wasserläufe und der Leuchtenbecken</w:t>
      </w:r>
      <w:r w:rsidR="009B5E8F">
        <w:t>;</w:t>
      </w:r>
    </w:p>
    <w:p w:rsidR="006E4BC2" w:rsidRDefault="006E4BC2" w:rsidP="00F45099">
      <w:pPr>
        <w:pStyle w:val="LTAntwortRessortText"/>
        <w:numPr>
          <w:ilvl w:val="2"/>
          <w:numId w:val="35"/>
        </w:numPr>
        <w:spacing w:before="120"/>
        <w:ind w:left="850" w:hanging="425"/>
      </w:pPr>
      <w:r>
        <w:t xml:space="preserve">die im Rahmen der Bauausführung </w:t>
      </w:r>
      <w:r w:rsidR="00F45099">
        <w:t>tatsächlich vorgefundene Gebäu</w:t>
      </w:r>
      <w:r>
        <w:t>degeometrie und die hierdurch notwe</w:t>
      </w:r>
      <w:r w:rsidR="00F45099">
        <w:t>ndige Weiterführung der Ausfüh</w:t>
      </w:r>
      <w:r>
        <w:t>rungsplanung. Diese machten umfan</w:t>
      </w:r>
      <w:r w:rsidR="00F45099">
        <w:t>greiche Anpassungen an den vor</w:t>
      </w:r>
      <w:r>
        <w:t>gefundenen Bestand notwendig, wie Baugrube, freigelegte Außenwand, Sicherungsmaßnahmen, statische Erfo</w:t>
      </w:r>
      <w:r w:rsidR="00F45099">
        <w:t>rdernisse, Bodenkanäle, Wegeni</w:t>
      </w:r>
      <w:r>
        <w:t>veau oder Schutzdach</w:t>
      </w:r>
      <w:r w:rsidR="009B5E8F">
        <w:t>;</w:t>
      </w:r>
    </w:p>
    <w:p w:rsidR="006E4BC2" w:rsidRDefault="006E4BC2" w:rsidP="00F45099">
      <w:pPr>
        <w:pStyle w:val="LTAntwortRessortText"/>
        <w:numPr>
          <w:ilvl w:val="2"/>
          <w:numId w:val="35"/>
        </w:numPr>
        <w:spacing w:before="120"/>
        <w:ind w:left="850" w:hanging="425"/>
      </w:pPr>
      <w:r>
        <w:t>die Instandsetzung der Beleuchtersäule aus statischen Gründen</w:t>
      </w:r>
      <w:r w:rsidR="009B5E8F">
        <w:t>;</w:t>
      </w:r>
    </w:p>
    <w:p w:rsidR="006E4BC2" w:rsidRDefault="006E4BC2" w:rsidP="00F45099">
      <w:pPr>
        <w:pStyle w:val="LTAntwortRessortText"/>
        <w:numPr>
          <w:ilvl w:val="2"/>
          <w:numId w:val="35"/>
        </w:numPr>
        <w:spacing w:before="120"/>
        <w:ind w:left="850" w:hanging="425"/>
      </w:pPr>
      <w:r>
        <w:t>indexbedingte Lohn- und Materialpreiss</w:t>
      </w:r>
      <w:r w:rsidR="00F45099">
        <w:t>teigerungen für noch nicht aus</w:t>
      </w:r>
      <w:r>
        <w:t>geschriebene Bauleistungen</w:t>
      </w:r>
      <w:r w:rsidR="009B5E8F">
        <w:t>;</w:t>
      </w:r>
    </w:p>
    <w:p w:rsidR="006E4BC2" w:rsidRDefault="006E4BC2" w:rsidP="00F45099">
      <w:pPr>
        <w:pStyle w:val="LTAntwortRessortText"/>
        <w:numPr>
          <w:ilvl w:val="2"/>
          <w:numId w:val="35"/>
        </w:numPr>
        <w:spacing w:before="120"/>
        <w:ind w:left="850" w:hanging="425"/>
      </w:pPr>
      <w:r>
        <w:t>baulich bedingte Massen und Ausführungsänderungen sowie</w:t>
      </w:r>
    </w:p>
    <w:p w:rsidR="006E4BC2" w:rsidRDefault="006E4BC2" w:rsidP="00F45099">
      <w:pPr>
        <w:pStyle w:val="LTAntwortRessortText"/>
        <w:numPr>
          <w:ilvl w:val="2"/>
          <w:numId w:val="35"/>
        </w:numPr>
        <w:spacing w:before="120"/>
        <w:ind w:left="850" w:hanging="425"/>
      </w:pPr>
      <w:r>
        <w:t>Entsorgungskosten belasteten Erdmaterials.</w:t>
      </w:r>
    </w:p>
    <w:p w:rsidR="006E4BC2" w:rsidRDefault="006E4BC2" w:rsidP="006E4BC2">
      <w:pPr>
        <w:pStyle w:val="LTAntwortRessortText"/>
      </w:pPr>
      <w:r>
        <w:t>Zur statischen Ertüchtigung der Säulenkon</w:t>
      </w:r>
      <w:r w:rsidR="00F45099">
        <w:t>struktion werden, wie sich zwi</w:t>
      </w:r>
      <w:r>
        <w:t>schenzeitlich herausgestellt hat, voraussichtlich noch zusätzliche bauliche Vorkehrungen erforderlich sein. Die hierfür notwendigen Begutachtungen und ergänzenden Planungen laufen.</w:t>
      </w:r>
    </w:p>
    <w:p w:rsidR="00214DD0" w:rsidRDefault="00214DD0">
      <w:pPr>
        <w:rPr>
          <w:rFonts w:cs="Arial"/>
          <w:b/>
          <w:sz w:val="22"/>
          <w:szCs w:val="22"/>
        </w:rPr>
      </w:pPr>
      <w:r>
        <w:br w:type="page"/>
      </w:r>
    </w:p>
    <w:p w:rsidR="006E4BC2" w:rsidRDefault="006E4BC2" w:rsidP="006E4BC2">
      <w:pPr>
        <w:pStyle w:val="LTUeberschrRessort"/>
      </w:pPr>
      <w:r>
        <w:t>Geschäftsbereich des Staatsministeriums für Wirtschaft, Energie und Technologie</w:t>
      </w:r>
      <w:r>
        <w:fldChar w:fldCharType="begin"/>
      </w:r>
      <w:r>
        <w:instrText xml:space="preserve"> TC </w:instrText>
      </w:r>
      <w:r w:rsidR="004A62EF">
        <w:instrText>„</w:instrText>
      </w:r>
      <w:bookmarkStart w:id="38" w:name="_Toc511290257"/>
      <w:r>
        <w:instrText>Geschäftsbereich des Staatsministeriums für Wirtschaft, Energie und Technologie</w:instrText>
      </w:r>
      <w:bookmarkEnd w:id="38"/>
      <w:r w:rsidR="004A62E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Alexander</w:t>
            </w:r>
            <w:r w:rsidRPr="006E4BC2">
              <w:rPr>
                <w:b/>
              </w:rPr>
              <w:br/>
              <w:t>Muthmann</w:t>
            </w:r>
            <w:r w:rsidRPr="006E4BC2">
              <w:rPr>
                <w:b/>
              </w:rPr>
              <w:br/>
            </w:r>
            <w:r w:rsidRPr="006E4BC2">
              <w:t>(Fraktionslos)</w:t>
            </w:r>
            <w:r>
              <w:fldChar w:fldCharType="begin"/>
            </w:r>
            <w:r>
              <w:instrText xml:space="preserve"> TC </w:instrText>
            </w:r>
            <w:r w:rsidR="004A62EF">
              <w:instrText>„</w:instrText>
            </w:r>
            <w:bookmarkStart w:id="39" w:name="_Toc511290258"/>
            <w:r>
              <w:instrText>Muthmann, Alexander (Fraktionslos)</w:instrText>
            </w:r>
            <w:r>
              <w:br/>
              <w:instrText>Bayernweite Förderung des naturnahen Tourismus</w:instrText>
            </w:r>
            <w:bookmarkEnd w:id="39"/>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Vor dem Hintergrund der Ankündigungen, dass zumindest für die nächsten zehn Jahre auf die Skischaukel am Riedberger Horn zugunsten eines naturnahen Tourismuskonzepts, ausgestattet mit rund 20 Mio. Euro, verzichtet werden soll, frage ich die Staatsregierung, aus welchen Fördertöpfen (bitte unter genauer Angabe der entsprechenden Förderprogramme, Haushaltstitel und geplanten Ausgabezeitpunkte) diese angekündigten Mittel stammen sollen, unter welchen Voraussetzungen andere Regionen in Bayern Fördermittel für gleichwertige Programme erhalten können und wie viel Geld für entsprechende Förderungen des naturnahen Tourismus in anderen Teilräumen Bayerns zur Verfügung steht (auch hier bitte unter Nennung der Programme und Haushaltstitel)?</w:t>
            </w:r>
          </w:p>
          <w:p w:rsidR="006E4BC2" w:rsidRDefault="006E4BC2" w:rsidP="006E4BC2">
            <w:pPr>
              <w:pStyle w:val="LTAnfrageText"/>
            </w:pPr>
          </w:p>
        </w:tc>
      </w:tr>
    </w:tbl>
    <w:p w:rsidR="006E4BC2" w:rsidRDefault="006E4BC2" w:rsidP="006E4BC2">
      <w:pPr>
        <w:pStyle w:val="LTUeberschrAntwortRessort"/>
      </w:pPr>
      <w:r>
        <w:t>Antwort des Staatsministeriums für Wirtschaft, Energie und Technologie</w:t>
      </w:r>
    </w:p>
    <w:p w:rsidR="006E4BC2" w:rsidRDefault="006E4BC2" w:rsidP="006E4BC2">
      <w:pPr>
        <w:pStyle w:val="LTAntwortRessortText"/>
      </w:pPr>
      <w:r>
        <w:t xml:space="preserve">Obermaiselstein und Balderschwang werden Modellgemeinden für einen umweltverträglichen Ski- und Bergtourismus. Bausteine sind das </w:t>
      </w:r>
      <w:r w:rsidR="004A62EF">
        <w:t>„</w:t>
      </w:r>
      <w:r>
        <w:t>Zentrum Naturerlebnis Alpin</w:t>
      </w:r>
      <w:r w:rsidR="004A62EF">
        <w:t>“</w:t>
      </w:r>
      <w:r>
        <w:t xml:space="preserve">, sowie ein Pilotprojekt innovativer und umweltfreundlicher Mobilität im Alpenraum, die Förderung der Skisportinfrastruktur in der Region und das Sonderprojekt </w:t>
      </w:r>
      <w:r w:rsidR="004A62EF">
        <w:t>„</w:t>
      </w:r>
      <w:r>
        <w:t>Digitales Alpendorf</w:t>
      </w:r>
      <w:r w:rsidR="004A62EF">
        <w:t>“</w:t>
      </w:r>
      <w:r>
        <w:t>.</w:t>
      </w:r>
    </w:p>
    <w:p w:rsidR="006E4BC2" w:rsidRDefault="006E4BC2" w:rsidP="006E4BC2">
      <w:pPr>
        <w:pStyle w:val="LTAntwortRessortText"/>
      </w:pPr>
      <w:r>
        <w:t xml:space="preserve">Mit dem </w:t>
      </w:r>
      <w:r w:rsidR="004A62EF">
        <w:t>„</w:t>
      </w:r>
      <w:r>
        <w:t>Zentrum Naturerlebnis Alpin</w:t>
      </w:r>
      <w:r w:rsidR="004A62EF">
        <w:t>“</w:t>
      </w:r>
      <w:r>
        <w:t xml:space="preserve"> schafft das </w:t>
      </w:r>
      <w:r w:rsidR="00214DD0">
        <w:t>Staatsministerium für Umwelt und Verbraucherschutz (</w:t>
      </w:r>
      <w:r>
        <w:t>StMUV</w:t>
      </w:r>
      <w:r w:rsidR="00214DD0">
        <w:t>)</w:t>
      </w:r>
      <w:r>
        <w:t xml:space="preserve"> ein Leuchtturmprojekt für innovative Umweltbildungsangebote sowie einen Schwerpunkt </w:t>
      </w:r>
      <w:r w:rsidR="006B7AE2">
        <w:t>für naturnahen und klimaverträglichen</w:t>
      </w:r>
      <w:r>
        <w:t xml:space="preserve">Tourismus im bayerischen Alpenraum. Das erwartete Investitionsvolumen in Höhe von rund 15 Mio. </w:t>
      </w:r>
      <w:r w:rsidR="004A62EF">
        <w:t>Euro</w:t>
      </w:r>
      <w:r>
        <w:t xml:space="preserve"> bewegt sich in der Größenordnung der vergleichbaren Leuchtturmprojekte </w:t>
      </w:r>
      <w:r w:rsidR="004A62EF">
        <w:t>„</w:t>
      </w:r>
      <w:r>
        <w:t>Haus zur Wildnis</w:t>
      </w:r>
      <w:r w:rsidR="004A62EF">
        <w:t>“</w:t>
      </w:r>
      <w:r>
        <w:t xml:space="preserve"> in Lindberg/Ludwigsthal im Nationalpark Bayerischer Wald (2006 eröffnet, Investitionskosten ca. 15 Mio. </w:t>
      </w:r>
      <w:r w:rsidR="004A62EF">
        <w:t>Euro</w:t>
      </w:r>
      <w:r>
        <w:t xml:space="preserve">) und des Informations- und Bildungszentrums </w:t>
      </w:r>
      <w:r w:rsidR="004A62EF">
        <w:t>„</w:t>
      </w:r>
      <w:r>
        <w:t>Haus der Berge</w:t>
      </w:r>
      <w:r w:rsidR="004A62EF">
        <w:t>“</w:t>
      </w:r>
      <w:r>
        <w:t xml:space="preserve"> im Nationalpark Berchtesgaden (eröffnet 2013, Investitionskosten ca. 19 Mio. </w:t>
      </w:r>
      <w:r w:rsidR="004A62EF">
        <w:t>Euro</w:t>
      </w:r>
      <w:r>
        <w:t>). Die Veranschlagung der Mittel bleibt künftigen Haushalten vorbehalten.</w:t>
      </w:r>
    </w:p>
    <w:p w:rsidR="006E4BC2" w:rsidRDefault="006E4BC2" w:rsidP="006E4BC2">
      <w:pPr>
        <w:pStyle w:val="LTAntwortRessortText"/>
      </w:pPr>
      <w:r>
        <w:t xml:space="preserve">Das Pilotprojekt </w:t>
      </w:r>
      <w:r w:rsidR="004A62EF">
        <w:t>„</w:t>
      </w:r>
      <w:r>
        <w:t>innovative und umweltfreundliche Mobilität im Alpenraum</w:t>
      </w:r>
      <w:r w:rsidR="004A62EF">
        <w:t>“</w:t>
      </w:r>
      <w:r>
        <w:t xml:space="preserve"> ist mit rund</w:t>
      </w:r>
      <w:r w:rsidR="00214DD0">
        <w:t xml:space="preserve"> </w:t>
      </w:r>
      <w:r>
        <w:t xml:space="preserve">500.000 </w:t>
      </w:r>
      <w:r w:rsidR="004A62EF">
        <w:t>Euro</w:t>
      </w:r>
      <w:r>
        <w:t xml:space="preserve"> veranschlagt. Die Mittel hierfür stehen im Haushalt des Staatsministeriums</w:t>
      </w:r>
      <w:r w:rsidR="00214DD0">
        <w:t xml:space="preserve"> </w:t>
      </w:r>
      <w:r>
        <w:t>für Bauen, Wohnen und Verkehr in Kap. 03 66 Titel 893 57 (</w:t>
      </w:r>
      <w:r w:rsidR="004A62EF">
        <w:t>„</w:t>
      </w:r>
      <w:r>
        <w:t>Zuschüsse an Sonstige für Investitionen zur Förderung innovativer Pilotprojekte im ÖPNV, innovativer Logistikkonzepte und des (Schienen-) Güterverkehrs</w:t>
      </w:r>
      <w:r w:rsidR="004A62EF">
        <w:t>“</w:t>
      </w:r>
      <w:r>
        <w:t>) aus Sondermitteln im Haushaltsjahr 2018 zur Verfügung.</w:t>
      </w:r>
    </w:p>
    <w:p w:rsidR="006E4BC2" w:rsidRDefault="006E4BC2" w:rsidP="006E4BC2">
      <w:pPr>
        <w:pStyle w:val="LTAntwortRessortText"/>
      </w:pPr>
      <w:r>
        <w:t xml:space="preserve">Eine Ertüchtigung und Aufwertung der Skisportinfrastruktur erfolgt über bestehende Bundes- und Landesprogramme. </w:t>
      </w:r>
      <w:r w:rsidR="00214DD0">
        <w:t>Unter anderem</w:t>
      </w:r>
      <w:r>
        <w:t xml:space="preserve"> ist beabsichtigt, die beiden kleinen Skigebiete am Riedberger Horn (Balderschwang und Obe</w:t>
      </w:r>
      <w:r w:rsidR="00214DD0">
        <w:t>rmaiselstein) bei Investitions</w:t>
      </w:r>
      <w:r>
        <w:t>maßnahmen zur Modernisierung der vorhandenen Seilbahn- bzw. Skiliftanlagen zu unterstützen. Hierfür werden Fördermittel aus der Haushaltsstelle Kap. 07 04 Titel 893 78 (</w:t>
      </w:r>
      <w:r w:rsidR="004A62EF">
        <w:t>„</w:t>
      </w:r>
      <w:r>
        <w:t>Zuschüsse zum Ausbau und Modernisierung der Seilbahnen</w:t>
      </w:r>
      <w:r w:rsidR="004A62EF">
        <w:t>“</w:t>
      </w:r>
      <w:r>
        <w:t xml:space="preserve">) eingesetzt. Das entsprechende Förderprogramm kann von Liftbetreibern bayernweit nach Maßgabe der </w:t>
      </w:r>
      <w:r w:rsidR="004A62EF">
        <w:t>„</w:t>
      </w:r>
      <w:r>
        <w:t>Richtlinien zur Förderung von Seilbahnen und Nebenanlagen in kleinen Skigebieten</w:t>
      </w:r>
      <w:r w:rsidR="004A62EF">
        <w:t>“</w:t>
      </w:r>
      <w:r>
        <w:t xml:space="preserve"> in Anspruch genommen werden.</w:t>
      </w:r>
    </w:p>
    <w:p w:rsidR="006E4BC2" w:rsidRDefault="006E4BC2" w:rsidP="006E4BC2">
      <w:pPr>
        <w:pStyle w:val="LTAntwortRessortText"/>
      </w:pPr>
      <w:r>
        <w:t xml:space="preserve">Das Pilotprojekt </w:t>
      </w:r>
      <w:r w:rsidR="004A62EF">
        <w:t>„</w:t>
      </w:r>
      <w:r>
        <w:t>Digitales Dorf</w:t>
      </w:r>
      <w:r w:rsidR="004A62EF">
        <w:t>“</w:t>
      </w:r>
      <w:r>
        <w:t xml:space="preserve"> des </w:t>
      </w:r>
      <w:r w:rsidR="00214DD0">
        <w:t xml:space="preserve">Staatsministeriums für Wirtschaft, Energie und Technologie </w:t>
      </w:r>
      <w:r>
        <w:t xml:space="preserve">wird um das Sonderprojekt </w:t>
      </w:r>
      <w:r w:rsidR="004A62EF">
        <w:t>„</w:t>
      </w:r>
      <w:r>
        <w:t>Digitales Alpendorf</w:t>
      </w:r>
      <w:r w:rsidR="004A62EF">
        <w:t>“</w:t>
      </w:r>
      <w:r>
        <w:t xml:space="preserve"> für die Gemeinden Balderschwang und Obermaiselstein erweitert. Die Maßnahme wird über die Haushaltsstelle Kap. 07 03 Titel 685 69 abgewickelt</w:t>
      </w:r>
      <w:r w:rsidR="006B7AE2">
        <w:t>.</w:t>
      </w:r>
      <w:r>
        <w:t xml:space="preserve"> Die Veranschlagung der zusätzlichen Mittel i.</w:t>
      </w:r>
      <w:r w:rsidR="00214DD0">
        <w:t xml:space="preserve"> </w:t>
      </w:r>
      <w:r>
        <w:t xml:space="preserve">H. von rund 5 Mio. </w:t>
      </w:r>
      <w:r w:rsidR="004A62EF">
        <w:t>Euro</w:t>
      </w:r>
      <w:r>
        <w:t xml:space="preserve"> bleibt künftigen Haushalten vorbehalten.</w:t>
      </w:r>
    </w:p>
    <w:p w:rsidR="006E4BC2" w:rsidRDefault="006E4BC2" w:rsidP="006E4BC2">
      <w:pPr>
        <w:pStyle w:val="LTAntwortRessortText"/>
      </w:pPr>
      <w:r>
        <w:t>Bayernweit stehen 2018 für Naturtourismus, Nationalparks, Biosphärenreservate und Naturparks im Haushalt des StMUV in den Kap. 12 14, 12 13, Kap. 12 04 TG 72 und Kap. 12 04 TG 81 Mittel i.</w:t>
      </w:r>
      <w:r w:rsidR="00214DD0">
        <w:t xml:space="preserve"> </w:t>
      </w:r>
      <w:r>
        <w:t xml:space="preserve">H. insgesamt rund 30 Mio. </w:t>
      </w:r>
      <w:r w:rsidR="004A62EF">
        <w:t>Euro</w:t>
      </w:r>
      <w:r>
        <w:t xml:space="preserve"> zur Verfügung.</w:t>
      </w:r>
    </w:p>
    <w:p w:rsidR="006E4BC2" w:rsidRDefault="006E4BC2" w:rsidP="006E4BC2">
      <w:pPr>
        <w:pStyle w:val="LTAntwortRessortText"/>
      </w:pPr>
      <w:r>
        <w:t xml:space="preserve">Bis auf das </w:t>
      </w:r>
      <w:r w:rsidR="004A62EF">
        <w:t>„</w:t>
      </w:r>
      <w:r>
        <w:t>Zentrum Naturerlebnis Alpin</w:t>
      </w:r>
      <w:r w:rsidR="004A62EF">
        <w:t>“</w:t>
      </w:r>
      <w:r>
        <w:t xml:space="preserve"> werden die Maßnahmen über bestehende Förderprogramme bzw. Haushaltsansätze finanziert. Diese stehen bayernweit allen vergleichbaren Vorhaben zur Verfügung.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Martin</w:t>
            </w:r>
            <w:r w:rsidRPr="006E4BC2">
              <w:rPr>
                <w:b/>
              </w:rPr>
              <w:br/>
              <w:t>Stümpfig</w:t>
            </w:r>
            <w:r w:rsidRPr="006E4BC2">
              <w:rPr>
                <w:b/>
              </w:rPr>
              <w:br/>
            </w:r>
            <w:r w:rsidRPr="006E4BC2">
              <w:t>(BÜNDNIS 90/DIE GRÜNEN)</w:t>
            </w:r>
            <w:r>
              <w:fldChar w:fldCharType="begin"/>
            </w:r>
            <w:r>
              <w:instrText xml:space="preserve"> TC </w:instrText>
            </w:r>
            <w:r w:rsidR="004A62EF">
              <w:instrText>„</w:instrText>
            </w:r>
            <w:bookmarkStart w:id="40" w:name="_Toc511290259"/>
            <w:r>
              <w:instrText>Stümpfig, Martin (BÜNDNIS 90/DIE GRÜNEN)</w:instrText>
            </w:r>
            <w:r>
              <w:br/>
              <w:instrText>Stromversorgung in Bayern</w:instrText>
            </w:r>
            <w:bookmarkEnd w:id="40"/>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w:t>
            </w:r>
            <w:r w:rsidR="004A62EF">
              <w:t xml:space="preserve"> </w:t>
            </w:r>
            <w:r>
              <w:t>die Staatsregierung, ob sie die Ansicht teilt, dass der Siedewasserreaktor Block C in Gundremmingen für die Stromversorgung Bayerns und Deutschlands bereits heute vollkommen überflüssig ist, nachdem</w:t>
            </w:r>
            <w:r w:rsidR="004A62EF">
              <w:t xml:space="preserve"> </w:t>
            </w:r>
            <w:r>
              <w:t xml:space="preserve">im vergangenen Winterhalbjahr die drei Gaskraftwerksblöcke in Irsching, die zusammen mehr als 1.800 MW installierte Leistung haben, lediglich weniger als 4 GWh Strom produziert haben </w:t>
            </w:r>
            <w:r w:rsidR="007913D6">
              <w:t>–</w:t>
            </w:r>
            <w:r>
              <w:t xml:space="preserve"> was der Stromproduktion einer modernen Windkraftanlage in Bayern im selben Zeitraum entspricht </w:t>
            </w:r>
            <w:r w:rsidR="007913D6">
              <w:t>–</w:t>
            </w:r>
            <w:r>
              <w:t xml:space="preserve"> und das, obwohl seit dem 01.01.2018 der Block B des Atomkraftwerks Gundremmingen stillgelegt wurde?</w:t>
            </w:r>
          </w:p>
          <w:p w:rsidR="006E4BC2" w:rsidRDefault="006E4BC2" w:rsidP="006E4BC2">
            <w:pPr>
              <w:pStyle w:val="LTAnfrageText"/>
            </w:pPr>
          </w:p>
        </w:tc>
      </w:tr>
    </w:tbl>
    <w:p w:rsidR="006E4BC2" w:rsidRDefault="006E4BC2" w:rsidP="006E4BC2">
      <w:pPr>
        <w:pStyle w:val="LTUeberschrAntwortRessort"/>
      </w:pPr>
      <w:r>
        <w:t>Antwort des Staatsministeriums für Wirtschaft, Energie und Technologie</w:t>
      </w:r>
    </w:p>
    <w:p w:rsidR="006E4BC2" w:rsidRDefault="006E4BC2" w:rsidP="006E4BC2">
      <w:pPr>
        <w:pStyle w:val="LTAntwortRessortText"/>
      </w:pPr>
      <w:r>
        <w:t>Der Block C des Kernkraftwerks Gundremmingen ist bis zu seiner gesetzlich festgelegten Stilllegung Ende 2021 ein Bestandteil zur Sicherstellung der Versorgungssicherheit Bayerns. Ausschlaggebend für den Bedarf an gesichert zur Verfügung stehender Stromerzeugungsleistung sind immer einzelne, besonders kritische und nicht vorhersehbare Versorgungssituationen. In diesen Situationen ist dann über die am Markt agierenden Bestandskraftwerke hinaus auch die Stromproduktion von Reservekraftwerken, beispielsweise den Kraftwerksblöcken in Irsching, deren Stilllegung dem Betreiber deshalb untersagt werden hat müssen, erforderlich.</w:t>
      </w:r>
    </w:p>
    <w:p w:rsidR="006E4BC2" w:rsidRDefault="006E4BC2" w:rsidP="006E4BC2">
      <w:pPr>
        <w:pStyle w:val="LTAntwortRessortText"/>
      </w:pPr>
      <w:r>
        <w:t>Nur über ein Winterhalbjahr aufsummierte Erzeugungsmengen lassen daher keinerlei Rückschlüsse auf die Erforderlichkeit eines Kraftwerks in kritische Versorgungssituationen zu, in denen beispielsweise die erneuerbaren Energieträger Photovoltaik und Wind in Süddeutschland witterungs- und/oder tageszeitbedingt keinen Beitrag zur Stromerzeugung leisten.</w:t>
      </w:r>
    </w:p>
    <w:p w:rsidR="00276106" w:rsidRDefault="00276106" w:rsidP="006E4BC2">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Angelika</w:t>
            </w:r>
            <w:r w:rsidRPr="006E4BC2">
              <w:rPr>
                <w:b/>
              </w:rPr>
              <w:br/>
              <w:t>Weikert</w:t>
            </w:r>
            <w:r w:rsidRPr="006E4BC2">
              <w:rPr>
                <w:b/>
              </w:rPr>
              <w:br/>
            </w:r>
            <w:r w:rsidRPr="006E4BC2">
              <w:t>(SPD)</w:t>
            </w:r>
            <w:r>
              <w:fldChar w:fldCharType="begin"/>
            </w:r>
            <w:r>
              <w:instrText xml:space="preserve"> TC </w:instrText>
            </w:r>
            <w:r w:rsidR="004A62EF">
              <w:instrText>„</w:instrText>
            </w:r>
            <w:bookmarkStart w:id="41" w:name="_Toc511290260"/>
            <w:r>
              <w:instrText>Weikert, Angelika (SPD)</w:instrText>
            </w:r>
            <w:r>
              <w:br/>
              <w:instrText>Öffentliche Auftragsvergaben im Freistaat Bayern</w:instrText>
            </w:r>
            <w:bookmarkEnd w:id="41"/>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auf welche Summe beläuft sich das Vergabevolumen öffentlicher Aufträge im Freistaat Bayern, wie gliedert sich diese Summe nach Sektoren bzw. Branchen auf und wie hat sie sich in den vergangenen zehn Jahren entwickelt?</w:t>
            </w:r>
          </w:p>
          <w:p w:rsidR="006E4BC2" w:rsidRDefault="006E4BC2" w:rsidP="006E4BC2">
            <w:pPr>
              <w:pStyle w:val="LTAnfrageText"/>
            </w:pPr>
          </w:p>
        </w:tc>
      </w:tr>
    </w:tbl>
    <w:p w:rsidR="006E4BC2" w:rsidRDefault="006E4BC2" w:rsidP="006E4BC2">
      <w:pPr>
        <w:pStyle w:val="LTUeberschrAntwortRessort"/>
      </w:pPr>
      <w:r>
        <w:t>Antwort des Staatsministeriums für Wirtschaft, Energie und Technologie</w:t>
      </w:r>
    </w:p>
    <w:p w:rsidR="009707DE" w:rsidRPr="009707DE" w:rsidRDefault="009707DE" w:rsidP="009707DE">
      <w:pPr>
        <w:pStyle w:val="LTAntwortRessortText"/>
      </w:pPr>
      <w:r w:rsidRPr="009707DE">
        <w:t>Für den Bereich oberhalb der EU-Schwellenwerte (seit 01.01.2018 EU-Schwellenwert für Liefer- und Dienstleistungen</w:t>
      </w:r>
      <w:r w:rsidRPr="009707DE">
        <w:rPr>
          <w:rFonts w:eastAsia="Arial"/>
        </w:rPr>
        <w:t xml:space="preserve">: 221.000 </w:t>
      </w:r>
      <w:r w:rsidRPr="009707DE">
        <w:t>Euro</w:t>
      </w:r>
      <w:r w:rsidRPr="009707DE">
        <w:rPr>
          <w:rFonts w:eastAsia="Arial"/>
        </w:rPr>
        <w:t xml:space="preserve">; </w:t>
      </w:r>
      <w:r w:rsidRPr="009707DE">
        <w:t>für Bauleistungen</w:t>
      </w:r>
      <w:r w:rsidRPr="009707DE">
        <w:rPr>
          <w:rFonts w:eastAsia="Arial"/>
        </w:rPr>
        <w:t xml:space="preserve">: 5.548.000 </w:t>
      </w:r>
      <w:r w:rsidRPr="009707DE">
        <w:t>Euro) ergibt sich das Vergabevolumen öffentlicher Aufträge im Freistaat Bayern über den Zeitraum 2007 bis 2016 aus der anliegenden Tabelle*. Für 2017 liegen derzeit noch keine Zahlen vor.</w:t>
      </w:r>
    </w:p>
    <w:p w:rsidR="009707DE" w:rsidRPr="009707DE" w:rsidRDefault="009707DE" w:rsidP="009707DE">
      <w:pPr>
        <w:pStyle w:val="LTAntwortRessortText"/>
      </w:pPr>
      <w:r w:rsidRPr="009707DE">
        <w:t>Für den Unterschwellenbereich liegen der Staatsregierung keine Zahlen vor. In diesem Bereich werden keine zentralen Statistiken geführt.</w:t>
      </w:r>
    </w:p>
    <w:p w:rsidR="009707DE" w:rsidRPr="009707DE" w:rsidRDefault="009707DE" w:rsidP="00294419">
      <w:pPr>
        <w:pStyle w:val="LTAntwortRessortText"/>
        <w:rPr>
          <w:sz w:val="24"/>
          <w:vertAlign w:val="superscript"/>
        </w:rPr>
      </w:pPr>
      <w:r w:rsidRPr="009707DE">
        <w:rPr>
          <w:sz w:val="24"/>
          <w:vertAlign w:val="superscript"/>
        </w:rPr>
        <w:t xml:space="preserve">*) Von einem Abdruck wurde abgesehen. Die Tabelle ist als pdf-Dokument </w:t>
      </w:r>
      <w:hyperlink r:id="rId20" w:history="1">
        <w:r w:rsidRPr="005A7511">
          <w:rPr>
            <w:rStyle w:val="Hyperlink"/>
            <w:sz w:val="24"/>
            <w:vertAlign w:val="superscript"/>
          </w:rPr>
          <w:t>hier</w:t>
        </w:r>
      </w:hyperlink>
      <w:r w:rsidRPr="009707DE">
        <w:rPr>
          <w:sz w:val="24"/>
          <w:vertAlign w:val="superscript"/>
        </w:rPr>
        <w:t xml:space="preserve"> einsehbar.</w:t>
      </w:r>
    </w:p>
    <w:p w:rsidR="00B54730" w:rsidRDefault="00B54730" w:rsidP="006E4BC2">
      <w:pPr>
        <w:pStyle w:val="LTUeberschrAntwortRessort"/>
      </w:pPr>
    </w:p>
    <w:p w:rsidR="009707DE" w:rsidRDefault="009707DE">
      <w:pPr>
        <w:rPr>
          <w:rFonts w:cs="Arial"/>
          <w:b/>
          <w:sz w:val="22"/>
          <w:szCs w:val="22"/>
        </w:rPr>
      </w:pPr>
      <w:r>
        <w:br w:type="page"/>
      </w:r>
    </w:p>
    <w:p w:rsidR="006E4BC2" w:rsidRDefault="006E4BC2" w:rsidP="006E4BC2">
      <w:pPr>
        <w:pStyle w:val="LTUeberschrRessort"/>
      </w:pPr>
      <w:r>
        <w:t>Geschäftsbereich des Staatsministeriums für Umwelt und Verbraucherschutz</w:t>
      </w:r>
      <w:r>
        <w:fldChar w:fldCharType="begin"/>
      </w:r>
      <w:r>
        <w:instrText xml:space="preserve"> TC </w:instrText>
      </w:r>
      <w:r w:rsidR="004A62EF">
        <w:instrText>„</w:instrText>
      </w:r>
      <w:bookmarkStart w:id="42" w:name="_Toc511290261"/>
      <w:r>
        <w:instrText>Geschäftsbereich des Staatsministeriums für Umwelt und Verbraucherschutz</w:instrText>
      </w:r>
      <w:bookmarkEnd w:id="42"/>
      <w:r w:rsidR="004A62E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Klaus</w:t>
            </w:r>
            <w:r w:rsidRPr="006E4BC2">
              <w:rPr>
                <w:b/>
              </w:rPr>
              <w:br/>
              <w:t>Adelt</w:t>
            </w:r>
            <w:r w:rsidRPr="006E4BC2">
              <w:rPr>
                <w:b/>
              </w:rPr>
              <w:br/>
            </w:r>
            <w:r w:rsidRPr="006E4BC2">
              <w:t>(SPD)</w:t>
            </w:r>
            <w:r>
              <w:fldChar w:fldCharType="begin"/>
            </w:r>
            <w:r>
              <w:instrText xml:space="preserve"> TC </w:instrText>
            </w:r>
            <w:r w:rsidR="004A62EF">
              <w:instrText>„</w:instrText>
            </w:r>
            <w:bookmarkStart w:id="43" w:name="_Toc511290262"/>
            <w:r>
              <w:instrText>Adelt, Klaus (SPD)</w:instrText>
            </w:r>
            <w:r>
              <w:br/>
              <w:instrText>Fragen zum Entwurf des Mindestwasserleitfadens</w:instrText>
            </w:r>
            <w:bookmarkEnd w:id="43"/>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wie viele der laut Entwurf des Mindestwasserleitfadens betroffenen rund 2.800 Anlagen müssen in den nächsten fünf Jahren eine neue wasserrechtliche Bewilligung beantragen bzw. wie viele der 2.800 Anlagen haben derzeit keine wasserrechtliche Bewilligung und wie wirkt sich der Leitfaden auf diese Anlagen ohne Bewilligung aus?</w:t>
            </w:r>
          </w:p>
          <w:p w:rsidR="006E4BC2" w:rsidRDefault="006E4BC2" w:rsidP="006E4BC2">
            <w:pPr>
              <w:pStyle w:val="LTAnfrageText"/>
            </w:pPr>
          </w:p>
        </w:tc>
      </w:tr>
    </w:tbl>
    <w:p w:rsidR="006E4BC2" w:rsidRDefault="006E4BC2" w:rsidP="006E4BC2">
      <w:pPr>
        <w:pStyle w:val="LTUeberschrAntwortRessort"/>
      </w:pPr>
      <w:r>
        <w:t>Antwort des Staatsministeriums für Umwelt und Verbraucherschutz</w:t>
      </w:r>
    </w:p>
    <w:p w:rsidR="006E4BC2" w:rsidRDefault="006E4BC2" w:rsidP="006E4BC2">
      <w:pPr>
        <w:pStyle w:val="LTAntwortRessortText"/>
      </w:pPr>
      <w:r>
        <w:t xml:space="preserve">In den nächsten </w:t>
      </w:r>
      <w:r w:rsidR="009707DE">
        <w:t>fünf</w:t>
      </w:r>
      <w:r>
        <w:t xml:space="preserve"> Jahren werden überschlägig etwa 120 Anlagen mit </w:t>
      </w:r>
      <w:r w:rsidR="009707DE">
        <w:t>einer Leistung von bis zu 500 Kilowatt</w:t>
      </w:r>
      <w:r>
        <w:t xml:space="preserve"> neue wasserrechtliche Bewilligungen beantragen.</w:t>
      </w:r>
    </w:p>
    <w:p w:rsidR="006E4BC2" w:rsidRDefault="006E4BC2" w:rsidP="006E4BC2">
      <w:pPr>
        <w:pStyle w:val="LTAntwortRessortText"/>
      </w:pPr>
      <w:r>
        <w:t>Von den in der Anfrage</w:t>
      </w:r>
      <w:r w:rsidR="009707DE">
        <w:t xml:space="preserve"> zum Plenum</w:t>
      </w:r>
      <w:r>
        <w:t xml:space="preserve"> genannten 2.800 Anlagen haben ca. 1.610 ein Altrecht. Bei Anlagen ohne Bewilligung oder Befristung können wegen des derzeit laufenden partizipativen Prozesses keine Aussagen zu möglichen Auswirkungen getroffen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Kerstin</w:t>
            </w:r>
            <w:r w:rsidRPr="006E4BC2">
              <w:rPr>
                <w:b/>
              </w:rPr>
              <w:br/>
              <w:t>Celina</w:t>
            </w:r>
            <w:r w:rsidRPr="006E4BC2">
              <w:rPr>
                <w:b/>
              </w:rPr>
              <w:br/>
            </w:r>
            <w:r w:rsidRPr="006E4BC2">
              <w:t>(BÜNDNIS 90/DIE GRÜNEN)</w:t>
            </w:r>
            <w:r>
              <w:fldChar w:fldCharType="begin"/>
            </w:r>
            <w:r>
              <w:instrText xml:space="preserve"> TC </w:instrText>
            </w:r>
            <w:r w:rsidR="004A62EF">
              <w:instrText>„</w:instrText>
            </w:r>
            <w:bookmarkStart w:id="44" w:name="_Toc511290263"/>
            <w:r>
              <w:instrText>Celina, Kerstin (BÜNDNIS 90/DIE GRÜNEN)</w:instrText>
            </w:r>
            <w:r>
              <w:br/>
              <w:instrText>Schotterwerk Aub - Kosten der Beseitigung des illegal abgelagerten Mülls</w:instrText>
            </w:r>
            <w:bookmarkEnd w:id="44"/>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Nachdem der Betreiber des Schotterwerks Aub (Lkr.</w:t>
            </w:r>
            <w:r w:rsidR="00E94A2C">
              <w:t xml:space="preserve"> </w:t>
            </w:r>
            <w:r>
              <w:t>Würzburg) nun von der Staatsanwaltschaft Würzburg wegen schwerwiegenden Umweltdelikten angeklagt wurde und es zu einem Urteil kommen kann, das möglicherweise hohe finanzielle Konsequenzen für den Betreiber des Schotterwerks Aub hat, indem ihm auferlegt wird, den illegal abgelagerten Müll zum Zwecke der Grundwassersicherung zu beseitigen, frage ich die Staatsregierung, welche rechtlichen Möglichkeiten es gibt, sicherzustellen, dass der Betreiber die finanziellen Mittel für die Beseitigung aufwenden kann, ob es die Möglichkeit gibt, die laufenden Gewinne des Betriebs zu sichern, bis es zu einem Urteil kommt und wer bei einer Zahlungsunfähigkeit des Betreibers die Kosten einer umweltverträglichen Beseitigung zu tragen hat?</w:t>
            </w:r>
          </w:p>
          <w:p w:rsidR="006E4BC2" w:rsidRDefault="006E4BC2" w:rsidP="006E4BC2">
            <w:pPr>
              <w:pStyle w:val="LTAnfrageText"/>
            </w:pPr>
          </w:p>
        </w:tc>
      </w:tr>
    </w:tbl>
    <w:p w:rsidR="006E4BC2" w:rsidRDefault="006E4BC2" w:rsidP="009707DE">
      <w:pPr>
        <w:pStyle w:val="LTUeberschrAntwortRessort"/>
      </w:pPr>
      <w:r>
        <w:t xml:space="preserve">Antwort des Staatsministeriums für Umwelt und Verbraucherschutz </w:t>
      </w:r>
      <w:r w:rsidR="009707DE">
        <w:t>im Einvernehmen</w:t>
      </w:r>
      <w:r>
        <w:t xml:space="preserve"> mit dem Staatsministerium der Justiz</w:t>
      </w:r>
    </w:p>
    <w:p w:rsidR="006E4BC2" w:rsidRDefault="006E4BC2" w:rsidP="006E4BC2">
      <w:pPr>
        <w:pStyle w:val="LTAntwortRessortText"/>
      </w:pPr>
      <w:r>
        <w:t>Die Staatsanwaltschaft Würzburg hat nach Abschluss ihrer Ermittlungen den Betreiber des Schotterwerks Aub nunmehr wegen Umweltstraftaten (u.a. §§ 324, 3</w:t>
      </w:r>
      <w:r w:rsidR="00E94A2C">
        <w:t>24</w:t>
      </w:r>
      <w:r>
        <w:t xml:space="preserve">a </w:t>
      </w:r>
      <w:r w:rsidR="009707DE">
        <w:t xml:space="preserve">Strafgesetzbuch – </w:t>
      </w:r>
      <w:r>
        <w:t>StGB) zum Amtsgericht Würzburg angeklagt. Der Tatvorwurf bezieht sich insbesondere auf die angeblich illegale Annahme von belastetem Material zur Entsorgung auf dem Gelände des vorgenannten Schotterwerks.</w:t>
      </w:r>
    </w:p>
    <w:p w:rsidR="006E4BC2" w:rsidRDefault="006E4BC2" w:rsidP="006E4BC2">
      <w:pPr>
        <w:pStyle w:val="LTAntwortRessortText"/>
      </w:pPr>
      <w:r>
        <w:t>Das zuständige Gericht hat bisher noch keine Entscheidung über die Eröffnung des Hauptverfahrens getroffen. Das strafrechtliche Verfahren zielt auf die Feststellung einer möglichen Schuld und ggf. die Verhängung angemessener strafrechtlicher Sanktionen; etwaige verwaltungsrechtliche Maßnahmen sind davon getrennt zu betrachten. Im Strafverfahren besteht daher keine Möglichkeit, etwaige Kostenerstattungsansprüche für die Beseitigung von Umweltschäden zu sichern.</w:t>
      </w:r>
    </w:p>
    <w:p w:rsidR="006E4BC2" w:rsidRDefault="006E4BC2" w:rsidP="006E4BC2">
      <w:pPr>
        <w:pStyle w:val="LTAntwortRessortText"/>
      </w:pPr>
      <w:r>
        <w:t>Im weiteren Fortgang hat das L</w:t>
      </w:r>
      <w:r w:rsidR="009707DE">
        <w:t xml:space="preserve">andratsamt Würzburg zu prüfen, </w:t>
      </w:r>
      <w:r>
        <w:t>ob und wie gegebenenfalls Material zu entsorgen ist. Der verantwortliche Betreiber hat grundsätzlich für die Entsorgung illegal abgelagerten Mülls einzustehen. Im Falle der Nichtbeachtung oder nicht vollständigen Umsetzung einer Beseitigungsanordnung oder der Zahlungsunfähigkeit ist eine der Vollstreckung zugängliche Ersatzvornahme durch das Landratsamt notwendig.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237CA1">
            <w:pPr>
              <w:pStyle w:val="LTNumAnfrageIni1"/>
            </w:pPr>
            <w:r w:rsidRPr="006E4BC2">
              <w:t>Abgeordneter</w:t>
            </w:r>
            <w:r w:rsidRPr="006E4BC2">
              <w:br/>
            </w:r>
            <w:r w:rsidRPr="006E4BC2">
              <w:rPr>
                <w:b/>
              </w:rPr>
              <w:t>Prof. Dr. Michael</w:t>
            </w:r>
            <w:r w:rsidR="00237CA1">
              <w:rPr>
                <w:b/>
              </w:rPr>
              <w:t xml:space="preserve"> </w:t>
            </w:r>
            <w:r w:rsidRPr="006E4BC2">
              <w:rPr>
                <w:b/>
              </w:rPr>
              <w:t>Piazolo</w:t>
            </w:r>
            <w:r w:rsidRPr="006E4BC2">
              <w:rPr>
                <w:b/>
              </w:rPr>
              <w:br/>
            </w:r>
            <w:r w:rsidRPr="006E4BC2">
              <w:t>(FREIE WÄHLER)</w:t>
            </w:r>
            <w:r>
              <w:fldChar w:fldCharType="begin"/>
            </w:r>
            <w:r>
              <w:instrText xml:space="preserve"> TC </w:instrText>
            </w:r>
            <w:r w:rsidR="004A62EF">
              <w:instrText>„</w:instrText>
            </w:r>
            <w:bookmarkStart w:id="45" w:name="_Toc511290264"/>
            <w:r>
              <w:instrText>Prof. Dr. Piazolo, Michael (FREIE WÄHLER)</w:instrText>
            </w:r>
            <w:r>
              <w:br/>
              <w:instrText>Kältemittel</w:instrText>
            </w:r>
            <w:bookmarkEnd w:id="45"/>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ob ihr bundes- oder landesrechtliche Regelungen bekannt sind, die heute schon über die Anforderungen der EU-Ver</w:t>
            </w:r>
            <w:r w:rsidR="00237CA1">
              <w:softHyphen/>
            </w:r>
            <w:r>
              <w:t xml:space="preserve">ordnung (Nr. 517/2014) hinausgehen, sie Kenntnis darüber hat, ob die Sanktionen, die die Bundesrepublik Deutschland gemäß Art. 25 der in Rede stehenden Verordnung </w:t>
            </w:r>
            <w:r w:rsidR="004A62EF">
              <w:t>„</w:t>
            </w:r>
            <w:r>
              <w:t>Sanktionen</w:t>
            </w:r>
            <w:r w:rsidR="004A62EF">
              <w:t>“</w:t>
            </w:r>
            <w:r>
              <w:t xml:space="preserve"> bis zum 01.01.2017 der Kommission mitteilen musste, von dieser hinsichtlich der Verhältnismäßigkeit beanstandet wurden und welche Spielräume die in Rede stehende Verordnung zulässt?</w:t>
            </w:r>
          </w:p>
          <w:p w:rsidR="006E4BC2" w:rsidRDefault="006E4BC2" w:rsidP="006E4BC2">
            <w:pPr>
              <w:pStyle w:val="LTAnfrageText"/>
            </w:pPr>
          </w:p>
        </w:tc>
      </w:tr>
    </w:tbl>
    <w:p w:rsidR="006E4BC2" w:rsidRDefault="006E4BC2" w:rsidP="006E4BC2">
      <w:pPr>
        <w:pStyle w:val="LTUeberschrAntwortRessort"/>
      </w:pPr>
      <w:r>
        <w:t>Antwort des Staatsministeriums für Umwelt und Verbraucherschutz</w:t>
      </w:r>
    </w:p>
    <w:p w:rsidR="006E4BC2" w:rsidRDefault="006E4BC2" w:rsidP="006E4BC2">
      <w:pPr>
        <w:pStyle w:val="LTAntwortRessortText"/>
      </w:pPr>
      <w:r>
        <w:t>Das Ziel der EU-Verordnung Nr. 517/2014 ist der Umweltschutz durch Minderung der Emissionen von fluorierten Treibhausgasen. In Deutschland werden diese Regelungen seit 2008 durch die Chemikalien-Klimaschutzverordnung (ChemKlimaschutzV) des Bundes ergänzt. Die ChemKlimaschutzV enthält neben chemikalien- und abfallrechtlichen Regelungen Konkretisierungen zu den Sachkunde- und Zertifizierungsvorschriften der EU-Verordnungen. Unter anderem werden konkrete Grenzwerte für Kältemittelverluste von Einrichtungen (§ 3) sowie die generelle Sachkundepflicht für die in der europäischen Verordnung geregelt</w:t>
      </w:r>
      <w:r w:rsidR="007C0176">
        <w:t>en Tätigkeiten festgelegt. Vons</w:t>
      </w:r>
      <w:r>
        <w:t xml:space="preserve">eiten des EU-Gesetzgebers wird für einige Tätigkeiten ausreichend ausgebildetes Personal gefordert. Die nach </w:t>
      </w:r>
      <w:r w:rsidR="00E94A2C">
        <w:t>Art.</w:t>
      </w:r>
      <w:r>
        <w:t xml:space="preserve"> 25 der EU-Verordnung Nr. 517/2014 über fluorierte Treibhausgase geforderten Vorschriften sind durch den Bund in der Verordnung zur Sanktionsbewehrung gemeinschafts- oder unionsrechtlicher Verordnungen auf dem Gebiet der Chemikaliensicherheit (Chemikalien-Sanktionsverordnung </w:t>
      </w:r>
      <w:r w:rsidR="00237CA1">
        <w:t>–</w:t>
      </w:r>
      <w:r>
        <w:t xml:space="preserve"> ChemSanktionsV) in Abschnitt 10 umgesetzt. Nach Kenntnis der Staatsregierung wurden die Vorschriften durch den Bund der Kommission mitgeteilt. Inwieweit die Kommission die Verhältnismäßigkeit dieser Regelungen beanstandet hat, ist der Staatsregierung nicht bekannt. Anders als bei EU-Richtlinien gibt es bei EU-Verordnungen, die unmittelbar in allen Mitgliedstaaten gelten, bei der Umsetzung weniger Spielräume.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Harry</w:t>
            </w:r>
            <w:r w:rsidRPr="006E4BC2">
              <w:rPr>
                <w:b/>
              </w:rPr>
              <w:br/>
              <w:t>Scheuenstuhl</w:t>
            </w:r>
            <w:r w:rsidRPr="006E4BC2">
              <w:rPr>
                <w:b/>
              </w:rPr>
              <w:br/>
            </w:r>
            <w:r w:rsidRPr="006E4BC2">
              <w:t>(SPD)</w:t>
            </w:r>
            <w:r>
              <w:fldChar w:fldCharType="begin"/>
            </w:r>
            <w:r>
              <w:instrText xml:space="preserve"> TC </w:instrText>
            </w:r>
            <w:r w:rsidR="004A62EF">
              <w:instrText>„</w:instrText>
            </w:r>
            <w:bookmarkStart w:id="46" w:name="_Toc511290265"/>
            <w:r>
              <w:instrText>Scheuenstuhl, Harry (SPD)</w:instrText>
            </w:r>
            <w:r>
              <w:br/>
              <w:instrText>Fortschreibung und Anpassung des Restwasserleitfadens</w:instrText>
            </w:r>
            <w:bookmarkEnd w:id="46"/>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auf</w:t>
            </w:r>
            <w:r w:rsidR="004A62EF">
              <w:t xml:space="preserve"> </w:t>
            </w:r>
            <w:r>
              <w:t>welche Anlagen sich die Fortschreibung und Anpassung des Restwasserleitfadens (Mindestwasserleitfaden; Entwurf, Stand 06.12.2017) auswirken wird, ob sich der Geltungsbereich dieses Leitfadens auch auf Anlagen mit</w:t>
            </w:r>
            <w:r w:rsidR="004A62EF">
              <w:t xml:space="preserve"> </w:t>
            </w:r>
            <w:r>
              <w:t>alten Rechten und alten Befugnisse erstreckt und ab welchem Zeitpunkt die im Leitfaden genannten Anforderungen</w:t>
            </w:r>
            <w:r w:rsidR="004A62EF">
              <w:t xml:space="preserve"> </w:t>
            </w:r>
            <w:r>
              <w:t>dann für alle Anlagen verbindlich einzuhalten sind?</w:t>
            </w:r>
          </w:p>
          <w:p w:rsidR="006E4BC2" w:rsidRDefault="006E4BC2" w:rsidP="006E4BC2">
            <w:pPr>
              <w:pStyle w:val="LTAnfrageText"/>
            </w:pPr>
          </w:p>
        </w:tc>
      </w:tr>
    </w:tbl>
    <w:p w:rsidR="006E4BC2" w:rsidRDefault="006E4BC2" w:rsidP="006E4BC2">
      <w:pPr>
        <w:pStyle w:val="LTUeberschrAntwortRessort"/>
      </w:pPr>
      <w:r>
        <w:t>Antwort des Staatsministeriums für Umwelt und Verbraucherschutz</w:t>
      </w:r>
    </w:p>
    <w:p w:rsidR="006E4BC2" w:rsidRDefault="006E4BC2" w:rsidP="006E4BC2">
      <w:pPr>
        <w:pStyle w:val="LTAntwortRessortText"/>
      </w:pPr>
      <w:r>
        <w:t>Wegen des derzeit laufenden partizipativen Prozesses sind noch keine abschließenden Aussagen dazu möglich, auf welche Anlagen sich die Fortschreibung und Anpassung des Restwasserleitfadens auswirken wird und ab welchem Zeitpunkt die im Leitfaden genannten Anforderungen dann für alle Anlagen verbindlich einzuhalten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Franz</w:t>
            </w:r>
            <w:r w:rsidRPr="006E4BC2">
              <w:rPr>
                <w:b/>
              </w:rPr>
              <w:br/>
              <w:t>Schindler</w:t>
            </w:r>
            <w:r w:rsidRPr="006E4BC2">
              <w:rPr>
                <w:b/>
              </w:rPr>
              <w:br/>
            </w:r>
            <w:r w:rsidRPr="006E4BC2">
              <w:t>(SPD)</w:t>
            </w:r>
            <w:r>
              <w:fldChar w:fldCharType="begin"/>
            </w:r>
            <w:r>
              <w:instrText xml:space="preserve"> TC </w:instrText>
            </w:r>
            <w:r w:rsidR="004A62EF">
              <w:instrText>„</w:instrText>
            </w:r>
            <w:bookmarkStart w:id="47" w:name="_Toc511290266"/>
            <w:r>
              <w:instrText>Schindler, Franz (SPD)</w:instrText>
            </w:r>
            <w:r>
              <w:br/>
              <w:instrText>Unterhaltslasten und wasserrechtliche Erlaubnisse an der Naab im Stadtgebiet von  Schwandorf nördlich der Wasserräder an der sog. Storchennaab am Stadtpark</w:instrText>
            </w:r>
            <w:bookmarkEnd w:id="47"/>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 xml:space="preserve">Da die dringend erforderliche Sanierung und Wiederinbetriebnahme der stadtbildprägenden Wasserräder an der sog. Storchennaab am Stadtpark in Schwandorf (früher: </w:t>
            </w:r>
            <w:r w:rsidR="004A62EF">
              <w:t>„</w:t>
            </w:r>
            <w:r>
              <w:t>Tivoli-Wehr</w:t>
            </w:r>
            <w:r w:rsidR="004A62EF">
              <w:t>“</w:t>
            </w:r>
            <w:r>
              <w:t>) seit Jahren deswegen nicht vorankommen, weil die Frage der Gewässerunterhaltslast für den nördlich der Wasserräder gelegenen Naabarm im Stadtgebiet von Schwandorf ebenso wenig geklärt sein soll wie die Frage, welche wasserrechtlichen Erlaubnisse für insgesamt vier Wehranlagen (</w:t>
            </w:r>
            <w:r w:rsidR="004A62EF">
              <w:t>„</w:t>
            </w:r>
            <w:r>
              <w:t>Tivoli-Wehr</w:t>
            </w:r>
            <w:r w:rsidR="004A62EF">
              <w:t>“</w:t>
            </w:r>
            <w:r>
              <w:t>, Schuierer-Wehr, Krondorfer-Wehr, Fronberger-Wehr) vorhanden sind und zur Klärung dieser Fragen das Wasserwirtschaftsamt Weiden, das Landratsamt Schwandorf, die Regierung der Ober</w:t>
            </w:r>
            <w:r w:rsidR="00E94A2C">
              <w:t>pfalz und das Staatsministerium</w:t>
            </w:r>
            <w:r>
              <w:t xml:space="preserve"> für Umwelt und Verbraucherschutz tätig geworden sein sollen, frage ich die Staatsregierung, welches Ergebnis die seit Jahren andauernden Überprüfungen erbracht haben, wie sichergestellt wird, dass auch nach der Inbetriebnahme einer neuen Wasserkraftanlage am Krondorfer Wehr genügend Wassermengen vorhanden sind, um eine Verlandung des Naabarms auszuschließen und die Wasserräder an der sog. Storchennaab in Betrieb nehmen zu können und wer die Unterhaltslast für den Naabarm im Stadtgebiet von Schwandorf nördlich der Wasserräder zu tragen hat?</w:t>
            </w:r>
          </w:p>
          <w:p w:rsidR="006E4BC2" w:rsidRDefault="006E4BC2" w:rsidP="006E4BC2">
            <w:pPr>
              <w:pStyle w:val="LTAnfrageText"/>
            </w:pPr>
          </w:p>
        </w:tc>
      </w:tr>
    </w:tbl>
    <w:p w:rsidR="006E4BC2" w:rsidRDefault="006E4BC2" w:rsidP="00276106">
      <w:pPr>
        <w:pStyle w:val="LTUeberschrAntwortRessort"/>
        <w:spacing w:before="0"/>
      </w:pPr>
      <w:r>
        <w:t>Antwort des Staatsministeriums für Umwelt und Verbraucherschutz</w:t>
      </w:r>
    </w:p>
    <w:p w:rsidR="006E4BC2" w:rsidRDefault="006E4BC2" w:rsidP="00276106">
      <w:pPr>
        <w:pStyle w:val="LTAntwortRessortText"/>
        <w:spacing w:before="120"/>
      </w:pPr>
      <w:r>
        <w:t>Die Überprüfung des zuständigen Landratsamts Schwandorf und der Regierung der Oberpfalz hatte zum Ergebnis, dass der Freistaat Bayern seit</w:t>
      </w:r>
      <w:r w:rsidR="00196271">
        <w:t xml:space="preserve"> Erlass des Auflassungsbescheid</w:t>
      </w:r>
      <w:r>
        <w:t xml:space="preserve">s vom 17.05.1985 für die Unterhaltung der Wehranlage </w:t>
      </w:r>
      <w:r w:rsidR="004A62EF">
        <w:t>„</w:t>
      </w:r>
      <w:r>
        <w:t>Schuierer-Mühle</w:t>
      </w:r>
      <w:r w:rsidR="004A62EF">
        <w:t>“</w:t>
      </w:r>
      <w:r>
        <w:t xml:space="preserve"> zuständig ist.</w:t>
      </w:r>
    </w:p>
    <w:p w:rsidR="006E4BC2" w:rsidRDefault="006E4BC2" w:rsidP="00276106">
      <w:pPr>
        <w:pStyle w:val="LTAntwortRessortText"/>
        <w:spacing w:before="120"/>
      </w:pPr>
      <w:r>
        <w:t xml:space="preserve">Für die Unterhaltung der durch die Wehranlage </w:t>
      </w:r>
      <w:r w:rsidR="004A62EF">
        <w:t>„</w:t>
      </w:r>
      <w:r>
        <w:t>Schuierer-Mühle</w:t>
      </w:r>
      <w:r w:rsidR="004A62EF">
        <w:t>“</w:t>
      </w:r>
      <w:r>
        <w:t xml:space="preserve"> beeinflussten Gewässerstrecke ist ebenfalls der Freistaat Bayern zuständig, soweit nicht weitere (Sonder-)Unterhaltung</w:t>
      </w:r>
      <w:r w:rsidR="00857AF2">
        <w:t>slasten für Dritte bestehen, d. </w:t>
      </w:r>
      <w:r>
        <w:t>h. insbesondere, wenn und soweit die Unterhaltung insoweit nicht auch durch andere Triebwerks- bzw. Stauanlagen bedingt ist.</w:t>
      </w:r>
    </w:p>
    <w:p w:rsidR="006E4BC2" w:rsidRDefault="006E4BC2" w:rsidP="00276106">
      <w:pPr>
        <w:pStyle w:val="LTAntwortRessortText"/>
        <w:spacing w:before="120"/>
      </w:pPr>
      <w:r>
        <w:t>Hieraus ergibt sich die grundsätzliche Unterhaltungslast für den Freistaat Bayern, sollten keine anderen Dritten, z. B. Betreiber von Wasserbenutzungsanlagen, bestehen oder zukünftig hinzukommen.</w:t>
      </w:r>
    </w:p>
    <w:p w:rsidR="006E4BC2" w:rsidRDefault="006E4BC2" w:rsidP="00276106">
      <w:pPr>
        <w:pStyle w:val="LTAntwortRessortText"/>
        <w:spacing w:before="120"/>
      </w:pPr>
      <w:r>
        <w:t>Die Auswirkungen einer möglichen neuen Wasserkraftanlage am Krondorfer Wehr wären im Wasserrechtsverfahren auf Grundlage der entsprechenden Antragsunterlagen des Vorhabensträgers zu beurteilen.</w:t>
      </w:r>
    </w:p>
    <w:p w:rsidR="00857AF2" w:rsidRDefault="006E4BC2" w:rsidP="00276106">
      <w:pPr>
        <w:pStyle w:val="LTAntwortRessortText"/>
        <w:spacing w:before="120"/>
        <w:rPr>
          <w:rFonts w:cs="Arial"/>
          <w:b/>
          <w:sz w:val="22"/>
          <w:szCs w:val="22"/>
        </w:rPr>
      </w:pPr>
      <w:r>
        <w:t>Zur Frage, wer die Unterhaltungslast für den Naabarm im Stadtgebiet von Schwandorf nördlich der Wasserräder zu tragen hat, kann grundsätzlich auf das Ergebnis der Überprüfung durch das zuständige Landratsamts Schwandorf und der Regierung der Oberpfalz verwiesen werden. Allerdings können die geplante neue Wasserkraftanlage am Krondorfer Wehr sowie die geplante Gewässerbenutzung durch die Wasserräder Sonderunterhaltungslasten an der Gewässerunterhaltung begründen, die der allgeme</w:t>
      </w:r>
      <w:r w:rsidR="00857AF2">
        <w:t>inen Gewässerunterhaltungslast</w:t>
      </w:r>
      <w:r>
        <w:t xml:space="preserve"> des Freistaates Bayern vorgehen würden. Regelungen zur Gewässerunterhaltung könnten in einer wasserrechtlichen Gestattung getroffen werden.</w:t>
      </w:r>
      <w:r w:rsidR="00857AF2">
        <w:br w:type="page"/>
      </w:r>
    </w:p>
    <w:p w:rsidR="006E4BC2" w:rsidRDefault="006E4BC2" w:rsidP="006E4BC2">
      <w:pPr>
        <w:pStyle w:val="LTUeberschrRessort"/>
      </w:pPr>
      <w:r>
        <w:t>Geschäftsbereich des Staatsministeriums für Ernährung, Landwirtschaft und Forsten</w:t>
      </w:r>
      <w:r>
        <w:fldChar w:fldCharType="begin"/>
      </w:r>
      <w:r>
        <w:instrText xml:space="preserve"> TC </w:instrText>
      </w:r>
      <w:r w:rsidR="004A62EF">
        <w:instrText>„</w:instrText>
      </w:r>
      <w:bookmarkStart w:id="48" w:name="_Toc511290267"/>
      <w:r>
        <w:instrText>Geschäftsbereich des Staatsministeriums für Ernährung, Landwirtschaft und Forsten</w:instrText>
      </w:r>
      <w:bookmarkEnd w:id="48"/>
      <w:r w:rsidR="004A62E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Florian</w:t>
            </w:r>
            <w:r w:rsidRPr="006E4BC2">
              <w:rPr>
                <w:b/>
              </w:rPr>
              <w:br/>
            </w:r>
            <w:r w:rsidR="0064541B">
              <w:rPr>
                <w:b/>
              </w:rPr>
              <w:t xml:space="preserve">von </w:t>
            </w:r>
            <w:r w:rsidRPr="006E4BC2">
              <w:rPr>
                <w:b/>
              </w:rPr>
              <w:t>Brunn</w:t>
            </w:r>
            <w:r w:rsidRPr="006E4BC2">
              <w:rPr>
                <w:b/>
              </w:rPr>
              <w:br/>
            </w:r>
            <w:r w:rsidRPr="006E4BC2">
              <w:t>(SPD)</w:t>
            </w:r>
            <w:r>
              <w:fldChar w:fldCharType="begin"/>
            </w:r>
            <w:r>
              <w:instrText xml:space="preserve"> TC </w:instrText>
            </w:r>
            <w:r w:rsidR="004A62EF">
              <w:instrText>„</w:instrText>
            </w:r>
            <w:bookmarkStart w:id="49" w:name="_Toc511290268"/>
            <w:r>
              <w:instrText>Brunn, Florian (SPD)</w:instrText>
            </w:r>
            <w:r>
              <w:br/>
              <w:instrText>Zukunft für die bayerische Berglandwirtschaft sowie Alm- und Alpwirtschaft sichern</w:instrText>
            </w:r>
            <w:bookmarkEnd w:id="49"/>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mit welchen Maßnahmen will sie über die bereits existierenden Programme hinaus die bayerische Berglandwirtschaft sowie Alm- und Alpwirtschaft fördern und ihre Zukunft sichern, wie will sie die Förderung so gestalten, dass sie den Erschwernissen und Standortnachteilen besser gerecht wird, zum Beispiel durch die Einführung eines Instruments wie dem österreichischen Berghöfekataster, und was tut die Staatsregierung über bestehende Förderungen hinaus, um den Arbeitskräftebedarf in der Berglandwirtschaft sowie Alm- und Alpwirtschaft auch in Zukunft sicherzustellen?</w:t>
            </w:r>
          </w:p>
          <w:p w:rsidR="006E4BC2" w:rsidRDefault="006E4BC2" w:rsidP="006E4BC2">
            <w:pPr>
              <w:pStyle w:val="LTAnfrageText"/>
            </w:pPr>
          </w:p>
        </w:tc>
      </w:tr>
    </w:tbl>
    <w:p w:rsidR="006E4BC2" w:rsidRDefault="006E4BC2" w:rsidP="006E4BC2">
      <w:pPr>
        <w:pStyle w:val="LTUeberschrAntwortRessort"/>
      </w:pPr>
      <w:r>
        <w:t>Antwort des Staatsministeriums für Ernährung, Landwirtschaft und Forsten</w:t>
      </w:r>
    </w:p>
    <w:p w:rsidR="006E4BC2" w:rsidRDefault="006E4BC2" w:rsidP="006E4BC2">
      <w:pPr>
        <w:pStyle w:val="LTAntwortRessortText"/>
      </w:pPr>
      <w:r>
        <w:t xml:space="preserve">Die Erhaltung der Alm- und Alpwirtschaft gehört zu den Kernanliegen bayerischer Agrarpolitik. Die Berglandwirtschaft wird dabei mit einem Bündel an Maßnahmen im Rahmen des </w:t>
      </w:r>
      <w:r w:rsidR="0064541B">
        <w:t>Kulturlandschafts</w:t>
      </w:r>
      <w:r>
        <w:t>programms, der Ausgleichszulage, des Vertragsnaturschutzprogramms sowie des Bergbauernprogramms gefördert. Zudem leisten Maßnahmen zur Förderun</w:t>
      </w:r>
      <w:r w:rsidR="0064541B">
        <w:t>g der Einkommenskombination, z. </w:t>
      </w:r>
      <w:r>
        <w:t>B. Urlaub auf dem Bauernhof oder Direktvermarktung, e</w:t>
      </w:r>
      <w:r w:rsidR="0064541B">
        <w:t>inen wichtigen Beitrag zur Exis</w:t>
      </w:r>
      <w:r>
        <w:t>tenzsicherung der Bergbauernbetriebe.</w:t>
      </w:r>
      <w:r w:rsidR="0064541B">
        <w:t xml:space="preserve"> Als zusätzliche Maßnahme unter</w:t>
      </w:r>
      <w:r>
        <w:t>stützt die Staatsregierung zwei Gemein</w:t>
      </w:r>
      <w:r w:rsidR="0064541B">
        <w:t>deverbünde im Berggebiet als Al</w:t>
      </w:r>
      <w:r>
        <w:t>pen-Modellregionen. Durch die Vernetzung der Akteure vor Ort soll eine nachhaltige Entwicklung im Alpenraum angestoßen werden. Durch die Förderung der Projektbetreuung und von Unterstützungsleistungen werden gezielt die unternehmerischen Menschen einer Region unterstützt, um mit ihnen aus ihren vorhandenen Ideen Projekte zu entwick</w:t>
      </w:r>
      <w:r w:rsidR="0064541B">
        <w:t>eln und umzuset</w:t>
      </w:r>
      <w:r>
        <w:t>zen. Diese Maßnahme kommt auch der Berglandwirtschaft und der Alm- und Alpwirtschaft zugute. Zentraler Best</w:t>
      </w:r>
      <w:r w:rsidR="0064541B">
        <w:t>andteil der bayerischen Agrarpo</w:t>
      </w:r>
      <w:r>
        <w:t>litik ist die zukunftsorientierte und kontin</w:t>
      </w:r>
      <w:r w:rsidR="0064541B">
        <w:t>uierliche Weiterentwicklung die</w:t>
      </w:r>
      <w:r>
        <w:t>ser spezifischen Förder- und Unterstützungsmaßnahmen.</w:t>
      </w:r>
    </w:p>
    <w:p w:rsidR="00276106" w:rsidRDefault="00B0505C" w:rsidP="006E4BC2">
      <w:pPr>
        <w:pStyle w:val="LTAntwortRessortText"/>
        <w:rPr>
          <w:b/>
        </w:rPr>
      </w:pPr>
      <w:r w:rsidRPr="00B0505C">
        <w:rPr>
          <w:b/>
        </w:rPr>
        <w:t>Ergänzende Antwort des Staatsministeriums für Ernährung, Landwirtschaft und Forsten vom 27.04.2018:</w:t>
      </w:r>
    </w:p>
    <w:p w:rsidR="00B0505C" w:rsidRPr="00B0505C" w:rsidRDefault="00B0505C" w:rsidP="00B0505C">
      <w:pPr>
        <w:pStyle w:val="LTAntwortRessortText"/>
        <w:rPr>
          <w:lang w:val="en-US"/>
        </w:rPr>
      </w:pPr>
      <w:r w:rsidRPr="00B0505C">
        <w:rPr>
          <w:lang w:val="en-US"/>
        </w:rPr>
        <w:t>Das österreichische Berghöfekataster mit einem betriebsindividuellen Punktesystem, das als Hauptkriterien die innere Verkehrslage, die äußere Verkehrslage sowie Klima und Boden berücksichtigt, dient der Erfassung und Bemessung der individuellen Erschwernis eines jeden Hofes. Ein Berghöfekataster nach österreichischem Vorbild wird von den alm- und alpwirtschaftlichen Verbänden abgelehnt. Die bayerischen Betriebe im Berggebiet erhalten mit der Ausgleichszulage bereits heute eine Förderung, die vom Grad der Benachteiligung abhängig ist und sich nach der durchschnittlichen Ertragsmesszahl (EMZ) der Gemarkung richtet, in der die Flächen des Betriebs liegen. Deshalb wird eine darüber hinaus gehende Differenzierung der Erschwernis nicht als notwendig erachtet.</w:t>
      </w:r>
    </w:p>
    <w:p w:rsidR="00B0505C" w:rsidRPr="00B0505C" w:rsidRDefault="00B0505C" w:rsidP="006E4BC2">
      <w:pPr>
        <w:pStyle w:val="LTAntwortRessortText"/>
      </w:pPr>
      <w:r w:rsidRPr="00B0505C">
        <w:rPr>
          <w:lang w:val="en-US"/>
        </w:rPr>
        <w:t>Die Sicherung des Arbeitskräftebedarfs in der Berglandwirtschaft ist ein wichtiges Zukunftsthema, da die Freihaltung der wertvollen Alm- und Alpflächen nur mit entsprechendem Personaleinsatz gewährleistet werden kann. Die Staatsregierung unternimmt hier erhebliche Anstrengungen um den Arbeitskräftebedarf sicherzustellen. Neben den oben genannten Fördermaßnahmen unterstützt die Staatsregierung insbesondere im Bildungsbereich (Alm- und Alpakademien, Schultage Berglandwirtschaft, Almlehrkurse etc.) um das erforderliche Wissen für das Alm- und Alppersonal bereit</w:t>
      </w:r>
      <w:r w:rsidR="00B0332D">
        <w:rPr>
          <w:lang w:val="en-US"/>
        </w:rPr>
        <w:softHyphen/>
      </w:r>
      <w:r w:rsidRPr="00B0505C">
        <w:rPr>
          <w:lang w:val="en-US"/>
        </w:rPr>
        <w:t>zu</w:t>
      </w:r>
      <w:r w:rsidR="00B0332D">
        <w:rPr>
          <w:lang w:val="en-US"/>
        </w:rPr>
        <w:softHyphen/>
      </w:r>
      <w:r w:rsidRPr="00B0505C">
        <w:rPr>
          <w:lang w:val="en-US"/>
        </w:rPr>
        <w:t>stellen.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Annette</w:t>
            </w:r>
            <w:r w:rsidRPr="006E4BC2">
              <w:rPr>
                <w:b/>
              </w:rPr>
              <w:br/>
              <w:t>Karl</w:t>
            </w:r>
            <w:r w:rsidRPr="006E4BC2">
              <w:rPr>
                <w:b/>
              </w:rPr>
              <w:br/>
            </w:r>
            <w:r w:rsidRPr="006E4BC2">
              <w:t>(SPD)</w:t>
            </w:r>
            <w:r>
              <w:fldChar w:fldCharType="begin"/>
            </w:r>
            <w:r>
              <w:instrText xml:space="preserve"> TC </w:instrText>
            </w:r>
            <w:r w:rsidR="004A62EF">
              <w:instrText>„</w:instrText>
            </w:r>
            <w:bookmarkStart w:id="50" w:name="_Toc511290269"/>
            <w:r>
              <w:instrText>Karl, Annette (SPD)</w:instrText>
            </w:r>
            <w:r>
              <w:br/>
              <w:instrText>Fischottermanagement</w:instrText>
            </w:r>
            <w:bookmarkEnd w:id="50"/>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welche Fischottermanagementpläne sind derzeit in Kraft, welche Erfahrungen ergaben sich und in welchem Zeitraum ist eine Aktualisierung vorgesehen?</w:t>
            </w:r>
          </w:p>
          <w:p w:rsidR="006E4BC2" w:rsidRDefault="006E4BC2" w:rsidP="006E4BC2">
            <w:pPr>
              <w:pStyle w:val="LTAnfrageText"/>
            </w:pPr>
          </w:p>
        </w:tc>
      </w:tr>
    </w:tbl>
    <w:p w:rsidR="006E4BC2" w:rsidRDefault="006E4BC2" w:rsidP="006E4BC2">
      <w:pPr>
        <w:pStyle w:val="LTUeberschrAntwortRessort"/>
      </w:pPr>
      <w:r>
        <w:t>Antwort des Staatsministeriums für Ernährung, Landwirtschaft und Forsten</w:t>
      </w:r>
    </w:p>
    <w:p w:rsidR="006E4BC2" w:rsidRDefault="006E4BC2" w:rsidP="006E4BC2">
      <w:pPr>
        <w:pStyle w:val="LTAntwortRessortText"/>
      </w:pPr>
      <w:r>
        <w:t>Die bislang erste Fassung des Fischotter-Managementplans gilt seit seines In-Kraft-Tretens im Juni</w:t>
      </w:r>
      <w:r w:rsidR="0064541B">
        <w:t> </w:t>
      </w:r>
      <w:r>
        <w:t xml:space="preserve">2013 nach wie vor. Er sieht drei Möglichkeiten des Verringerns von Fischotterschäden in den Teichanlagen vor: </w:t>
      </w:r>
    </w:p>
    <w:p w:rsidR="007C0176" w:rsidRDefault="007C0176" w:rsidP="006E4BC2">
      <w:pPr>
        <w:pStyle w:val="LTAntwortRessortText"/>
        <w:rPr>
          <w:u w:val="single"/>
        </w:rPr>
      </w:pPr>
    </w:p>
    <w:p w:rsidR="006E4BC2" w:rsidRPr="0064541B" w:rsidRDefault="0064541B" w:rsidP="006E4BC2">
      <w:pPr>
        <w:pStyle w:val="LTAntwortRessortText"/>
        <w:rPr>
          <w:u w:val="single"/>
        </w:rPr>
      </w:pPr>
      <w:r>
        <w:rPr>
          <w:u w:val="single"/>
        </w:rPr>
        <w:t>Beratung:</w:t>
      </w:r>
    </w:p>
    <w:p w:rsidR="006E4BC2" w:rsidRDefault="006E4BC2" w:rsidP="0064541B">
      <w:pPr>
        <w:pStyle w:val="LTAntwortRessortText"/>
        <w:spacing w:before="120"/>
      </w:pPr>
      <w:r>
        <w:t>Seit Februar 2016 wurden der Fischottermanager (Biologe) und ein Fischotterberater (Fischwirtschaftsmeister, zuständig für Niederbayern) eingestellt; seit Februar 2017 zwei weitere Fischotterberater für die Oberpfalz, Nord und Süd (beide Fischwirtschaftsmeister).</w:t>
      </w:r>
    </w:p>
    <w:p w:rsidR="006E4BC2" w:rsidRPr="0064541B" w:rsidRDefault="0064541B" w:rsidP="006E4BC2">
      <w:pPr>
        <w:pStyle w:val="LTAntwortRessortText"/>
        <w:rPr>
          <w:u w:val="single"/>
        </w:rPr>
      </w:pPr>
      <w:r>
        <w:rPr>
          <w:u w:val="single"/>
        </w:rPr>
        <w:t xml:space="preserve">Prävention bzw. </w:t>
      </w:r>
      <w:r w:rsidR="006E4BC2" w:rsidRPr="0064541B">
        <w:rPr>
          <w:u w:val="single"/>
        </w:rPr>
        <w:t>Abwehrmaßnahmen</w:t>
      </w:r>
      <w:r>
        <w:rPr>
          <w:u w:val="single"/>
        </w:rPr>
        <w:t>;</w:t>
      </w:r>
    </w:p>
    <w:p w:rsidR="006E4BC2" w:rsidRDefault="006E4BC2" w:rsidP="0064541B">
      <w:pPr>
        <w:pStyle w:val="LTAntwortRessortText"/>
        <w:spacing w:before="120"/>
      </w:pPr>
      <w:r>
        <w:t>Als einzig wirkungsvolle Maßnahme der Prävention hat sich das Einzäunen der Teiche mit stabilen, vom Otter nicht überwindbaren Zäunen erwiesen. Der Zaunbau kann mit einem Fördersatz von 50</w:t>
      </w:r>
      <w:r w:rsidR="0064541B">
        <w:t> </w:t>
      </w:r>
      <w:r w:rsidR="004A62EF">
        <w:t>Prozent</w:t>
      </w:r>
      <w:r>
        <w:t xml:space="preserve"> aus dem Europäisc</w:t>
      </w:r>
      <w:r w:rsidR="0064541B">
        <w:t xml:space="preserve">hen Meeres- und Fischereifonds (EMFF) </w:t>
      </w:r>
      <w:r>
        <w:t>bezuschusst werden.</w:t>
      </w:r>
    </w:p>
    <w:p w:rsidR="006E4BC2" w:rsidRPr="0064541B" w:rsidRDefault="006E4BC2" w:rsidP="006E4BC2">
      <w:pPr>
        <w:pStyle w:val="LTAntwortRessortText"/>
        <w:rPr>
          <w:u w:val="single"/>
        </w:rPr>
      </w:pPr>
      <w:r w:rsidRPr="0064541B">
        <w:rPr>
          <w:u w:val="single"/>
        </w:rPr>
        <w:t>Entschädigung</w:t>
      </w:r>
    </w:p>
    <w:p w:rsidR="006E4BC2" w:rsidRDefault="006E4BC2" w:rsidP="0064541B">
      <w:pPr>
        <w:pStyle w:val="LTAntwortRessortText"/>
        <w:spacing w:before="120"/>
      </w:pPr>
      <w:r>
        <w:t xml:space="preserve">Für die Entschädigung der Fischotterschäden wurde eine eigene Richtlinie des </w:t>
      </w:r>
      <w:r w:rsidR="0064541B">
        <w:t xml:space="preserve">Staatsministeriums für Ernährung, Landwirtschaft und Forsten </w:t>
      </w:r>
      <w:r>
        <w:t xml:space="preserve">erstellt. 2016 konnten erstmalig Zahlungen erfolgen. Sie betrugen 80 </w:t>
      </w:r>
      <w:r w:rsidR="004A62EF">
        <w:t>Prozent</w:t>
      </w:r>
      <w:r>
        <w:t xml:space="preserve"> des Gesamtschadens von 280 000 </w:t>
      </w:r>
      <w:r w:rsidR="004A62EF">
        <w:t>Euro</w:t>
      </w:r>
      <w:r>
        <w:t xml:space="preserve">. Für das Jahr 2017 liegen noch keine endgültigen Ergebnisse vor; der Schaden wird jedoch auf ca. 800 000 </w:t>
      </w:r>
      <w:r w:rsidR="004A62EF">
        <w:t>Euro</w:t>
      </w:r>
      <w:r w:rsidR="0064541B">
        <w:t xml:space="preserve"> geschätzt. </w:t>
      </w:r>
    </w:p>
    <w:p w:rsidR="006E4BC2" w:rsidRDefault="006E4BC2" w:rsidP="006E4BC2">
      <w:pPr>
        <w:pStyle w:val="LTAntwortRessortText"/>
      </w:pPr>
      <w:r>
        <w:t xml:space="preserve">Die Erfahrungen aus der Arbeit der </w:t>
      </w:r>
      <w:r w:rsidR="00E94A2C">
        <w:t>Fischotterberater sind durchweg</w:t>
      </w:r>
      <w:r>
        <w:t xml:space="preserve"> sehr gut. Sie bieten eine Anlaufstelle für die betroffenen Teichwirte bei Otterproblemen, beraten bei der Konstruktion wirkungsvoller Otterzäune und erheben bzw. beurteilen die Fraßschäden, die der Otter verursacht. Es hat sich gezeigt, dass ein präventiver Zaunbau nur bei kleinen Teichen, vorrangig Forellenteichen, möglich ist. Bei den meist großflächigen Karpfenteichen </w:t>
      </w:r>
      <w:r w:rsidR="0064541B">
        <w:t>sind Einzäunungen selbst bei 50-p</w:t>
      </w:r>
      <w:r w:rsidR="004A62EF">
        <w:t>ro</w:t>
      </w:r>
      <w:r w:rsidR="0064541B">
        <w:softHyphen/>
      </w:r>
      <w:r w:rsidR="004A62EF">
        <w:t>zent</w:t>
      </w:r>
      <w:r>
        <w:t>iger Förderung wirtschaftlich, aber auch bautechnisch und ökologisch</w:t>
      </w:r>
      <w:r w:rsidR="00E94A2C">
        <w:t>,</w:t>
      </w:r>
      <w:r>
        <w:t xml:space="preserve"> nicht darstellbar. </w:t>
      </w:r>
    </w:p>
    <w:p w:rsidR="006E4BC2" w:rsidRDefault="006E4BC2" w:rsidP="006E4BC2">
      <w:pPr>
        <w:pStyle w:val="LTAntwortRessortText"/>
      </w:pPr>
      <w:r>
        <w:t>Mittlerweile werden die Otterberater über die ursprünglich zugeordneten Regierungsbezirke hinaus von Teichwirten angefordert. Dies betrifft bereits Oberfranken, Oberbayern und Mittelfranken.</w:t>
      </w:r>
    </w:p>
    <w:p w:rsidR="006E4BC2" w:rsidRDefault="006E4BC2" w:rsidP="006E4BC2">
      <w:pPr>
        <w:pStyle w:val="LTAntwortRessortText"/>
      </w:pPr>
      <w:r>
        <w:t>Derzeit erfolgt ein Monitoring der Fischotterbestände. In der Folge sind eine Aktualisierung des Fischotter-Managementplans sowie weitere Maßnahmen vorgesehen, wenn sich die Tendenzen stark zunehmender Otterschäden, der fortlaufenden Ausdehnung der Otterpopulation und der Betriebsaufgaben bestätigen.</w:t>
      </w:r>
    </w:p>
    <w:p w:rsidR="0088407F" w:rsidRDefault="0088407F" w:rsidP="006E4BC2">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Gisela</w:t>
            </w:r>
            <w:r w:rsidRPr="006E4BC2">
              <w:rPr>
                <w:b/>
              </w:rPr>
              <w:br/>
              <w:t>Sengl</w:t>
            </w:r>
            <w:r w:rsidRPr="006E4BC2">
              <w:rPr>
                <w:b/>
              </w:rPr>
              <w:br/>
            </w:r>
            <w:r w:rsidRPr="006E4BC2">
              <w:t>(BÜNDNIS 90/DIE GRÜNEN)</w:t>
            </w:r>
            <w:r>
              <w:fldChar w:fldCharType="begin"/>
            </w:r>
            <w:r>
              <w:instrText xml:space="preserve"> TC </w:instrText>
            </w:r>
            <w:r w:rsidR="004A62EF">
              <w:instrText>„</w:instrText>
            </w:r>
            <w:bookmarkStart w:id="51" w:name="_Toc511290270"/>
            <w:r>
              <w:instrText>Sengl, Gisela (BÜNDNIS 90/DIE GRÜNEN)</w:instrText>
            </w:r>
            <w:r>
              <w:br/>
              <w:instrText>Maßnahmen zum Gewässerschutz am Waginger See und am Abtsdorfer See</w:instrText>
            </w:r>
            <w:bookmarkEnd w:id="51"/>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welche Maßnahmen wurden im Rahmen des Gewässer- und Bodenschutzes durch die Initiative boden:ständig und die einzelbetriebliche Beratung durch die Seenberater im Einzugsgebiet des Waginger Sees, des Tachinger Sees und des Abtsdorfer Sees durchgeführt, wie viel landwirtschaftliche Fläche im Einzugsgebiet in Prozent ist einbezogen und welche Ergebnisse der letzten Untersuchung ergeben sich in Bezug auf die Gewässerqualität?</w:t>
            </w:r>
          </w:p>
          <w:p w:rsidR="006E4BC2" w:rsidRDefault="006E4BC2" w:rsidP="006E4BC2">
            <w:pPr>
              <w:pStyle w:val="LTAnfrageText"/>
            </w:pPr>
          </w:p>
        </w:tc>
      </w:tr>
    </w:tbl>
    <w:p w:rsidR="006E4BC2" w:rsidRDefault="006E4BC2" w:rsidP="006E4BC2">
      <w:pPr>
        <w:pStyle w:val="LTUeberschrAntwortRessort"/>
      </w:pPr>
      <w:r>
        <w:t>Antwort des Staatsministeriums für Ernährung, Landwirtschaft und Forsten</w:t>
      </w:r>
    </w:p>
    <w:p w:rsidR="006E4BC2" w:rsidRPr="0064541B" w:rsidRDefault="006E4BC2" w:rsidP="006E4BC2">
      <w:pPr>
        <w:pStyle w:val="LTAntwortRessortText"/>
        <w:rPr>
          <w:u w:val="single"/>
        </w:rPr>
      </w:pPr>
      <w:r w:rsidRPr="0064541B">
        <w:rPr>
          <w:u w:val="single"/>
        </w:rPr>
        <w:t>Initiative boden:ständig</w:t>
      </w:r>
      <w:r w:rsidR="0064541B">
        <w:rPr>
          <w:u w:val="single"/>
        </w:rPr>
        <w:t>:</w:t>
      </w:r>
    </w:p>
    <w:p w:rsidR="006E4BC2" w:rsidRDefault="0064541B" w:rsidP="00A76155">
      <w:pPr>
        <w:pStyle w:val="LTAntwortRessortText"/>
        <w:spacing w:before="360"/>
      </w:pPr>
      <w:r>
        <w:t>Die beiden boden:ständig-</w:t>
      </w:r>
      <w:r w:rsidR="006E4BC2">
        <w:t xml:space="preserve">Projekte </w:t>
      </w:r>
      <w:r w:rsidR="004A62EF">
        <w:t>„</w:t>
      </w:r>
      <w:r w:rsidR="006E4BC2">
        <w:t>Waginger und Tachinger See</w:t>
      </w:r>
      <w:r w:rsidR="004A62EF">
        <w:t>“</w:t>
      </w:r>
      <w:r w:rsidR="006E4BC2">
        <w:t xml:space="preserve"> und </w:t>
      </w:r>
      <w:r w:rsidR="004A62EF">
        <w:t>„</w:t>
      </w:r>
      <w:r w:rsidR="006E4BC2">
        <w:t>Abtsdorfer See</w:t>
      </w:r>
      <w:r w:rsidR="004A62EF">
        <w:t>“</w:t>
      </w:r>
      <w:r w:rsidR="006E4BC2">
        <w:t xml:space="preserve"> erfassen jeweils das gesamte Einzugsgebiet. Die Maßnahmenplanung und -umsetzung erfolgt dabei strategisch an den sogenannten </w:t>
      </w:r>
      <w:r>
        <w:t>Hotspots im Einzugsgebiet, d. </w:t>
      </w:r>
      <w:r w:rsidR="006E4BC2">
        <w:t>h. an denjenigen Stellen, an denen besonders konzentriert Nährstoffe aus den landwirtschaftlichen Flächen in die den Seen zufließenden Gräben und Bäche gelangen.</w:t>
      </w:r>
    </w:p>
    <w:p w:rsidR="006E4BC2" w:rsidRDefault="006E4BC2" w:rsidP="00A76155">
      <w:pPr>
        <w:pStyle w:val="LTAntwortRessortText"/>
        <w:spacing w:before="360"/>
      </w:pPr>
      <w:r>
        <w:t xml:space="preserve">Mittels ingenieurökologisch geplanter Rückhaltesysteme wird an diesen Stellen die schnelle Weiterleitung des nährstoffhaltigen Wassers unterbrochen und die Nährstoffe zurückgehalten bzw. umgesetzt: Gelöster Phosphor wird durch Versickerung im Boden gebunden, partikulär gebundener Phosphor durch Auskämmen und Sedimentation der Teilchen aus dem Wasser entfernt. Die Reduktionsleistungen bei Phosphor liegen in Abhängigkeit von Standort und Bautyp mindestens zwischen 30 und 60 </w:t>
      </w:r>
      <w:r w:rsidR="004A62EF">
        <w:t>Prozent</w:t>
      </w:r>
      <w:r>
        <w:t>.</w:t>
      </w:r>
    </w:p>
    <w:p w:rsidR="006E4BC2" w:rsidRDefault="006E4BC2" w:rsidP="00A76155">
      <w:pPr>
        <w:pStyle w:val="LTAntwortRessortText"/>
        <w:spacing w:before="360"/>
      </w:pPr>
      <w:r>
        <w:t xml:space="preserve">Parallel zur fachlichen Erfassung und Bewertung der Nährstoffaustragspfade (v. a. Drainagen und Gräben) wurden durch eine intensive Kommunikations- und Beratungstätigkeit sukzessive immer mehr Landwirte zum aktiven Mitmachen motiviert </w:t>
      </w:r>
      <w:r w:rsidR="0064541B">
        <w:t xml:space="preserve">– </w:t>
      </w:r>
      <w:r>
        <w:t>von kleinen, einfachen Maßnahmen, wie dem Verschließen von Gullyschächten in Wiesen, über Kleinstrückhaltungen auf Privatflächen bis hin zum Verkauf und Tausch von Flächen zur Anlage von großen Rückhaltesystemen zum Wasser- und Nährstoffrückhalt im Rahmen der speziell für boden:ständig angeordneten Flurneuordnungsverfahren.</w:t>
      </w:r>
    </w:p>
    <w:p w:rsidR="006E4BC2" w:rsidRDefault="006E4BC2" w:rsidP="00A76155">
      <w:pPr>
        <w:pStyle w:val="LTAntwortRessortText"/>
        <w:spacing w:before="360"/>
      </w:pPr>
      <w:r>
        <w:t xml:space="preserve">Die Teilnehmergemeinschaft Waginger-Tachinger See konnte seit 2014 zwölf große Baumaßnahmen zum Phosphor-Rückhalt mit Ausführungskosten von ca. 500 000 Euro umsetzen. </w:t>
      </w:r>
    </w:p>
    <w:p w:rsidR="006E4BC2" w:rsidRDefault="006E4BC2" w:rsidP="00A76155">
      <w:pPr>
        <w:pStyle w:val="LTAntwortRessortText"/>
        <w:spacing w:before="360"/>
      </w:pPr>
      <w:r>
        <w:t>Am Abtsdorfer See sind durch die Teilnehmergemeinschaft Abtsdorfer See vier Baumaßnahmen mit einem geschätzten Investitionsvolumen von 200.000 Euro in Planung, die voraussichtlich 2019 realisiert werden.</w:t>
      </w:r>
    </w:p>
    <w:p w:rsidR="006E4BC2" w:rsidRDefault="006E4BC2" w:rsidP="00A76155">
      <w:pPr>
        <w:pStyle w:val="LTAntwortRessortText"/>
        <w:spacing w:before="360"/>
      </w:pPr>
      <w:r>
        <w:t>Damit wurden am Waginger und Tachinger See bereits rund 120 ha derjenigen Flächen erfasst, die zu den Bereichen mit den höchsten Phosphorausträgen gehören. Am Abtsdorfer See werden mit den ersten Maßnahmen rund 55 ha der besonders intensiven Nährstoffquellen erfasst.</w:t>
      </w:r>
    </w:p>
    <w:p w:rsidR="006E4BC2" w:rsidRPr="0064541B" w:rsidRDefault="006E4BC2" w:rsidP="00A76155">
      <w:pPr>
        <w:pStyle w:val="LTAntwortRessortText"/>
        <w:spacing w:before="360"/>
        <w:rPr>
          <w:u w:val="single"/>
        </w:rPr>
      </w:pPr>
      <w:r w:rsidRPr="0064541B">
        <w:rPr>
          <w:u w:val="single"/>
        </w:rPr>
        <w:t>Seenberatung</w:t>
      </w:r>
      <w:r w:rsidR="0064541B">
        <w:rPr>
          <w:u w:val="single"/>
        </w:rPr>
        <w:t>:</w:t>
      </w:r>
    </w:p>
    <w:p w:rsidR="006E4BC2" w:rsidRDefault="00E94A2C" w:rsidP="0064541B">
      <w:pPr>
        <w:pStyle w:val="LTAntwortRessortText"/>
        <w:spacing w:before="120"/>
      </w:pPr>
      <w:r>
        <w:t>Im Rahmen des Projekt</w:t>
      </w:r>
      <w:r w:rsidR="006E4BC2">
        <w:t xml:space="preserve">s </w:t>
      </w:r>
      <w:r w:rsidR="004A62EF">
        <w:t>„</w:t>
      </w:r>
      <w:r w:rsidR="006E4BC2">
        <w:t>Seenberatung Waginger See</w:t>
      </w:r>
      <w:r w:rsidR="004A62EF">
        <w:t>“</w:t>
      </w:r>
      <w:r w:rsidR="006E4BC2">
        <w:t xml:space="preserve"> wurden alle rd. 440 Landwirte im Einzugsbereich des Sees mehrmals schriftlich auf das Beratungsangebot hingewiesen. Außerdem wurde bei </w:t>
      </w:r>
      <w:r>
        <w:t>den Winterversammlungen des Amt</w:t>
      </w:r>
      <w:r w:rsidR="006E4BC2">
        <w:t>s für Ernährung, Landwirtschaft und Forsten</w:t>
      </w:r>
      <w:r w:rsidR="00BD0BB0">
        <w:t xml:space="preserve"> (AELF)</w:t>
      </w:r>
      <w:r w:rsidR="006E4BC2">
        <w:t xml:space="preserve"> auf sieben Jagdversammlungen, bei zwei Treffen mit den BBV-Obleuten </w:t>
      </w:r>
      <w:r w:rsidR="00BD0BB0">
        <w:t xml:space="preserve">(BBV = Bayerischer Bauernverband) </w:t>
      </w:r>
      <w:r>
        <w:t>des Seeneinzugsgebiet</w:t>
      </w:r>
      <w:r w:rsidR="006E4BC2">
        <w:t xml:space="preserve">s, bei vier speziellen Infoveranstaltungen zum </w:t>
      </w:r>
      <w:r w:rsidR="0064541B">
        <w:t>Kulturlandschaftsprogramm (</w:t>
      </w:r>
      <w:r w:rsidR="006E4BC2">
        <w:t>KULAP</w:t>
      </w:r>
      <w:r w:rsidR="0064541B">
        <w:t>)</w:t>
      </w:r>
      <w:r w:rsidR="006E4BC2">
        <w:t xml:space="preserve"> und über die Seen-Bürgermeister intensiv für diese </w:t>
      </w:r>
      <w:r w:rsidR="004A62EF">
        <w:t>„</w:t>
      </w:r>
      <w:r w:rsidR="006E4BC2">
        <w:t>Nachhaltigkeitsberatung</w:t>
      </w:r>
      <w:r w:rsidR="004A62EF">
        <w:t>“</w:t>
      </w:r>
      <w:r w:rsidR="006E4BC2">
        <w:t xml:space="preserve"> geworben. Insgesamt haben knapp 60</w:t>
      </w:r>
      <w:r w:rsidR="0064541B">
        <w:t> </w:t>
      </w:r>
      <w:r w:rsidR="004A62EF">
        <w:t>Prozent</w:t>
      </w:r>
      <w:r w:rsidR="006E4BC2">
        <w:t xml:space="preserve"> der Landwirte die Einzelberatungen in Anspruch genommen, einige bereits mehrmals. Zudem wurden Sammelberatungen in Form von Feldtagen (z.</w:t>
      </w:r>
      <w:r w:rsidR="0064541B">
        <w:t> </w:t>
      </w:r>
      <w:r w:rsidR="006E4BC2">
        <w:t>B. Zwischenfruchtanbau, Maismulchsaat) oder der Besichtigung einer Fahrsilosanierung durchgeführt. Bei verschiedenen Veran</w:t>
      </w:r>
      <w:r w:rsidR="00196271">
        <w:t>staltungen (Tag des offenen Hof</w:t>
      </w:r>
      <w:r w:rsidR="006E4BC2">
        <w:t>s, Gewerbeschau TRUNA) haben die Seenberater über gewässerschonende Landbewirtschaftung informiert.</w:t>
      </w:r>
    </w:p>
    <w:p w:rsidR="006E4BC2" w:rsidRDefault="0064541B" w:rsidP="006E4BC2">
      <w:pPr>
        <w:pStyle w:val="LTAntwortRessortText"/>
      </w:pPr>
      <w:r>
        <w:t>Am 21.03.</w:t>
      </w:r>
      <w:r w:rsidR="006E4BC2">
        <w:t xml:space="preserve">2018 fand ein </w:t>
      </w:r>
      <w:r w:rsidR="004A62EF">
        <w:t>„</w:t>
      </w:r>
      <w:r w:rsidR="006E4BC2">
        <w:t>Runder Tisch Gewässerschutz</w:t>
      </w:r>
      <w:r w:rsidR="004A62EF">
        <w:t>“</w:t>
      </w:r>
      <w:r>
        <w:t xml:space="preserve"> statt und am 13.04.</w:t>
      </w:r>
      <w:r w:rsidR="006E4BC2">
        <w:t xml:space="preserve">2018 veranstaltet das </w:t>
      </w:r>
      <w:r w:rsidR="00BD0BB0">
        <w:t>AELF</w:t>
      </w:r>
      <w:r w:rsidRPr="0064541B">
        <w:t xml:space="preserve"> </w:t>
      </w:r>
      <w:r w:rsidR="006E4BC2">
        <w:t>Traunst</w:t>
      </w:r>
      <w:r w:rsidR="007C0176">
        <w:t>ein gemeinsam mit der Ökomodell</w:t>
      </w:r>
      <w:r w:rsidR="006E4BC2">
        <w:t xml:space="preserve">region Waginger See </w:t>
      </w:r>
      <w:r w:rsidR="00BD0BB0">
        <w:t>–</w:t>
      </w:r>
      <w:r w:rsidR="006E4BC2">
        <w:t xml:space="preserve"> Rupertiwinkel eine ganztägige Veranstaltung mit dem Titel </w:t>
      </w:r>
      <w:r w:rsidR="004A62EF">
        <w:t>„</w:t>
      </w:r>
      <w:r w:rsidR="006E4BC2">
        <w:t>Milchwirtschaft im Einkl</w:t>
      </w:r>
      <w:r w:rsidR="00BD0BB0">
        <w:t>ang mit dem Gewässer- und Arten</w:t>
      </w:r>
      <w:r w:rsidR="006E4BC2">
        <w:t xml:space="preserve">schutz </w:t>
      </w:r>
      <w:r w:rsidR="00BD0BB0">
        <w:t>–</w:t>
      </w:r>
      <w:r w:rsidR="006E4BC2">
        <w:t xml:space="preserve"> geht das?</w:t>
      </w:r>
      <w:r w:rsidR="004A62EF">
        <w:t>“</w:t>
      </w:r>
      <w:r w:rsidR="006E4BC2">
        <w:t>.</w:t>
      </w:r>
    </w:p>
    <w:p w:rsidR="006E4BC2" w:rsidRPr="00BD0BB0" w:rsidRDefault="006E4BC2" w:rsidP="006E4BC2">
      <w:pPr>
        <w:pStyle w:val="LTAntwortRessortText"/>
        <w:rPr>
          <w:u w:val="single"/>
        </w:rPr>
      </w:pPr>
      <w:r w:rsidRPr="00BD0BB0">
        <w:rPr>
          <w:u w:val="single"/>
        </w:rPr>
        <w:t>Die Gewässerqualität der Seen stellt sich wie folgt dar:</w:t>
      </w:r>
    </w:p>
    <w:p w:rsidR="006E4BC2" w:rsidRDefault="006E4BC2" w:rsidP="00BD0BB0">
      <w:pPr>
        <w:pStyle w:val="LTAntwortRessortText"/>
        <w:spacing w:before="120"/>
      </w:pPr>
      <w:r>
        <w:t>Der Tachinger See weist den gut</w:t>
      </w:r>
      <w:r w:rsidR="00BD0BB0">
        <w:t>en Zustand nach EG-Wasserrahmen</w:t>
      </w:r>
      <w:r>
        <w:t>richtlinie (WRRL) auf. Der Waginger See (unbefriedigend) und der Abtsdorfer See (mäßig) verfehlen derzeit noch die Umweltziele (2. Bewirtschaftungsplan WRRL von 2015). Beim Waginger See zeichnet sich in den Untersuchungen der Gewässerbiologie von 2016 eine leichte Verbesserung ab, die aber noch durch weitere Untersuchungen bestätigt werden muss. Die Auswertungen der Untersuchungen im Abtsdorfer See von 2017 sind noch nicht abgeschlossen.</w:t>
      </w:r>
    </w:p>
    <w:p w:rsidR="0082494C" w:rsidRDefault="0082494C">
      <w:pPr>
        <w:rPr>
          <w:rFonts w:cs="Arial"/>
          <w:b/>
          <w:sz w:val="22"/>
          <w:szCs w:val="22"/>
        </w:rPr>
      </w:pPr>
      <w:r>
        <w:br w:type="page"/>
      </w:r>
    </w:p>
    <w:p w:rsidR="006E4BC2" w:rsidRDefault="006E4BC2" w:rsidP="006E4BC2">
      <w:pPr>
        <w:pStyle w:val="LTUeberschrRessort"/>
      </w:pPr>
      <w:r>
        <w:t>Geschäftsbereich des Staatsministeriums für Familie, Arbeit und Soziales</w:t>
      </w:r>
      <w:r>
        <w:fldChar w:fldCharType="begin"/>
      </w:r>
      <w:r>
        <w:instrText xml:space="preserve"> TC </w:instrText>
      </w:r>
      <w:r w:rsidR="004A62EF">
        <w:instrText>„</w:instrText>
      </w:r>
      <w:bookmarkStart w:id="52" w:name="_Toc511290271"/>
      <w:r>
        <w:instrText>Geschäftsbereich des Staatsministeriums für Familie, Arbeit und Soziales</w:instrText>
      </w:r>
      <w:bookmarkEnd w:id="52"/>
      <w:r w:rsidR="004A62E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Markus</w:t>
            </w:r>
            <w:r w:rsidRPr="006E4BC2">
              <w:rPr>
                <w:b/>
              </w:rPr>
              <w:br/>
              <w:t>Rinderspacher</w:t>
            </w:r>
            <w:r w:rsidRPr="006E4BC2">
              <w:rPr>
                <w:b/>
              </w:rPr>
              <w:br/>
            </w:r>
            <w:r w:rsidRPr="006E4BC2">
              <w:t>(SPD)</w:t>
            </w:r>
            <w:r>
              <w:fldChar w:fldCharType="begin"/>
            </w:r>
            <w:r>
              <w:instrText xml:space="preserve"> TC </w:instrText>
            </w:r>
            <w:r w:rsidR="004A62EF">
              <w:instrText>„</w:instrText>
            </w:r>
            <w:bookmarkStart w:id="53" w:name="_Toc511290272"/>
            <w:r>
              <w:instrText>Rinderspacher, Markus (SPD)</w:instrText>
            </w:r>
            <w:r>
              <w:br/>
              <w:instrText>Betreuungsquote in Bayern</w:instrText>
            </w:r>
            <w:bookmarkEnd w:id="53"/>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wie hoch ist aktuell die Betreuungsquote in Prozent und zahlenmäßigen Betreuungsplätzen von Kindern unter drei Jahren in öffentlich geförderter Tagesbetreuung (bitte aufgeschlüsselt nach Regierungsbezirken, Landkreisen und kreisfreien Städten und differenziert nach den verschiedenen Altersgruppen 0 bis1 Jahre, 1 bis 2 Jahre, 2 bis 3 Jahre, 0 bis 3 Jahre und 1 bis 3 Jahre), wie hoch lag die Betreuungsquote in Prozent und zahlenmäßigen Betreuungsplätzen von Kindern unter drei Jahren in öffentlich geförderter Tagesbetreuung exakt 12 Monate zuvor (bitte aufgeschlüsselt nach Regierungsbezirken, Landkreisen und kreisfreien Städten und differenziert nach den verschiedenen Altersgruppen 0 bis1 Jahre, 1 bis 2 Jahre, 2 bis 3 Jahre, 0 bis 3 Jahre und 1 bis 3 Jahre), wie hoch ist aktuell die Betreuungsquote in Prozent und zahlenmäßigen Betreuungsplätzen von Kindern unter drei Jahren in öffentlich geförderter Tagesbetreuung im Bund und in den einzelnen Bundesländern, falls bekannt?</w:t>
            </w:r>
          </w:p>
          <w:p w:rsidR="006E4BC2" w:rsidRDefault="006E4BC2" w:rsidP="006E4BC2">
            <w:pPr>
              <w:pStyle w:val="LTAnfrageText"/>
            </w:pPr>
          </w:p>
        </w:tc>
      </w:tr>
    </w:tbl>
    <w:p w:rsidR="006E4BC2" w:rsidRDefault="006E4BC2" w:rsidP="006E4BC2">
      <w:pPr>
        <w:pStyle w:val="LTUeberschrAntwortRessort"/>
      </w:pPr>
      <w:r>
        <w:t>Antwort des Staatsministeriums für Familie, Arbeit und Soziales</w:t>
      </w:r>
    </w:p>
    <w:p w:rsidR="006E4BC2" w:rsidRDefault="006E4BC2" w:rsidP="006E4BC2">
      <w:pPr>
        <w:pStyle w:val="LTAntwortRessortText"/>
      </w:pPr>
      <w:r>
        <w:t xml:space="preserve">Aus den nachfolgenden Tabellen sind die Betreuungsquoten für Kinder unter drei Jahren </w:t>
      </w:r>
      <w:r w:rsidR="00632DAF">
        <w:t>laut</w:t>
      </w:r>
      <w:r>
        <w:t xml:space="preserve"> Kinder- und Jugendhilfestatistik des </w:t>
      </w:r>
      <w:r w:rsidR="00632DAF">
        <w:t>Landesamt</w:t>
      </w:r>
      <w:r>
        <w:t>s für Statistik und Datenv</w:t>
      </w:r>
      <w:r w:rsidR="00632DAF">
        <w:t>erarbeitung ersichtlich. Betreu</w:t>
      </w:r>
      <w:r>
        <w:t xml:space="preserve">ungsquoten für Kinder von einem bis unter drei Jahren stehen hier leider nicht zur Verfügung. Aktuellster Stand ist der 01.03.2017, aktuellere Daten sind derzeit leider nicht verfügbar. </w:t>
      </w:r>
    </w:p>
    <w:p w:rsidR="006E4BC2" w:rsidRDefault="006E4BC2" w:rsidP="006E4BC2">
      <w:pPr>
        <w:pStyle w:val="LTAntwortRessortText"/>
      </w:pPr>
    </w:p>
    <w:p w:rsidR="006E4BC2" w:rsidRDefault="00632DAF" w:rsidP="006E4BC2">
      <w:pPr>
        <w:pStyle w:val="LTAntwortRessortText"/>
      </w:pPr>
      <w:r w:rsidRPr="00105C4E">
        <w:rPr>
          <w:noProof/>
        </w:rPr>
        <w:drawing>
          <wp:inline distT="0" distB="0" distL="0" distR="0" wp14:anchorId="6676F979" wp14:editId="7D4D7237">
            <wp:extent cx="5615940" cy="6468467"/>
            <wp:effectExtent l="0" t="0" r="3810" b="889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5940" cy="6468467"/>
                    </a:xfrm>
                    <a:prstGeom prst="rect">
                      <a:avLst/>
                    </a:prstGeom>
                    <a:noFill/>
                    <a:ln>
                      <a:noFill/>
                    </a:ln>
                  </pic:spPr>
                </pic:pic>
              </a:graphicData>
            </a:graphic>
          </wp:inline>
        </w:drawing>
      </w:r>
    </w:p>
    <w:p w:rsidR="00632DAF" w:rsidRDefault="00632DAF" w:rsidP="006E4BC2">
      <w:pPr>
        <w:pStyle w:val="LTAntwortRessortText"/>
      </w:pPr>
      <w:r>
        <w:rPr>
          <w:noProof/>
        </w:rPr>
        <w:drawing>
          <wp:inline distT="0" distB="0" distL="0" distR="0" wp14:anchorId="57A1CA90">
            <wp:extent cx="5614670" cy="8187690"/>
            <wp:effectExtent l="0" t="0" r="508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4670" cy="8187690"/>
                    </a:xfrm>
                    <a:prstGeom prst="rect">
                      <a:avLst/>
                    </a:prstGeom>
                    <a:noFill/>
                  </pic:spPr>
                </pic:pic>
              </a:graphicData>
            </a:graphic>
          </wp:inline>
        </w:drawing>
      </w:r>
    </w:p>
    <w:p w:rsidR="00632DAF" w:rsidRDefault="00632DAF" w:rsidP="006E4BC2">
      <w:pPr>
        <w:pStyle w:val="LTAntwortRessortText"/>
      </w:pPr>
      <w:r>
        <w:rPr>
          <w:noProof/>
        </w:rPr>
        <w:drawing>
          <wp:inline distT="0" distB="0" distL="0" distR="0" wp14:anchorId="04D131AE">
            <wp:extent cx="5614670" cy="253619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4670" cy="2536190"/>
                    </a:xfrm>
                    <a:prstGeom prst="rect">
                      <a:avLst/>
                    </a:prstGeom>
                    <a:noFill/>
                  </pic:spPr>
                </pic:pic>
              </a:graphicData>
            </a:graphic>
          </wp:inline>
        </w:drawing>
      </w:r>
    </w:p>
    <w:p w:rsidR="00632DAF" w:rsidRDefault="00632DAF" w:rsidP="006E4BC2">
      <w:pPr>
        <w:pStyle w:val="LTAntwortRessortText"/>
      </w:pPr>
      <w:r w:rsidRPr="00105C4E">
        <w:rPr>
          <w:noProof/>
        </w:rPr>
        <w:drawing>
          <wp:inline distT="0" distB="0" distL="0" distR="0" wp14:anchorId="6FC3F860" wp14:editId="4C1C6E90">
            <wp:extent cx="5615940" cy="4248938"/>
            <wp:effectExtent l="0" t="0" r="381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5940" cy="4248938"/>
                    </a:xfrm>
                    <a:prstGeom prst="rect">
                      <a:avLst/>
                    </a:prstGeom>
                    <a:noFill/>
                    <a:ln>
                      <a:noFill/>
                    </a:ln>
                  </pic:spPr>
                </pic:pic>
              </a:graphicData>
            </a:graphic>
          </wp:inline>
        </w:drawing>
      </w:r>
    </w:p>
    <w:p w:rsidR="00632DAF" w:rsidRDefault="00632DAF" w:rsidP="006E4BC2">
      <w:pPr>
        <w:pStyle w:val="LTAntwortRessortText"/>
      </w:pPr>
      <w:r w:rsidRPr="0020275D">
        <w:rPr>
          <w:noProof/>
        </w:rPr>
        <w:drawing>
          <wp:inline distT="0" distB="0" distL="0" distR="0" wp14:anchorId="1B8BC4EE" wp14:editId="5C0E93CF">
            <wp:extent cx="5615940" cy="8183931"/>
            <wp:effectExtent l="0" t="0" r="381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5940" cy="8183931"/>
                    </a:xfrm>
                    <a:prstGeom prst="rect">
                      <a:avLst/>
                    </a:prstGeom>
                    <a:noFill/>
                    <a:ln>
                      <a:noFill/>
                    </a:ln>
                  </pic:spPr>
                </pic:pic>
              </a:graphicData>
            </a:graphic>
          </wp:inline>
        </w:drawing>
      </w:r>
    </w:p>
    <w:p w:rsidR="00632DAF" w:rsidRDefault="00632DAF" w:rsidP="006E4BC2">
      <w:pPr>
        <w:pStyle w:val="LTAntwortRessortText"/>
      </w:pPr>
      <w:r w:rsidRPr="00BD56FF">
        <w:rPr>
          <w:noProof/>
        </w:rPr>
        <w:drawing>
          <wp:inline distT="0" distB="0" distL="0" distR="0" wp14:anchorId="5FBD6A5B" wp14:editId="00A60BDD">
            <wp:extent cx="5615940" cy="4582059"/>
            <wp:effectExtent l="0" t="0" r="3810"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5940" cy="4582059"/>
                    </a:xfrm>
                    <a:prstGeom prst="rect">
                      <a:avLst/>
                    </a:prstGeom>
                    <a:noFill/>
                    <a:ln>
                      <a:noFill/>
                    </a:ln>
                  </pic:spPr>
                </pic:pic>
              </a:graphicData>
            </a:graphic>
          </wp:inline>
        </w:drawing>
      </w:r>
    </w:p>
    <w:p w:rsidR="006E4BC2" w:rsidRDefault="006E4BC2" w:rsidP="006E4BC2">
      <w:pPr>
        <w:pStyle w:val="LTAntwortRessortText"/>
      </w:pPr>
      <w:r>
        <w:t>Im Rahmen des Sonderinvestitions</w:t>
      </w:r>
      <w:r w:rsidR="0004798E">
        <w:t>programms Kinderbetreuungsfinan</w:t>
      </w:r>
      <w:r>
        <w:t>zierung wurden im Jahr 2017 insgesamt 9.195 Plätze für Kinder von der Geburt bis zum Schuleintritt bewilligt, davon 4.036 Krippenplätze.</w:t>
      </w:r>
    </w:p>
    <w:p w:rsidR="006E4BC2" w:rsidRDefault="006E4BC2" w:rsidP="006E4BC2">
      <w:pPr>
        <w:pStyle w:val="LTAntwortRessortText"/>
      </w:pPr>
      <w:r>
        <w:t>Aus der nachfolgenden Tabelle ist die Zahl der betreuten Kinder unter drei Jahren des Bundes und der einzelnen Bundesländer ersichtlich. Aufgrund technischer Anpassungen s</w:t>
      </w:r>
      <w:r w:rsidR="0004798E">
        <w:t>tehen beim Statistischen Bundes</w:t>
      </w:r>
      <w:r>
        <w:t>amt die für die Berechnung der Betreuungsquoten des Bundes und der einzelnen Bundesländer nötigen Bevölkerungsdaten zum 31.12.2016 noch nicht zur Verfügung, diese Quoten können deshalb leider nicht genannt werden.</w:t>
      </w:r>
    </w:p>
    <w:p w:rsidR="006E4BC2" w:rsidRDefault="006E4BC2" w:rsidP="006E4BC2">
      <w:pPr>
        <w:pStyle w:val="LTAntwortRessortText"/>
      </w:pPr>
    </w:p>
    <w:p w:rsidR="006E4BC2" w:rsidRDefault="0004798E" w:rsidP="006E4BC2">
      <w:pPr>
        <w:pStyle w:val="LTAntwortRessortText"/>
      </w:pPr>
      <w:r w:rsidRPr="00F869E8">
        <w:rPr>
          <w:noProof/>
        </w:rPr>
        <w:drawing>
          <wp:inline distT="0" distB="0" distL="0" distR="0" wp14:anchorId="2AEE00E3" wp14:editId="07A4BF4A">
            <wp:extent cx="2584450" cy="3543935"/>
            <wp:effectExtent l="0" t="0" r="635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84450" cy="3543935"/>
                    </a:xfrm>
                    <a:prstGeom prst="rect">
                      <a:avLst/>
                    </a:prstGeom>
                    <a:noFill/>
                    <a:ln>
                      <a:noFill/>
                    </a:ln>
                  </pic:spPr>
                </pic:pic>
              </a:graphicData>
            </a:graphic>
          </wp:inline>
        </w:drawing>
      </w:r>
    </w:p>
    <w:p w:rsidR="006E4BC2" w:rsidRDefault="006E4BC2" w:rsidP="006E4BC2">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Gabi</w:t>
            </w:r>
            <w:r w:rsidRPr="006E4BC2">
              <w:rPr>
                <w:b/>
              </w:rPr>
              <w:br/>
              <w:t>Schmidt</w:t>
            </w:r>
            <w:r w:rsidRPr="006E4BC2">
              <w:rPr>
                <w:b/>
              </w:rPr>
              <w:br/>
            </w:r>
            <w:r w:rsidRPr="006E4BC2">
              <w:t>(FREIE WÄHLER)</w:t>
            </w:r>
            <w:r>
              <w:fldChar w:fldCharType="begin"/>
            </w:r>
            <w:r>
              <w:instrText xml:space="preserve"> TC </w:instrText>
            </w:r>
            <w:r w:rsidR="004A62EF">
              <w:instrText>„</w:instrText>
            </w:r>
            <w:bookmarkStart w:id="54" w:name="_Toc511290273"/>
            <w:r>
              <w:instrText>Schmidt, Gabi (FREIE WÄHLER)</w:instrText>
            </w:r>
            <w:r>
              <w:br/>
              <w:instrText>Cyber-Grooming in Bayern</w:instrText>
            </w:r>
            <w:bookmarkEnd w:id="54"/>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welche Erkenntnisse besitzt sie über die Verbreitung des sogenannten Cyber-Grooming (gezielte Anbahnung sexueller Kontakte mit Minderjährigen über das Internet) in Bayern, wie viele Fälle von damit in Zusammenhang stehender sexueller Nötigung sind bekannt und wie werden in Bayern Kinder und Eltern hinsichtlich dieser Problematik sensibilisiert?</w:t>
            </w:r>
          </w:p>
          <w:p w:rsidR="006E4BC2" w:rsidRDefault="006E4BC2" w:rsidP="006E4BC2">
            <w:pPr>
              <w:pStyle w:val="LTAnfrageText"/>
            </w:pPr>
          </w:p>
        </w:tc>
      </w:tr>
    </w:tbl>
    <w:p w:rsidR="006E4BC2" w:rsidRDefault="006E4BC2" w:rsidP="006E4BC2">
      <w:pPr>
        <w:pStyle w:val="LTUeberschrAntwortRessort"/>
      </w:pPr>
      <w:r>
        <w:t>Antwort des Staatsministeriums für Familie, Arbeit und Soziales</w:t>
      </w:r>
    </w:p>
    <w:p w:rsidR="006E4BC2" w:rsidRDefault="006E4BC2" w:rsidP="006E4BC2">
      <w:pPr>
        <w:pStyle w:val="LTAntwortRessortText"/>
      </w:pPr>
      <w:r>
        <w:t>Sexualisierte Gewalt stellt neben kör</w:t>
      </w:r>
      <w:r w:rsidR="0004798E">
        <w:t>perlicher Gewalt, Vernachlässi</w:t>
      </w:r>
      <w:r>
        <w:t>gung und seelischer Gewalt eine schreckliche Gewaltform gegen Kinder und Jugendliche dar.</w:t>
      </w:r>
    </w:p>
    <w:p w:rsidR="006E4BC2" w:rsidRDefault="006E4BC2" w:rsidP="006E4BC2">
      <w:pPr>
        <w:pStyle w:val="LTAntwortRessortText"/>
      </w:pPr>
      <w:r>
        <w:t>Erkenntnisse über die Häufigkeit von Cyber-Grooming, als Anbahnung realer sexueller Kontakte und damit d</w:t>
      </w:r>
      <w:r w:rsidR="0088407F">
        <w:t>ie Vorbereitung sexuellen Miss</w:t>
      </w:r>
      <w:r>
        <w:t xml:space="preserve">brauchs von Kindern und Jugendlichen, liegen dem </w:t>
      </w:r>
      <w:r w:rsidR="0004798E">
        <w:t>Staatsministerium für Familie, Arbeit und Soziales (StMAS)</w:t>
      </w:r>
      <w:r>
        <w:t xml:space="preserve"> nicht vor.</w:t>
      </w:r>
    </w:p>
    <w:p w:rsidR="006E4BC2" w:rsidRDefault="006E4BC2" w:rsidP="006E4BC2">
      <w:pPr>
        <w:pStyle w:val="LTAntwortRessortText"/>
      </w:pPr>
      <w:r>
        <w:t xml:space="preserve">Allerdings erfolgen auf Landesebene </w:t>
      </w:r>
      <w:r w:rsidR="0004798E">
        <w:t>zahlreiche Maßnahmen zur inter</w:t>
      </w:r>
      <w:r>
        <w:t>disziplinären Qualifizierung, Beratung und Sensibilisierung und zur Stärkung der Kinder und Jugendlichen.</w:t>
      </w:r>
    </w:p>
    <w:p w:rsidR="006E4BC2" w:rsidRDefault="006E4BC2" w:rsidP="006E4BC2">
      <w:pPr>
        <w:pStyle w:val="LTAntwortRessortText"/>
      </w:pPr>
      <w:r>
        <w:t>Bayern ist im Kinderschutz gut aufgestellt: Vielfältige Angebote und Maßnahmen, von präventiven Frühen Hilfen bis hin zum konsequenten Vollzug des staatlichen Wächteramts, fügen sich zu einem abgestimmten Gesamtkonzept zum Kinderschutz zusammen. Ein wesentlicher Baustein ist die Qualifizierung und Sen</w:t>
      </w:r>
      <w:r w:rsidR="0004798E">
        <w:t>sibilisierung. Im 2012 erschie</w:t>
      </w:r>
      <w:r>
        <w:t xml:space="preserve">nenen Leitfaden des StMAS für Ärztinnen und Ärzte </w:t>
      </w:r>
      <w:r w:rsidR="004A62EF">
        <w:t>„</w:t>
      </w:r>
      <w:r>
        <w:t xml:space="preserve">Gewalt gegen Kinder und Jugendliche </w:t>
      </w:r>
      <w:r w:rsidR="0004798E">
        <w:t>–</w:t>
      </w:r>
      <w:r>
        <w:t xml:space="preserve"> Erkennen und Handeln</w:t>
      </w:r>
      <w:r w:rsidR="004A62EF">
        <w:t>“</w:t>
      </w:r>
      <w:r>
        <w:t xml:space="preserve"> wird explizit auf die Gefahr des Cyber-Grooming als besondere Form der sexualisierten Gewalt hingewiesen (insb. Kap. 1.4. </w:t>
      </w:r>
      <w:r w:rsidR="004A62EF">
        <w:t>„</w:t>
      </w:r>
      <w:r>
        <w:t>Gewalt in den Neuen Medien</w:t>
      </w:r>
      <w:r w:rsidR="004A62EF">
        <w:t>“</w:t>
      </w:r>
      <w:r>
        <w:t>). Auf dieser Grundlage finden flächen</w:t>
      </w:r>
      <w:r w:rsidR="0004798E">
        <w:t>deckende Schulungen der Ärztin</w:t>
      </w:r>
      <w:r>
        <w:t xml:space="preserve">nen und Ärzte in Bayern durch die </w:t>
      </w:r>
      <w:r w:rsidR="0004798E">
        <w:t>durch das StMAS geförderte Kin</w:t>
      </w:r>
      <w:r>
        <w:t>derschutzambulanz am In</w:t>
      </w:r>
      <w:r w:rsidR="0004798E">
        <w:t>stitut für Rechtsmedizin der Ludwig-Maximilians-Universität</w:t>
      </w:r>
      <w:r>
        <w:t xml:space="preserve"> München statt.</w:t>
      </w:r>
    </w:p>
    <w:p w:rsidR="006E4BC2" w:rsidRDefault="006E4BC2" w:rsidP="006E4BC2">
      <w:pPr>
        <w:pStyle w:val="LTAntwortRessortText"/>
      </w:pPr>
      <w:r>
        <w:t xml:space="preserve">Derzeit fördert das StMAS zusätzlich mehrere Fortbildungsinitiativen speziell zum Thema </w:t>
      </w:r>
      <w:r w:rsidR="004A62EF">
        <w:t>„</w:t>
      </w:r>
      <w:r>
        <w:t>Sexualisierte Gewalt</w:t>
      </w:r>
      <w:r w:rsidR="004A62EF">
        <w:t>“</w:t>
      </w:r>
      <w:r>
        <w:t xml:space="preserve"> für Fachkräfte der Jugendämter sowie der Erziehungsberatungsstellen und </w:t>
      </w:r>
      <w:r w:rsidR="00E27A82">
        <w:br/>
      </w:r>
      <w:r>
        <w:t xml:space="preserve">(teil-)stationären Jugendhilfe. In Bayern wird zudem die bundesweite Initiative </w:t>
      </w:r>
      <w:r w:rsidR="004A62EF">
        <w:t>„</w:t>
      </w:r>
      <w:r>
        <w:t>Trau dich!</w:t>
      </w:r>
      <w:r w:rsidR="004A62EF">
        <w:t>“</w:t>
      </w:r>
      <w:r>
        <w:t xml:space="preserve"> zur Prävention des sexuellen Kindesmissbrauchs umgesetzt. Bis Ende 2017 erreichte die Initiative rund 10.000 Schülerinnen und Schüler der Jahrgangsstufen 3 und 4 der bayerischen Grundschulen.</w:t>
      </w:r>
    </w:p>
    <w:p w:rsidR="006E4BC2" w:rsidRDefault="006E4BC2" w:rsidP="006E4BC2">
      <w:pPr>
        <w:pStyle w:val="LTAntwortRessortText"/>
      </w:pPr>
      <w:r>
        <w:t xml:space="preserve">Die vom StMAS geförderte Aktion </w:t>
      </w:r>
      <w:r w:rsidR="00E27A82">
        <w:t>„</w:t>
      </w:r>
      <w:r>
        <w:t>Jugendschutz Bayern</w:t>
      </w:r>
      <w:r w:rsidR="00E27A82">
        <w:t>“</w:t>
      </w:r>
      <w:r>
        <w:t xml:space="preserve"> nimmt auf Landesebene wesentliche Aufgaben des erzieherisc</w:t>
      </w:r>
      <w:r w:rsidR="00E27A82">
        <w:t>hen Jugendschut</w:t>
      </w:r>
      <w:r>
        <w:t>zes wahr, um Kinder und Jugendliche stark zu machen. Sie unterstützt und sensibilisiert Eltern und Fachkräfte der Kinder- und Jugendhilfe in Fragen zu Medienpädagogik und Gewaltprävention. Dabei befasst sie sich auch mit der Prävention von Cyber-Grooming.</w:t>
      </w:r>
    </w:p>
    <w:p w:rsidR="006E4BC2" w:rsidRDefault="006E4BC2" w:rsidP="006E4BC2">
      <w:pPr>
        <w:pStyle w:val="LTAntwortRessortText"/>
      </w:pPr>
      <w:r>
        <w:t>Jugendschutz.net, das gemeinsame Kompetenzzentrum von Bund und Ländern, an dessen Finanzierung die Staatsregierung beteiligt ist, hat den Auftrag, Online-Angebote auf Verstöße gegen den Jugendschutz zu verfolgen. Insbesondere durch regelmäßige Recherchen über problematische Dienste und Handreichungen für Eltern und Fachkräfte leistet jugendschutz.net einen wichtigen Beitrag zur Prävention von Cyber-Grooming.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Herbert</w:t>
            </w:r>
            <w:r w:rsidRPr="006E4BC2">
              <w:rPr>
                <w:b/>
              </w:rPr>
              <w:br/>
              <w:t>Woerlein</w:t>
            </w:r>
            <w:r w:rsidRPr="006E4BC2">
              <w:rPr>
                <w:b/>
              </w:rPr>
              <w:br/>
            </w:r>
            <w:r w:rsidRPr="006E4BC2">
              <w:t>(SPD)</w:t>
            </w:r>
            <w:r>
              <w:fldChar w:fldCharType="begin"/>
            </w:r>
            <w:r>
              <w:instrText xml:space="preserve"> TC </w:instrText>
            </w:r>
            <w:r w:rsidR="004A62EF">
              <w:instrText>„</w:instrText>
            </w:r>
            <w:bookmarkStart w:id="55" w:name="_Toc511290274"/>
            <w:r>
              <w:instrText>Woerlein, Herbert (SPD)</w:instrText>
            </w:r>
            <w:r>
              <w:br/>
              <w:instrText>Richtlinie zur Förderung der Jugendsozialarbeit an Schulen (JaS)</w:instrText>
            </w:r>
            <w:bookmarkEnd w:id="55"/>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ist aktuell geplant, eine Richtlinie zur Förderung der Jugendsozialarbeit an Schulen (JaS) zu verabschieden, die inhaltliche Änderungen zur gegenwärtig gültigen Richtlinie vorsieht (falls ja, ab welchem Zeitpunkt), wird diese Richtlinie ggf. auch weiterhin die Zuwendungsvoraussetzung für Grundschulen enthalten, wonach der Anteil der Kinder mit Migrationshintergrund über 20 Prozent liegen muss, um JaS-förderberechtigt zu sein, und wie begründet die Staatsregierung diese aktuell bestehende Zuwendungsvoraussetzung?</w:t>
            </w:r>
          </w:p>
          <w:p w:rsidR="006E4BC2" w:rsidRDefault="006E4BC2" w:rsidP="006E4BC2">
            <w:pPr>
              <w:pStyle w:val="LTAnfrageText"/>
            </w:pPr>
          </w:p>
        </w:tc>
      </w:tr>
    </w:tbl>
    <w:p w:rsidR="006E4BC2" w:rsidRDefault="006E4BC2" w:rsidP="006E4BC2">
      <w:pPr>
        <w:pStyle w:val="LTUeberschrAntwortRessort"/>
      </w:pPr>
      <w:r>
        <w:t>Antwort des Staatsministeriums für Familie, Arbeit und Soziales</w:t>
      </w:r>
    </w:p>
    <w:p w:rsidR="006E4BC2" w:rsidRDefault="006E4BC2" w:rsidP="006E4BC2">
      <w:pPr>
        <w:pStyle w:val="LTAntwortRessortText"/>
      </w:pPr>
      <w:r>
        <w:t xml:space="preserve">Jugendsozialarbeit an Schulen (JaS) ist eine Aufgabe auf der Grundlage des § 13 </w:t>
      </w:r>
      <w:r w:rsidR="00E27A82">
        <w:t>Sozialgesetzbuch (</w:t>
      </w:r>
      <w:r>
        <w:t>SGB</w:t>
      </w:r>
      <w:r w:rsidR="00E27A82">
        <w:t>)</w:t>
      </w:r>
      <w:r>
        <w:t xml:space="preserve"> </w:t>
      </w:r>
      <w:r w:rsidR="00E27A82">
        <w:t>Achtes Buch (</w:t>
      </w:r>
      <w:r>
        <w:t>VIII</w:t>
      </w:r>
      <w:r w:rsidR="00E27A82">
        <w:t>)</w:t>
      </w:r>
      <w:r>
        <w:t xml:space="preserve"> für die die Landkreise und kreisfreien Städte als Träger der öffentlichen Jugendhilfe im eigenen Wirkungskreis zuständig sind. Der Freistaat </w:t>
      </w:r>
      <w:r w:rsidR="00E27A82">
        <w:t xml:space="preserve">Bayern </w:t>
      </w:r>
      <w:r>
        <w:t>unterstützt sie bei der Erfüllung ihrer originären Aufgabe im Rahmen von freiwilligen Leistungen und gibt die Fördervoraussetzungen durch die Förderrichtlinie vor. Mit der in Rede stehenden Vorgabe für den Einsatz von Jugendhilfefachkräften der JaS an Grundschulen setzt die Staatsregierung zu Recht einen gezielten Impuls, wobei auch die Unterstützungsleistungen der Kindertageseinrichtungen weitergeführt werden. Es geht</w:t>
      </w:r>
      <w:r w:rsidR="00E27A82">
        <w:t xml:space="preserve"> darum, zum einen die notwendi</w:t>
      </w:r>
      <w:r>
        <w:t>gen Integrationsleistungen zu unterstützen und zum andern gleichzeitig förderliche soziale Prozesse für die gesamte Zielgruppe sozial benachteiligter junger Menschen zu gestalten. Gleichwohl gehen wir nicht von einer Gleichung aus, wonach ein Migrationshintergrund stets soziale Benachteiligung bedeutet. Alle einschlägigen Studien belegen jedoch den Zusammenhang mit einem niedrigen soziökonomischen Status: Die negativen Auswirkungen eines n</w:t>
      </w:r>
      <w:r w:rsidR="00E27A82">
        <w:t>iedrigen sozioökonomischen Sta</w:t>
      </w:r>
      <w:r>
        <w:t>tus werden noch massiv verstärkt, wenn junge Menschen einen Migrationshintergrund haben.</w:t>
      </w:r>
    </w:p>
    <w:p w:rsidR="006E4BC2" w:rsidRDefault="006E4BC2" w:rsidP="006E4BC2">
      <w:pPr>
        <w:pStyle w:val="LTAntwortRessortText"/>
      </w:pPr>
      <w:r>
        <w:t>Der örtliche Träger der öffentlichen Jugendhilfe muss gemäß § 13 SGB VIII im Regelfall ein Angebot sozialpädagogischer Hilfen für sozial benachteiligte junge Menschen sicherst</w:t>
      </w:r>
      <w:r w:rsidR="00E27A82">
        <w:t>ellen (objektiv-rechtliche Ver</w:t>
      </w:r>
      <w:r>
        <w:t>pflichtung). Die Jugendämter haben gemäß § 79 SGB VIII die Gesamtverantwortung einschließlich der Planungsverantwortung für die Erfüllung der Aufgaben nach dem SGB VIII. Wird i</w:t>
      </w:r>
      <w:r w:rsidR="00E27A82">
        <w:t>m Rahmen der Jugend</w:t>
      </w:r>
      <w:r>
        <w:t xml:space="preserve">hilfeplanung ein Bedarf vor Ort für JaS festgestellt, so ist der öffentliche Träger der Jugendhilfe verpflichtet, diesen zu decken. Die Verpflichtung gilt unabhängig davon, ob der </w:t>
      </w:r>
      <w:r w:rsidR="00E27A82">
        <w:t>Freistaat Bayern im Rahmen seines För</w:t>
      </w:r>
      <w:r>
        <w:t>derprogramms die JaS-Fachkraft bezuschusst.</w:t>
      </w:r>
    </w:p>
    <w:p w:rsidR="006E4BC2" w:rsidRDefault="006E4BC2" w:rsidP="006E4BC2">
      <w:pPr>
        <w:pStyle w:val="LTAntwortRessortText"/>
      </w:pPr>
      <w:r>
        <w:t>Die aktuelle Förderrichtlinie gilt bis zum 31.12.2019. Bei der Erarbeitung der Anschlussrichtlinie wird sicher der Wegfall der besonderen Zuwendungsvoraussetzung für den geförderten Einsatz von JaS an Grundschulen in Betracht gezogen werden.</w:t>
      </w:r>
    </w:p>
    <w:p w:rsidR="00E27A82" w:rsidRDefault="00E27A82">
      <w:pPr>
        <w:rPr>
          <w:rFonts w:cs="Arial"/>
          <w:b/>
          <w:sz w:val="22"/>
          <w:szCs w:val="22"/>
        </w:rPr>
      </w:pPr>
      <w:r>
        <w:br w:type="page"/>
      </w:r>
    </w:p>
    <w:p w:rsidR="006E4BC2" w:rsidRDefault="006E4BC2" w:rsidP="006E4BC2">
      <w:pPr>
        <w:pStyle w:val="LTUeberschrRessort"/>
      </w:pPr>
      <w:r>
        <w:t>Geschäftsbereich des Staatsministeriums für Wohnen, Bau und Verkehr</w:t>
      </w:r>
      <w:r>
        <w:fldChar w:fldCharType="begin"/>
      </w:r>
      <w:r>
        <w:instrText xml:space="preserve"> TC </w:instrText>
      </w:r>
      <w:r w:rsidR="004A62EF">
        <w:instrText>„</w:instrText>
      </w:r>
      <w:bookmarkStart w:id="56" w:name="_Toc511290275"/>
      <w:r>
        <w:instrText>Geschäftsbereich des Staatsministeriums für Wohnen, Bau und Verkehr</w:instrText>
      </w:r>
      <w:bookmarkEnd w:id="56"/>
      <w:r w:rsidR="004A62E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Susann</w:t>
            </w:r>
            <w:r w:rsidRPr="006E4BC2">
              <w:rPr>
                <w:b/>
              </w:rPr>
              <w:br/>
              <w:t>Biedefeld</w:t>
            </w:r>
            <w:r w:rsidRPr="006E4BC2">
              <w:rPr>
                <w:b/>
              </w:rPr>
              <w:br/>
            </w:r>
            <w:r w:rsidRPr="006E4BC2">
              <w:t>(SPD)</w:t>
            </w:r>
            <w:r>
              <w:fldChar w:fldCharType="begin"/>
            </w:r>
            <w:r>
              <w:instrText xml:space="preserve"> TC </w:instrText>
            </w:r>
            <w:r w:rsidR="004A62EF">
              <w:instrText>„</w:instrText>
            </w:r>
            <w:bookmarkStart w:id="57" w:name="_Toc511290276"/>
            <w:r>
              <w:instrText>Biedefeld, Susann (SPD)</w:instrText>
            </w:r>
            <w:r>
              <w:br/>
              <w:instrText>Barrierefreie Bahnhöfe in Oberfranken</w:instrText>
            </w:r>
            <w:bookmarkEnd w:id="57"/>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in welchem aktuellen Zustand sind die einzelnen Bahnhöfe in Oberfranken bezogen auf Barrierefreiheit (barrierefrei bzw. aktueller Planungsstand bzw. Baubeginn für jeden einzelnen Bahnhof), welche Bahnhöfe in Oberfranken stehen in den nächsten fünf Jahren definitiv zum barrierefreien Ausbau an (bitte genauen Zeitpunkt angeben) und wie viele Bahnhöfe in Oberfranken sind angeblich barrierefrei, können aber wegen dem Zugmaterial bzw. der Gleishöhe doch nicht von Menschen mit Behinderung selbstständig (ohne jegliche Hilfe) genutzt werden?</w:t>
            </w:r>
          </w:p>
          <w:p w:rsidR="006E4BC2" w:rsidRDefault="006E4BC2" w:rsidP="006E4BC2">
            <w:pPr>
              <w:pStyle w:val="LTAnfrageText"/>
            </w:pPr>
          </w:p>
        </w:tc>
      </w:tr>
    </w:tbl>
    <w:p w:rsidR="006E4BC2" w:rsidRDefault="006E4BC2" w:rsidP="006E4BC2">
      <w:pPr>
        <w:pStyle w:val="LTUeberschrAntwortRessort"/>
      </w:pPr>
      <w:r>
        <w:t>Antwort des Staatsministeriums für Wohnen, Bau und Verkehr</w:t>
      </w:r>
    </w:p>
    <w:p w:rsidR="006E4BC2" w:rsidRDefault="006E4BC2" w:rsidP="006E4BC2">
      <w:pPr>
        <w:pStyle w:val="LTAntwortRessortText"/>
      </w:pPr>
      <w:r>
        <w:t>H</w:t>
      </w:r>
      <w:r w:rsidR="00E94A2C">
        <w:t>insichtlich des aktuellen Stand</w:t>
      </w:r>
      <w:r>
        <w:t xml:space="preserve">s der Bahnhöfe in Oberfranken in Sachen Barrierefreiheit wird auf die Antwort zur Schriftlichen Anfrage der Abgeordneten Susann Biedefeld </w:t>
      </w:r>
      <w:r w:rsidR="006D0E7E">
        <w:t xml:space="preserve">betreffend „Barrierefreie Bahnhöfe in Bayern“ </w:t>
      </w:r>
      <w:r>
        <w:t>vom</w:t>
      </w:r>
      <w:r w:rsidR="006D0E7E">
        <w:t xml:space="preserve"> 24.04.</w:t>
      </w:r>
      <w:r>
        <w:t>2017 (</w:t>
      </w:r>
      <w:r w:rsidR="006D0E7E">
        <w:t>Drs.</w:t>
      </w:r>
      <w:r w:rsidR="008A4188">
        <w:t xml:space="preserve"> 17/16733</w:t>
      </w:r>
      <w:r>
        <w:t xml:space="preserve">) verwiesen. Die dieser </w:t>
      </w:r>
      <w:r w:rsidR="008A4188">
        <w:t>Schriftlichen A</w:t>
      </w:r>
      <w:r>
        <w:t>nfrage beigefügte Tabelle zeigt u.</w:t>
      </w:r>
      <w:r w:rsidR="008A4188">
        <w:t> </w:t>
      </w:r>
      <w:r>
        <w:t>a. sämtliche Bahnstationen in Oberfranken mit der derzeitigen Einstufung bezogen auf die Barrierefreiheit auf. Gegenüber der Tabelle gibt es bei den oberfränkischen Stationen mittlerweile vier Änderungen:</w:t>
      </w:r>
    </w:p>
    <w:p w:rsidR="006E4BC2" w:rsidRDefault="006E4BC2" w:rsidP="007C0176">
      <w:pPr>
        <w:pStyle w:val="LTAntwortRessortText"/>
        <w:numPr>
          <w:ilvl w:val="2"/>
          <w:numId w:val="39"/>
        </w:numPr>
        <w:spacing w:before="120"/>
        <w:ind w:left="851" w:hanging="284"/>
      </w:pPr>
      <w:r>
        <w:t>Creidlitz und Hallstadt: Projekte verschieben sich nach 2021;</w:t>
      </w:r>
    </w:p>
    <w:p w:rsidR="006E4BC2" w:rsidRDefault="006E4BC2" w:rsidP="007C0176">
      <w:pPr>
        <w:pStyle w:val="LTAntwortRessortText"/>
        <w:numPr>
          <w:ilvl w:val="2"/>
          <w:numId w:val="39"/>
        </w:numPr>
        <w:spacing w:before="120"/>
        <w:ind w:left="851" w:hanging="284"/>
      </w:pPr>
      <w:r>
        <w:t>Oberhaid: neues Projekt bis 2021;</w:t>
      </w:r>
    </w:p>
    <w:p w:rsidR="006E4BC2" w:rsidRDefault="006E4BC2" w:rsidP="007C0176">
      <w:pPr>
        <w:pStyle w:val="LTAntwortRessortText"/>
        <w:numPr>
          <w:ilvl w:val="2"/>
          <w:numId w:val="39"/>
        </w:numPr>
        <w:spacing w:before="120"/>
        <w:ind w:left="851" w:hanging="284"/>
      </w:pPr>
      <w:r>
        <w:t>Kerbach: barrierefrei ausgebaut.</w:t>
      </w:r>
    </w:p>
    <w:p w:rsidR="006E4BC2" w:rsidRDefault="006E4BC2" w:rsidP="006E4BC2">
      <w:pPr>
        <w:pStyle w:val="LTAntwortRessortText"/>
      </w:pPr>
      <w:r>
        <w:t>Aus dieser Tabelle gehen ebenfalls die Bahnhöfe und Haltepunkte in Oberfranken her</w:t>
      </w:r>
      <w:r w:rsidR="008A4188">
        <w:t>vor, bei welchen die DB Station&amp;</w:t>
      </w:r>
      <w:r>
        <w:t>Service AG als Bauträger einen barrierefreien Ausbau bis zum Jahr 2021 anstrebt.</w:t>
      </w:r>
    </w:p>
    <w:p w:rsidR="006E4BC2" w:rsidRDefault="006E4BC2" w:rsidP="006E4BC2">
      <w:pPr>
        <w:pStyle w:val="LTAntwortRessortText"/>
      </w:pPr>
      <w:r>
        <w:t xml:space="preserve">Bei 28 der 37 barrierefreien Stationen in Oberfranken entspricht die Einstiegshöhe bei den dort regulär haltenden Zügen der Bahnsteighöhe </w:t>
      </w:r>
      <w:r w:rsidR="008A4188">
        <w:t>–</w:t>
      </w:r>
      <w:r>
        <w:t xml:space="preserve"> somit ist dort ein stufenfreier Ein- und Ausstieg bei allen Züge möglich. Bei neun barrierefrei deklarierten Stationen kann nur in einen Teil der Züge stufenfrei eingestiegen bzw. ausgestiegen werden. Dies betrifft folgende Stationen:</w:t>
      </w:r>
    </w:p>
    <w:p w:rsidR="006E4BC2" w:rsidRDefault="006E4BC2" w:rsidP="007C0176">
      <w:pPr>
        <w:pStyle w:val="LTAntwortRessortText"/>
        <w:numPr>
          <w:ilvl w:val="2"/>
          <w:numId w:val="39"/>
        </w:numPr>
        <w:spacing w:before="120"/>
        <w:ind w:left="851" w:hanging="284"/>
      </w:pPr>
      <w:r>
        <w:t>Bamberg und Lichtenfels: kein stufenfreier Einstieg</w:t>
      </w:r>
      <w:r w:rsidR="00922290">
        <w:t xml:space="preserve"> in Fernverkehrszüge und Neige</w:t>
      </w:r>
      <w:r>
        <w:t>technikzüge, Halt von Zügen mit Einstiegshöhe 55 cm an 76 cm hohen Bahnsteigen;</w:t>
      </w:r>
    </w:p>
    <w:p w:rsidR="006E4BC2" w:rsidRDefault="006E4BC2" w:rsidP="007C0176">
      <w:pPr>
        <w:pStyle w:val="LTAntwortRessortText"/>
        <w:numPr>
          <w:ilvl w:val="2"/>
          <w:numId w:val="39"/>
        </w:numPr>
        <w:spacing w:before="120"/>
        <w:ind w:left="851" w:hanging="284"/>
      </w:pPr>
      <w:r>
        <w:t xml:space="preserve">Hof Hauptbahnhof: kein stufenfreier Einstieg in Neigetechnikzüge und </w:t>
      </w:r>
      <w:r w:rsidR="00E94A2C">
        <w:t>alex</w:t>
      </w:r>
      <w:r>
        <w:t>-Züge, teilweise Halt von Zügen mit Einstiegshöhe 55 cm an 76 cm hohen Bahnsteigen;</w:t>
      </w:r>
    </w:p>
    <w:p w:rsidR="006E4BC2" w:rsidRDefault="006E4BC2" w:rsidP="007C0176">
      <w:pPr>
        <w:pStyle w:val="LTAntwortRessortText"/>
        <w:numPr>
          <w:ilvl w:val="2"/>
          <w:numId w:val="39"/>
        </w:numPr>
        <w:spacing w:before="120"/>
        <w:ind w:left="851" w:hanging="284"/>
      </w:pPr>
      <w:r>
        <w:t>Buttenheim und Eggolsheim: teilweise Halt von Zügen mit Einstiegshöhe 55 cm (agilis) an 76 cm hohen Bahnsteigen;</w:t>
      </w:r>
    </w:p>
    <w:p w:rsidR="006E4BC2" w:rsidRDefault="006E4BC2" w:rsidP="007C0176">
      <w:pPr>
        <w:pStyle w:val="LTAntwortRessortText"/>
        <w:numPr>
          <w:ilvl w:val="2"/>
          <w:numId w:val="39"/>
        </w:numPr>
        <w:spacing w:before="120"/>
        <w:ind w:left="851" w:hanging="284"/>
      </w:pPr>
      <w:r>
        <w:t>Bindlach, Harsdorf, Schwarzenbach a.</w:t>
      </w:r>
      <w:r w:rsidR="008A4188">
        <w:t xml:space="preserve"> </w:t>
      </w:r>
      <w:r>
        <w:t>d. Saale und Trebgast: kein stufenfreier Einstieg</w:t>
      </w:r>
      <w:r w:rsidR="00E94A2C">
        <w:t xml:space="preserve"> in Neigetechnikzüge bzw. alex-</w:t>
      </w:r>
      <w:r>
        <w:t>Züge möglich a</w:t>
      </w:r>
      <w:r w:rsidR="008A4188">
        <w:t>ufgrund der 1,20 Meter Wagenbo</w:t>
      </w:r>
      <w:r>
        <w:t>denhöhe der genannten Hochflurfahrzeuge.</w:t>
      </w:r>
    </w:p>
    <w:p w:rsidR="0088407F" w:rsidRDefault="0088407F" w:rsidP="0088407F">
      <w:pPr>
        <w:pStyle w:val="LTAntwortRessortText"/>
        <w:spacing w:before="12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Dr. Hans Jürgen</w:t>
            </w:r>
            <w:r w:rsidRPr="006E4BC2">
              <w:rPr>
                <w:b/>
              </w:rPr>
              <w:br/>
              <w:t>Fahn</w:t>
            </w:r>
            <w:r w:rsidRPr="006E4BC2">
              <w:rPr>
                <w:b/>
              </w:rPr>
              <w:br/>
            </w:r>
            <w:r w:rsidRPr="006E4BC2">
              <w:t>(FREIE WÄHLER)</w:t>
            </w:r>
            <w:r>
              <w:fldChar w:fldCharType="begin"/>
            </w:r>
            <w:r>
              <w:instrText xml:space="preserve"> TC </w:instrText>
            </w:r>
            <w:r w:rsidR="004A62EF">
              <w:instrText>„</w:instrText>
            </w:r>
            <w:bookmarkStart w:id="58" w:name="_Toc511290277"/>
            <w:r>
              <w:instrText>Dr. Fahn, Hans Jürgen (FREIE WÄHLER)</w:instrText>
            </w:r>
            <w:r>
              <w:br/>
              <w:instrText>Umsetzung der Ortsumgehung Sulzbach</w:instrText>
            </w:r>
            <w:bookmarkEnd w:id="58"/>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 xml:space="preserve">Ich frage die Staatsregierung, warum kann der, vom damaligen Staatssekretär des Innern, für Bau und Verkehr, Gerhard Eck, gegenüber der </w:t>
            </w:r>
            <w:r w:rsidR="00E94A2C">
              <w:t>Delegation des Marktgemeinderat</w:t>
            </w:r>
            <w:r>
              <w:t xml:space="preserve">s Sulzbach im Oktober 2017 genannte Zeitplan (siehe </w:t>
            </w:r>
            <w:r w:rsidR="004A62EF">
              <w:t>„</w:t>
            </w:r>
            <w:r>
              <w:t>Main-Echo</w:t>
            </w:r>
            <w:r w:rsidR="004A62EF">
              <w:t>“</w:t>
            </w:r>
            <w:r>
              <w:t xml:space="preserve"> vom 28.10.2017 </w:t>
            </w:r>
            <w:r w:rsidR="004A62EF">
              <w:t>„</w:t>
            </w:r>
            <w:r>
              <w:t>Ministerium sagt zügige Planung zu</w:t>
            </w:r>
            <w:r w:rsidR="004A62EF">
              <w:t>“</w:t>
            </w:r>
            <w:r>
              <w:t>), für die Umsetzung der Ortsumgehung Sulzbach nicht eingehalten werden bzw. welche neuen Fakten waren bei dem Gespräch im Oktober noch nicht bekannt und welche neuen Untersuchungen bzw. Prüfungsstudien und Genehmigungsphasen (bitte genaue Angabe der Untersuchungen bzw. Studien und der veranlassenden Behörden) müssen noch durchgeführt werden, um das Planfeststellungsverfahren noch vor dem Jahre 2020 einzuleiten?</w:t>
            </w:r>
          </w:p>
          <w:p w:rsidR="006E4BC2" w:rsidRDefault="006E4BC2" w:rsidP="006E4BC2">
            <w:pPr>
              <w:pStyle w:val="LTAnfrageText"/>
            </w:pPr>
          </w:p>
        </w:tc>
      </w:tr>
    </w:tbl>
    <w:p w:rsidR="006E4BC2" w:rsidRDefault="006E4BC2" w:rsidP="006E4BC2">
      <w:pPr>
        <w:pStyle w:val="LTUeberschrAntwortRessort"/>
      </w:pPr>
      <w:r>
        <w:t>Antwort des Staatsministeriums für Wohnen, Bau und Verkehr</w:t>
      </w:r>
    </w:p>
    <w:p w:rsidR="006E4BC2" w:rsidRDefault="006E4BC2" w:rsidP="006E4BC2">
      <w:pPr>
        <w:pStyle w:val="LTAntwortRessortText"/>
      </w:pPr>
      <w:r>
        <w:t xml:space="preserve">Die mit </w:t>
      </w:r>
      <w:r w:rsidR="00D959E0">
        <w:t xml:space="preserve">dem damaligen </w:t>
      </w:r>
      <w:r>
        <w:t>Staatssekretär</w:t>
      </w:r>
      <w:r w:rsidR="00D959E0">
        <w:t xml:space="preserve"> des Innern, für Bau und Verkehr, Gerhard</w:t>
      </w:r>
      <w:r>
        <w:t xml:space="preserve"> Eck</w:t>
      </w:r>
      <w:r w:rsidR="00D959E0">
        <w:t>,</w:t>
      </w:r>
      <w:r>
        <w:t xml:space="preserve"> am 17.</w:t>
      </w:r>
      <w:r w:rsidR="00D959E0">
        <w:t>10.</w:t>
      </w:r>
      <w:r>
        <w:t>2017 festges</w:t>
      </w:r>
      <w:r w:rsidR="00D959E0">
        <w:t>etzten Terminziele konnten auf</w:t>
      </w:r>
      <w:r>
        <w:t>grund der besonderen Personalsituation des Sta</w:t>
      </w:r>
      <w:r w:rsidR="00196271">
        <w:t>atlichen Bauamt</w:t>
      </w:r>
      <w:r>
        <w:t>s Aschaffenburg nicht ein</w:t>
      </w:r>
      <w:r w:rsidR="00D959E0">
        <w:t>ge</w:t>
      </w:r>
      <w:r>
        <w:t>halten werden. Die Personalsituation hat sich inzwischen konsolidiert, sodass die Planung nun wieder vorangetrieben wird. Derzeit führen Fachbüros eine U</w:t>
      </w:r>
      <w:r w:rsidR="00D959E0">
        <w:t>mweltverträglichkeitsstudie so</w:t>
      </w:r>
      <w:r>
        <w:t>wie eine tiefergehende Aktualisierung der bestehenden Verkehrsunter</w:t>
      </w:r>
      <w:r w:rsidR="00D959E0">
        <w:t>suchung durch. Die Er</w:t>
      </w:r>
      <w:r>
        <w:t xml:space="preserve">gebnisse sollen bis Ende August </w:t>
      </w:r>
      <w:r w:rsidR="00D959E0">
        <w:t xml:space="preserve">2018 </w:t>
      </w:r>
      <w:r>
        <w:t>vorliegen. Anschließend wird die Planungsstufe Vorplanung mit Bestimmung der Vorzugsvariante durch das Staatliche Bauamt Aschaffenburg bis Ende des Jahres 2018 abgeschlossen. Die Erarbeitung des Vorentwurfs mit Vorlage zur Genehmigung ist für Ende des Jahres 2019 vorgesehen.</w:t>
      </w:r>
    </w:p>
    <w:p w:rsidR="0088407F" w:rsidRDefault="0088407F" w:rsidP="006E4BC2">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Karl</w:t>
            </w:r>
            <w:r w:rsidRPr="006E4BC2">
              <w:rPr>
                <w:b/>
              </w:rPr>
              <w:br/>
              <w:t>Freller</w:t>
            </w:r>
            <w:r w:rsidRPr="006E4BC2">
              <w:rPr>
                <w:b/>
              </w:rPr>
              <w:br/>
            </w:r>
            <w:r w:rsidRPr="006E4BC2">
              <w:t>(CSU)</w:t>
            </w:r>
            <w:r>
              <w:fldChar w:fldCharType="begin"/>
            </w:r>
            <w:r>
              <w:instrText xml:space="preserve"> TC </w:instrText>
            </w:r>
            <w:r w:rsidR="004A62EF">
              <w:instrText>„</w:instrText>
            </w:r>
            <w:bookmarkStart w:id="59" w:name="_Toc511290278"/>
            <w:r>
              <w:instrText>Freller, Karl (CSU)</w:instrText>
            </w:r>
            <w:r>
              <w:br/>
              <w:instrText>Sozialer Wohnungsbau in Mittelfranken</w:instrText>
            </w:r>
            <w:bookmarkEnd w:id="59"/>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welchen Bestand an staatlich geförderten Sozialwohnungen haben die mittelfränkischen kreisfreien Städte Ansbach, Erlangen, Fürth, Nürnberg und Schwabach sowie die Landkreise Fürth, Nürnberger Land und Roth aufzuweisen, wie viel staatlich geförderter sozialer Wohnraum ist dort jeweils in den vergangenen fünf Jahren entstanden und wie ist das Verhältnis von Sozialwohnungen zur jeweiligen Einwohnerzahl?</w:t>
            </w:r>
          </w:p>
          <w:p w:rsidR="006E4BC2" w:rsidRDefault="006E4BC2" w:rsidP="006E4BC2">
            <w:pPr>
              <w:pStyle w:val="LTAnfrageText"/>
            </w:pPr>
          </w:p>
        </w:tc>
      </w:tr>
    </w:tbl>
    <w:p w:rsidR="006E4BC2" w:rsidRDefault="006E4BC2" w:rsidP="006E4BC2">
      <w:pPr>
        <w:pStyle w:val="LTUeberschrAntwortRessort"/>
      </w:pPr>
      <w:r>
        <w:t>Antwort des Staatsministeriums für Wohnen, Bau und Verkehr</w:t>
      </w:r>
    </w:p>
    <w:p w:rsidR="006E4BC2" w:rsidRPr="00215E2D" w:rsidRDefault="006E4BC2" w:rsidP="006E4BC2">
      <w:pPr>
        <w:pStyle w:val="LTAntwortRessortText"/>
        <w:rPr>
          <w:u w:val="single"/>
        </w:rPr>
      </w:pPr>
      <w:r w:rsidRPr="00215E2D">
        <w:rPr>
          <w:u w:val="single"/>
        </w:rPr>
        <w:t>Sozialwohnungsbestand</w:t>
      </w:r>
      <w:r w:rsidR="00215E2D">
        <w:rPr>
          <w:u w:val="single"/>
        </w:rPr>
        <w:t>:</w:t>
      </w:r>
    </w:p>
    <w:p w:rsidR="006E4BC2" w:rsidRDefault="006E4BC2" w:rsidP="00215E2D">
      <w:pPr>
        <w:pStyle w:val="LTAntwortRessortText"/>
        <w:spacing w:before="120"/>
      </w:pPr>
      <w:r>
        <w:t>Die Bayerische Landesbodenkreditanstalt ermittelt seit dem Jahr 2003 Daten zum Bestand gebundener Mietwohnungen. In der folgenden Tabelle sind die Bestände an Mietwohnungsbelegungsbindungen in den genannten mittelfränkischen Städten und Landkreisen zum Stand 31.12.2016 aufgeführt.</w:t>
      </w:r>
    </w:p>
    <w:p w:rsidR="006E4BC2" w:rsidRDefault="006E4BC2" w:rsidP="006E4BC2">
      <w:pPr>
        <w:pStyle w:val="LTAntwortRessortText"/>
      </w:pPr>
    </w:p>
    <w:tbl>
      <w:tblPr>
        <w:tblStyle w:val="TableNormal"/>
        <w:tblW w:w="0" w:type="auto"/>
        <w:tblInd w:w="432" w:type="dxa"/>
        <w:tblLayout w:type="fixed"/>
        <w:tblLook w:val="01E0" w:firstRow="1" w:lastRow="1" w:firstColumn="1" w:lastColumn="1" w:noHBand="0" w:noVBand="0"/>
      </w:tblPr>
      <w:tblGrid>
        <w:gridCol w:w="3560"/>
        <w:gridCol w:w="2182"/>
      </w:tblGrid>
      <w:tr w:rsidR="00F130E0" w:rsidTr="00F130E0">
        <w:trPr>
          <w:trHeight w:hRule="exact" w:val="370"/>
        </w:trPr>
        <w:tc>
          <w:tcPr>
            <w:tcW w:w="5742" w:type="dxa"/>
            <w:gridSpan w:val="2"/>
            <w:tcBorders>
              <w:top w:val="single" w:sz="5" w:space="0" w:color="000000"/>
              <w:left w:val="single" w:sz="5" w:space="0" w:color="000000"/>
              <w:bottom w:val="single" w:sz="5" w:space="0" w:color="000000"/>
              <w:right w:val="single" w:sz="5" w:space="0" w:color="000000"/>
            </w:tcBorders>
          </w:tcPr>
          <w:p w:rsidR="00F130E0" w:rsidRPr="00F130E0" w:rsidRDefault="00F130E0" w:rsidP="00294419">
            <w:pPr>
              <w:pStyle w:val="TableParagraph"/>
              <w:spacing w:before="34"/>
              <w:ind w:left="491"/>
              <w:rPr>
                <w:rFonts w:ascii="Times New Roman" w:eastAsia="Times New Roman" w:hAnsi="Times New Roman" w:cs="Times New Roman"/>
                <w:b/>
                <w:sz w:val="24"/>
                <w:szCs w:val="24"/>
              </w:rPr>
            </w:pPr>
            <w:r w:rsidRPr="00F130E0">
              <w:rPr>
                <w:rFonts w:ascii="Times New Roman"/>
                <w:b/>
                <w:spacing w:val="-1"/>
                <w:sz w:val="24"/>
              </w:rPr>
              <w:t>Zahl</w:t>
            </w:r>
            <w:r w:rsidRPr="00F130E0">
              <w:rPr>
                <w:rFonts w:ascii="Times New Roman"/>
                <w:b/>
                <w:sz w:val="24"/>
              </w:rPr>
              <w:t xml:space="preserve"> der</w:t>
            </w:r>
            <w:r w:rsidRPr="00F130E0">
              <w:rPr>
                <w:rFonts w:ascii="Times New Roman"/>
                <w:b/>
                <w:spacing w:val="1"/>
                <w:sz w:val="24"/>
              </w:rPr>
              <w:t xml:space="preserve"> </w:t>
            </w:r>
            <w:r w:rsidRPr="00F130E0">
              <w:rPr>
                <w:rFonts w:ascii="Times New Roman"/>
                <w:b/>
                <w:spacing w:val="-1"/>
                <w:sz w:val="24"/>
              </w:rPr>
              <w:t>gebundenen</w:t>
            </w:r>
            <w:r w:rsidRPr="00F130E0">
              <w:rPr>
                <w:rFonts w:ascii="Times New Roman"/>
                <w:b/>
                <w:sz w:val="24"/>
              </w:rPr>
              <w:t xml:space="preserve"> Mietwohnungen Ende</w:t>
            </w:r>
            <w:r w:rsidRPr="00F130E0">
              <w:rPr>
                <w:rFonts w:ascii="Times New Roman"/>
                <w:b/>
                <w:spacing w:val="-2"/>
                <w:sz w:val="24"/>
              </w:rPr>
              <w:t xml:space="preserve"> </w:t>
            </w:r>
            <w:r w:rsidRPr="00F130E0">
              <w:rPr>
                <w:rFonts w:ascii="Times New Roman"/>
                <w:b/>
                <w:sz w:val="24"/>
              </w:rPr>
              <w:t>2016</w:t>
            </w:r>
          </w:p>
        </w:tc>
      </w:tr>
      <w:tr w:rsidR="00F130E0" w:rsidTr="00F130E0">
        <w:trPr>
          <w:trHeight w:hRule="exact" w:val="370"/>
        </w:trPr>
        <w:tc>
          <w:tcPr>
            <w:tcW w:w="3560"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sz w:val="24"/>
              </w:rPr>
              <w:t xml:space="preserve">Stadt </w:t>
            </w:r>
            <w:r>
              <w:rPr>
                <w:rFonts w:ascii="Times New Roman"/>
                <w:spacing w:val="-1"/>
                <w:sz w:val="24"/>
              </w:rPr>
              <w:t>Ansbach</w:t>
            </w:r>
          </w:p>
        </w:tc>
        <w:tc>
          <w:tcPr>
            <w:tcW w:w="2182"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right="59"/>
              <w:jc w:val="right"/>
              <w:rPr>
                <w:rFonts w:ascii="Times New Roman" w:eastAsia="Times New Roman" w:hAnsi="Times New Roman" w:cs="Times New Roman"/>
                <w:sz w:val="24"/>
                <w:szCs w:val="24"/>
              </w:rPr>
            </w:pPr>
            <w:r>
              <w:rPr>
                <w:rFonts w:ascii="Times New Roman"/>
                <w:sz w:val="24"/>
              </w:rPr>
              <w:t>378</w:t>
            </w:r>
          </w:p>
        </w:tc>
      </w:tr>
      <w:tr w:rsidR="00F130E0" w:rsidTr="00F130E0">
        <w:trPr>
          <w:trHeight w:hRule="exact" w:val="370"/>
        </w:trPr>
        <w:tc>
          <w:tcPr>
            <w:tcW w:w="3560"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sz w:val="24"/>
              </w:rPr>
              <w:t xml:space="preserve">Stadt </w:t>
            </w:r>
            <w:r>
              <w:rPr>
                <w:rFonts w:ascii="Times New Roman"/>
                <w:spacing w:val="-1"/>
                <w:sz w:val="24"/>
              </w:rPr>
              <w:t>Erlangen</w:t>
            </w:r>
          </w:p>
        </w:tc>
        <w:tc>
          <w:tcPr>
            <w:tcW w:w="2182"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right="59"/>
              <w:jc w:val="right"/>
              <w:rPr>
                <w:rFonts w:ascii="Times New Roman" w:eastAsia="Times New Roman" w:hAnsi="Times New Roman" w:cs="Times New Roman"/>
                <w:sz w:val="24"/>
                <w:szCs w:val="24"/>
              </w:rPr>
            </w:pPr>
            <w:r>
              <w:rPr>
                <w:rFonts w:ascii="Times New Roman"/>
                <w:sz w:val="24"/>
              </w:rPr>
              <w:t>2.877</w:t>
            </w:r>
          </w:p>
        </w:tc>
      </w:tr>
      <w:tr w:rsidR="00F130E0" w:rsidTr="00F130E0">
        <w:trPr>
          <w:trHeight w:hRule="exact" w:val="373"/>
        </w:trPr>
        <w:tc>
          <w:tcPr>
            <w:tcW w:w="3560"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hAnsi="Times New Roman"/>
                <w:sz w:val="24"/>
              </w:rPr>
              <w:t xml:space="preserve">Stadt </w:t>
            </w:r>
            <w:r>
              <w:rPr>
                <w:rFonts w:ascii="Times New Roman" w:hAnsi="Times New Roman"/>
                <w:spacing w:val="-1"/>
                <w:sz w:val="24"/>
              </w:rPr>
              <w:t>Fürth</w:t>
            </w:r>
          </w:p>
        </w:tc>
        <w:tc>
          <w:tcPr>
            <w:tcW w:w="2182"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right="59"/>
              <w:jc w:val="right"/>
              <w:rPr>
                <w:rFonts w:ascii="Times New Roman" w:eastAsia="Times New Roman" w:hAnsi="Times New Roman" w:cs="Times New Roman"/>
                <w:sz w:val="24"/>
                <w:szCs w:val="24"/>
              </w:rPr>
            </w:pPr>
            <w:r>
              <w:rPr>
                <w:rFonts w:ascii="Times New Roman"/>
                <w:sz w:val="24"/>
              </w:rPr>
              <w:t>2.387</w:t>
            </w:r>
          </w:p>
        </w:tc>
      </w:tr>
      <w:tr w:rsidR="00F130E0" w:rsidTr="00F130E0">
        <w:trPr>
          <w:trHeight w:hRule="exact" w:val="370"/>
        </w:trPr>
        <w:tc>
          <w:tcPr>
            <w:tcW w:w="3560"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1"/>
              <w:ind w:left="66"/>
              <w:rPr>
                <w:rFonts w:ascii="Times New Roman" w:eastAsia="Times New Roman" w:hAnsi="Times New Roman" w:cs="Times New Roman"/>
                <w:sz w:val="24"/>
                <w:szCs w:val="24"/>
              </w:rPr>
            </w:pPr>
            <w:r>
              <w:rPr>
                <w:rFonts w:ascii="Times New Roman" w:hAnsi="Times New Roman"/>
                <w:sz w:val="24"/>
              </w:rPr>
              <w:t xml:space="preserve">Stadt </w:t>
            </w:r>
            <w:r>
              <w:rPr>
                <w:rFonts w:ascii="Times New Roman" w:hAnsi="Times New Roman"/>
                <w:spacing w:val="-1"/>
                <w:sz w:val="24"/>
              </w:rPr>
              <w:t>Nürnberg</w:t>
            </w:r>
          </w:p>
        </w:tc>
        <w:tc>
          <w:tcPr>
            <w:tcW w:w="2182"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1"/>
              <w:ind w:right="59"/>
              <w:jc w:val="right"/>
              <w:rPr>
                <w:rFonts w:ascii="Times New Roman" w:eastAsia="Times New Roman" w:hAnsi="Times New Roman" w:cs="Times New Roman"/>
                <w:sz w:val="24"/>
                <w:szCs w:val="24"/>
              </w:rPr>
            </w:pPr>
            <w:r>
              <w:rPr>
                <w:rFonts w:ascii="Times New Roman"/>
                <w:sz w:val="24"/>
              </w:rPr>
              <w:t>14.295</w:t>
            </w:r>
          </w:p>
        </w:tc>
      </w:tr>
      <w:tr w:rsidR="00F130E0" w:rsidTr="00F130E0">
        <w:trPr>
          <w:trHeight w:hRule="exact" w:val="370"/>
        </w:trPr>
        <w:tc>
          <w:tcPr>
            <w:tcW w:w="3560"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1"/>
              <w:ind w:left="66"/>
              <w:rPr>
                <w:rFonts w:ascii="Times New Roman" w:eastAsia="Times New Roman" w:hAnsi="Times New Roman" w:cs="Times New Roman"/>
                <w:sz w:val="24"/>
                <w:szCs w:val="24"/>
              </w:rPr>
            </w:pPr>
            <w:r>
              <w:rPr>
                <w:rFonts w:ascii="Times New Roman"/>
                <w:sz w:val="24"/>
              </w:rPr>
              <w:t xml:space="preserve">Stadt </w:t>
            </w:r>
            <w:r>
              <w:rPr>
                <w:rFonts w:ascii="Times New Roman"/>
                <w:spacing w:val="-1"/>
                <w:sz w:val="24"/>
              </w:rPr>
              <w:t>Schwabach</w:t>
            </w:r>
          </w:p>
        </w:tc>
        <w:tc>
          <w:tcPr>
            <w:tcW w:w="2182"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1"/>
              <w:ind w:right="59"/>
              <w:jc w:val="right"/>
              <w:rPr>
                <w:rFonts w:ascii="Times New Roman" w:eastAsia="Times New Roman" w:hAnsi="Times New Roman" w:cs="Times New Roman"/>
                <w:sz w:val="24"/>
                <w:szCs w:val="24"/>
              </w:rPr>
            </w:pPr>
            <w:r>
              <w:rPr>
                <w:rFonts w:ascii="Times New Roman"/>
                <w:sz w:val="24"/>
              </w:rPr>
              <w:t>827</w:t>
            </w:r>
          </w:p>
        </w:tc>
      </w:tr>
      <w:tr w:rsidR="00F130E0" w:rsidTr="00F130E0">
        <w:trPr>
          <w:trHeight w:hRule="exact" w:val="370"/>
        </w:trPr>
        <w:tc>
          <w:tcPr>
            <w:tcW w:w="3560"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hAnsi="Times New Roman"/>
                <w:spacing w:val="-1"/>
                <w:sz w:val="24"/>
              </w:rPr>
              <w:t>Landkreis</w:t>
            </w:r>
            <w:r>
              <w:rPr>
                <w:rFonts w:ascii="Times New Roman" w:hAnsi="Times New Roman"/>
                <w:spacing w:val="2"/>
                <w:sz w:val="24"/>
              </w:rPr>
              <w:t xml:space="preserve"> </w:t>
            </w:r>
            <w:r>
              <w:rPr>
                <w:rFonts w:ascii="Times New Roman" w:hAnsi="Times New Roman"/>
                <w:spacing w:val="-1"/>
                <w:sz w:val="24"/>
              </w:rPr>
              <w:t>Fürth</w:t>
            </w:r>
          </w:p>
        </w:tc>
        <w:tc>
          <w:tcPr>
            <w:tcW w:w="2182"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right="59"/>
              <w:jc w:val="right"/>
              <w:rPr>
                <w:rFonts w:ascii="Times New Roman" w:eastAsia="Times New Roman" w:hAnsi="Times New Roman" w:cs="Times New Roman"/>
                <w:sz w:val="24"/>
                <w:szCs w:val="24"/>
              </w:rPr>
            </w:pPr>
            <w:r>
              <w:rPr>
                <w:rFonts w:ascii="Times New Roman"/>
                <w:sz w:val="24"/>
              </w:rPr>
              <w:t>774</w:t>
            </w:r>
          </w:p>
        </w:tc>
      </w:tr>
      <w:tr w:rsidR="00F130E0" w:rsidTr="00F130E0">
        <w:trPr>
          <w:trHeight w:hRule="exact" w:val="370"/>
        </w:trPr>
        <w:tc>
          <w:tcPr>
            <w:tcW w:w="3560"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hAnsi="Times New Roman"/>
                <w:spacing w:val="-1"/>
                <w:sz w:val="24"/>
              </w:rPr>
              <w:t>Landkreis</w:t>
            </w:r>
            <w:r>
              <w:rPr>
                <w:rFonts w:ascii="Times New Roman" w:hAnsi="Times New Roman"/>
                <w:sz w:val="24"/>
              </w:rPr>
              <w:t xml:space="preserve"> Nürnberger</w:t>
            </w:r>
            <w:r>
              <w:rPr>
                <w:rFonts w:ascii="Times New Roman" w:hAnsi="Times New Roman"/>
                <w:spacing w:val="1"/>
                <w:sz w:val="24"/>
              </w:rPr>
              <w:t xml:space="preserve"> </w:t>
            </w:r>
            <w:r>
              <w:rPr>
                <w:rFonts w:ascii="Times New Roman" w:hAnsi="Times New Roman"/>
                <w:spacing w:val="-1"/>
                <w:sz w:val="24"/>
              </w:rPr>
              <w:t>Land</w:t>
            </w:r>
          </w:p>
        </w:tc>
        <w:tc>
          <w:tcPr>
            <w:tcW w:w="2182"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right="59"/>
              <w:jc w:val="right"/>
              <w:rPr>
                <w:rFonts w:ascii="Times New Roman" w:eastAsia="Times New Roman" w:hAnsi="Times New Roman" w:cs="Times New Roman"/>
                <w:sz w:val="24"/>
                <w:szCs w:val="24"/>
              </w:rPr>
            </w:pPr>
            <w:r>
              <w:rPr>
                <w:rFonts w:ascii="Times New Roman"/>
                <w:sz w:val="24"/>
              </w:rPr>
              <w:t>629</w:t>
            </w:r>
          </w:p>
        </w:tc>
      </w:tr>
      <w:tr w:rsidR="00F130E0" w:rsidTr="00F130E0">
        <w:trPr>
          <w:trHeight w:hRule="exact" w:val="372"/>
        </w:trPr>
        <w:tc>
          <w:tcPr>
            <w:tcW w:w="3560"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spacing w:val="-1"/>
                <w:sz w:val="24"/>
              </w:rPr>
              <w:t>Landkreis</w:t>
            </w:r>
            <w:r>
              <w:rPr>
                <w:rFonts w:ascii="Times New Roman"/>
                <w:sz w:val="24"/>
              </w:rPr>
              <w:t xml:space="preserve"> Roth</w:t>
            </w:r>
          </w:p>
        </w:tc>
        <w:tc>
          <w:tcPr>
            <w:tcW w:w="2182"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right="59"/>
              <w:jc w:val="right"/>
              <w:rPr>
                <w:rFonts w:ascii="Times New Roman" w:eastAsia="Times New Roman" w:hAnsi="Times New Roman" w:cs="Times New Roman"/>
                <w:sz w:val="24"/>
                <w:szCs w:val="24"/>
              </w:rPr>
            </w:pPr>
            <w:r>
              <w:rPr>
                <w:rFonts w:ascii="Times New Roman"/>
                <w:sz w:val="24"/>
              </w:rPr>
              <w:t>351</w:t>
            </w:r>
          </w:p>
        </w:tc>
      </w:tr>
    </w:tbl>
    <w:p w:rsidR="006E4BC2" w:rsidRPr="00F130E0" w:rsidRDefault="006E4BC2" w:rsidP="0088407F">
      <w:pPr>
        <w:pStyle w:val="LTAntwortRessortText"/>
        <w:spacing w:before="600"/>
        <w:rPr>
          <w:u w:val="single"/>
        </w:rPr>
      </w:pPr>
      <w:r w:rsidRPr="00F130E0">
        <w:rPr>
          <w:u w:val="single"/>
        </w:rPr>
        <w:t>Bewilligte Sozialwohnungen</w:t>
      </w:r>
      <w:r w:rsidR="00F130E0">
        <w:rPr>
          <w:u w:val="single"/>
        </w:rPr>
        <w:t>:</w:t>
      </w:r>
    </w:p>
    <w:p w:rsidR="006E4BC2" w:rsidRDefault="00F130E0" w:rsidP="00F130E0">
      <w:pPr>
        <w:pStyle w:val="LTAntwortRessortText"/>
        <w:spacing w:before="120"/>
      </w:pPr>
      <w:r>
        <w:t>Das Staatsministerium für Wohnen, Bau und Verkehr geht</w:t>
      </w:r>
      <w:r w:rsidR="006E4BC2">
        <w:t xml:space="preserve"> davon aus, dass mit Sozialwohnungen die Sozialmietwohnungen gemeint sind. Die Baufertigstellungen für geförderte Sozialmietwohnungen werden in der amtlichen Statistik nicht gesondert erfasst. Insofern liegen dazu keine Daten vor. Die Baufertigstellung folgt der</w:t>
      </w:r>
      <w:r>
        <w:t xml:space="preserve"> </w:t>
      </w:r>
      <w:r w:rsidR="006E4BC2">
        <w:t>Bewilligung mit zeitlichem Abstand. So muss für Mietwohngebäude eine Realisationszeit von bis zu drei Jahren, bei großen Mietwohngebäuden bis zu fünf Jahren veranschlagt werden.</w:t>
      </w:r>
    </w:p>
    <w:p w:rsidR="006E4BC2" w:rsidRDefault="006E4BC2" w:rsidP="006E4BC2">
      <w:pPr>
        <w:pStyle w:val="LTAntwortRessortText"/>
      </w:pPr>
      <w:r>
        <w:t>In den Jahren 2013 bis 2017 wurden die in nachfolgender Übersi</w:t>
      </w:r>
      <w:r w:rsidR="00F130E0">
        <w:t>cht aufgeführten Mietwoh</w:t>
      </w:r>
      <w:r>
        <w:t>nungen bewilligt, aufgeschlüsselt nach den genannten mittelfr</w:t>
      </w:r>
      <w:r w:rsidR="00F130E0">
        <w:t>änkischen Städten und Landkrei</w:t>
      </w:r>
      <w:r>
        <w:t>sen.</w:t>
      </w:r>
    </w:p>
    <w:p w:rsidR="006E4BC2" w:rsidRDefault="006E4BC2" w:rsidP="006E4BC2">
      <w:pPr>
        <w:pStyle w:val="LTAntwortRessortText"/>
      </w:pPr>
    </w:p>
    <w:tbl>
      <w:tblPr>
        <w:tblStyle w:val="TableNormal"/>
        <w:tblW w:w="0" w:type="auto"/>
        <w:tblInd w:w="432" w:type="dxa"/>
        <w:tblLayout w:type="fixed"/>
        <w:tblLook w:val="01E0" w:firstRow="1" w:lastRow="1" w:firstColumn="1" w:lastColumn="1" w:noHBand="0" w:noVBand="0"/>
      </w:tblPr>
      <w:tblGrid>
        <w:gridCol w:w="3615"/>
        <w:gridCol w:w="2127"/>
      </w:tblGrid>
      <w:tr w:rsidR="00F130E0" w:rsidTr="00F130E0">
        <w:trPr>
          <w:trHeight w:hRule="exact" w:val="370"/>
        </w:trPr>
        <w:tc>
          <w:tcPr>
            <w:tcW w:w="5742" w:type="dxa"/>
            <w:gridSpan w:val="2"/>
            <w:tcBorders>
              <w:top w:val="single" w:sz="5" w:space="0" w:color="000000"/>
              <w:left w:val="single" w:sz="5" w:space="0" w:color="000000"/>
              <w:bottom w:val="single" w:sz="5" w:space="0" w:color="000000"/>
              <w:right w:val="single" w:sz="5" w:space="0" w:color="000000"/>
            </w:tcBorders>
          </w:tcPr>
          <w:p w:rsidR="00F130E0" w:rsidRPr="00F130E0" w:rsidRDefault="00F130E0" w:rsidP="00294419">
            <w:pPr>
              <w:pStyle w:val="TableParagraph"/>
              <w:spacing w:before="34"/>
              <w:ind w:left="733"/>
              <w:rPr>
                <w:rFonts w:ascii="Times New Roman" w:eastAsia="Times New Roman" w:hAnsi="Times New Roman" w:cs="Times New Roman"/>
                <w:b/>
                <w:sz w:val="24"/>
                <w:szCs w:val="24"/>
              </w:rPr>
            </w:pPr>
            <w:r>
              <w:rPr>
                <w:rFonts w:ascii="Times New Roman"/>
                <w:b/>
                <w:spacing w:val="-1"/>
                <w:sz w:val="24"/>
              </w:rPr>
              <w:t>B</w:t>
            </w:r>
            <w:r w:rsidRPr="00F130E0">
              <w:rPr>
                <w:rFonts w:ascii="Times New Roman"/>
                <w:b/>
                <w:spacing w:val="-1"/>
                <w:sz w:val="24"/>
              </w:rPr>
              <w:t>ewilligte</w:t>
            </w:r>
            <w:r w:rsidRPr="00F130E0">
              <w:rPr>
                <w:rFonts w:ascii="Times New Roman"/>
                <w:b/>
                <w:sz w:val="24"/>
              </w:rPr>
              <w:t xml:space="preserve"> </w:t>
            </w:r>
            <w:r w:rsidRPr="00F130E0">
              <w:rPr>
                <w:rFonts w:ascii="Times New Roman"/>
                <w:b/>
                <w:spacing w:val="-1"/>
                <w:sz w:val="24"/>
              </w:rPr>
              <w:t>Sozialmietwohnungen</w:t>
            </w:r>
            <w:r w:rsidRPr="00F130E0">
              <w:rPr>
                <w:rFonts w:ascii="Times New Roman"/>
                <w:b/>
                <w:sz w:val="24"/>
              </w:rPr>
              <w:t xml:space="preserve"> 2013 bis2017</w:t>
            </w:r>
          </w:p>
        </w:tc>
      </w:tr>
      <w:tr w:rsidR="00F130E0" w:rsidTr="00F130E0">
        <w:trPr>
          <w:trHeight w:hRule="exact" w:val="372"/>
        </w:trPr>
        <w:tc>
          <w:tcPr>
            <w:tcW w:w="3615"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sz w:val="24"/>
              </w:rPr>
              <w:t xml:space="preserve">Stadt </w:t>
            </w:r>
            <w:r>
              <w:rPr>
                <w:rFonts w:ascii="Times New Roman"/>
                <w:spacing w:val="-1"/>
                <w:sz w:val="24"/>
              </w:rPr>
              <w:t>Ansbach</w:t>
            </w:r>
          </w:p>
        </w:tc>
        <w:tc>
          <w:tcPr>
            <w:tcW w:w="2127"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right="59"/>
              <w:jc w:val="right"/>
              <w:rPr>
                <w:rFonts w:ascii="Times New Roman" w:eastAsia="Times New Roman" w:hAnsi="Times New Roman" w:cs="Times New Roman"/>
                <w:sz w:val="24"/>
                <w:szCs w:val="24"/>
              </w:rPr>
            </w:pPr>
            <w:r>
              <w:rPr>
                <w:rFonts w:ascii="Times New Roman"/>
                <w:sz w:val="24"/>
              </w:rPr>
              <w:t>50</w:t>
            </w:r>
          </w:p>
        </w:tc>
      </w:tr>
      <w:tr w:rsidR="00F130E0" w:rsidTr="00F130E0">
        <w:trPr>
          <w:trHeight w:hRule="exact" w:val="370"/>
        </w:trPr>
        <w:tc>
          <w:tcPr>
            <w:tcW w:w="3615"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1"/>
              <w:ind w:left="66"/>
              <w:rPr>
                <w:rFonts w:ascii="Times New Roman" w:eastAsia="Times New Roman" w:hAnsi="Times New Roman" w:cs="Times New Roman"/>
                <w:sz w:val="24"/>
                <w:szCs w:val="24"/>
              </w:rPr>
            </w:pPr>
            <w:r>
              <w:rPr>
                <w:rFonts w:ascii="Times New Roman"/>
                <w:sz w:val="24"/>
              </w:rPr>
              <w:t xml:space="preserve">Stadt </w:t>
            </w:r>
            <w:r>
              <w:rPr>
                <w:rFonts w:ascii="Times New Roman"/>
                <w:spacing w:val="-1"/>
                <w:sz w:val="24"/>
              </w:rPr>
              <w:t>Erlangen</w:t>
            </w:r>
          </w:p>
        </w:tc>
        <w:tc>
          <w:tcPr>
            <w:tcW w:w="2127"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1"/>
              <w:ind w:right="59"/>
              <w:jc w:val="right"/>
              <w:rPr>
                <w:rFonts w:ascii="Times New Roman" w:eastAsia="Times New Roman" w:hAnsi="Times New Roman" w:cs="Times New Roman"/>
                <w:sz w:val="24"/>
                <w:szCs w:val="24"/>
              </w:rPr>
            </w:pPr>
            <w:r>
              <w:rPr>
                <w:rFonts w:ascii="Times New Roman"/>
                <w:sz w:val="24"/>
              </w:rPr>
              <w:t>362</w:t>
            </w:r>
          </w:p>
        </w:tc>
      </w:tr>
      <w:tr w:rsidR="00F130E0" w:rsidTr="00F130E0">
        <w:trPr>
          <w:trHeight w:hRule="exact" w:val="370"/>
        </w:trPr>
        <w:tc>
          <w:tcPr>
            <w:tcW w:w="3615"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1"/>
              <w:ind w:left="66"/>
              <w:rPr>
                <w:rFonts w:ascii="Times New Roman" w:eastAsia="Times New Roman" w:hAnsi="Times New Roman" w:cs="Times New Roman"/>
                <w:sz w:val="24"/>
                <w:szCs w:val="24"/>
              </w:rPr>
            </w:pPr>
            <w:r>
              <w:rPr>
                <w:rFonts w:ascii="Times New Roman" w:hAnsi="Times New Roman"/>
                <w:sz w:val="24"/>
              </w:rPr>
              <w:t xml:space="preserve">Stadt </w:t>
            </w:r>
            <w:r>
              <w:rPr>
                <w:rFonts w:ascii="Times New Roman" w:hAnsi="Times New Roman"/>
                <w:spacing w:val="-1"/>
                <w:sz w:val="24"/>
              </w:rPr>
              <w:t>Fürth</w:t>
            </w:r>
          </w:p>
        </w:tc>
        <w:tc>
          <w:tcPr>
            <w:tcW w:w="2127"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1"/>
              <w:ind w:right="59"/>
              <w:jc w:val="right"/>
              <w:rPr>
                <w:rFonts w:ascii="Times New Roman" w:eastAsia="Times New Roman" w:hAnsi="Times New Roman" w:cs="Times New Roman"/>
                <w:sz w:val="24"/>
                <w:szCs w:val="24"/>
              </w:rPr>
            </w:pPr>
            <w:r>
              <w:rPr>
                <w:rFonts w:ascii="Times New Roman"/>
                <w:sz w:val="24"/>
              </w:rPr>
              <w:t>124</w:t>
            </w:r>
          </w:p>
        </w:tc>
      </w:tr>
      <w:tr w:rsidR="00F130E0" w:rsidTr="00F130E0">
        <w:trPr>
          <w:trHeight w:hRule="exact" w:val="370"/>
        </w:trPr>
        <w:tc>
          <w:tcPr>
            <w:tcW w:w="3615"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hAnsi="Times New Roman"/>
                <w:sz w:val="24"/>
              </w:rPr>
              <w:t xml:space="preserve">Stadt </w:t>
            </w:r>
            <w:r>
              <w:rPr>
                <w:rFonts w:ascii="Times New Roman" w:hAnsi="Times New Roman"/>
                <w:spacing w:val="-1"/>
                <w:sz w:val="24"/>
              </w:rPr>
              <w:t>Nürnberg</w:t>
            </w:r>
          </w:p>
        </w:tc>
        <w:tc>
          <w:tcPr>
            <w:tcW w:w="2127"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right="59"/>
              <w:jc w:val="right"/>
              <w:rPr>
                <w:rFonts w:ascii="Times New Roman" w:eastAsia="Times New Roman" w:hAnsi="Times New Roman" w:cs="Times New Roman"/>
                <w:sz w:val="24"/>
                <w:szCs w:val="24"/>
              </w:rPr>
            </w:pPr>
            <w:r>
              <w:rPr>
                <w:rFonts w:ascii="Times New Roman"/>
                <w:sz w:val="24"/>
              </w:rPr>
              <w:t>972</w:t>
            </w:r>
          </w:p>
        </w:tc>
      </w:tr>
      <w:tr w:rsidR="00F130E0" w:rsidTr="00F130E0">
        <w:trPr>
          <w:trHeight w:hRule="exact" w:val="370"/>
        </w:trPr>
        <w:tc>
          <w:tcPr>
            <w:tcW w:w="3615"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sz w:val="24"/>
              </w:rPr>
              <w:t xml:space="preserve">Stadt </w:t>
            </w:r>
            <w:r>
              <w:rPr>
                <w:rFonts w:ascii="Times New Roman"/>
                <w:spacing w:val="-1"/>
                <w:sz w:val="24"/>
              </w:rPr>
              <w:t>Schwabach</w:t>
            </w:r>
          </w:p>
        </w:tc>
        <w:tc>
          <w:tcPr>
            <w:tcW w:w="2127"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right="59"/>
              <w:jc w:val="right"/>
              <w:rPr>
                <w:rFonts w:ascii="Times New Roman" w:eastAsia="Times New Roman" w:hAnsi="Times New Roman" w:cs="Times New Roman"/>
                <w:sz w:val="24"/>
                <w:szCs w:val="24"/>
              </w:rPr>
            </w:pPr>
            <w:r>
              <w:rPr>
                <w:rFonts w:ascii="Times New Roman"/>
                <w:sz w:val="24"/>
              </w:rPr>
              <w:t>63</w:t>
            </w:r>
          </w:p>
        </w:tc>
      </w:tr>
      <w:tr w:rsidR="00F130E0" w:rsidTr="00F130E0">
        <w:trPr>
          <w:trHeight w:hRule="exact" w:val="370"/>
        </w:trPr>
        <w:tc>
          <w:tcPr>
            <w:tcW w:w="3615"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hAnsi="Times New Roman"/>
                <w:spacing w:val="-1"/>
                <w:sz w:val="24"/>
              </w:rPr>
              <w:t>Landkreis</w:t>
            </w:r>
            <w:r>
              <w:rPr>
                <w:rFonts w:ascii="Times New Roman" w:hAnsi="Times New Roman"/>
                <w:spacing w:val="2"/>
                <w:sz w:val="24"/>
              </w:rPr>
              <w:t xml:space="preserve"> </w:t>
            </w:r>
            <w:r>
              <w:rPr>
                <w:rFonts w:ascii="Times New Roman" w:hAnsi="Times New Roman"/>
                <w:spacing w:val="-1"/>
                <w:sz w:val="24"/>
              </w:rPr>
              <w:t>Fürth</w:t>
            </w:r>
          </w:p>
        </w:tc>
        <w:tc>
          <w:tcPr>
            <w:tcW w:w="2127"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right="59"/>
              <w:jc w:val="right"/>
              <w:rPr>
                <w:rFonts w:ascii="Times New Roman" w:eastAsia="Times New Roman" w:hAnsi="Times New Roman" w:cs="Times New Roman"/>
                <w:sz w:val="24"/>
                <w:szCs w:val="24"/>
              </w:rPr>
            </w:pPr>
            <w:r>
              <w:rPr>
                <w:rFonts w:ascii="Times New Roman"/>
                <w:sz w:val="24"/>
              </w:rPr>
              <w:t>6</w:t>
            </w:r>
          </w:p>
        </w:tc>
      </w:tr>
      <w:tr w:rsidR="00F130E0" w:rsidTr="00F130E0">
        <w:trPr>
          <w:trHeight w:hRule="exact" w:val="372"/>
        </w:trPr>
        <w:tc>
          <w:tcPr>
            <w:tcW w:w="3615"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hAnsi="Times New Roman"/>
                <w:spacing w:val="-1"/>
                <w:sz w:val="24"/>
              </w:rPr>
              <w:t>Landkreis</w:t>
            </w:r>
            <w:r>
              <w:rPr>
                <w:rFonts w:ascii="Times New Roman" w:hAnsi="Times New Roman"/>
                <w:sz w:val="24"/>
              </w:rPr>
              <w:t xml:space="preserve"> Nürnberger</w:t>
            </w:r>
            <w:r>
              <w:rPr>
                <w:rFonts w:ascii="Times New Roman" w:hAnsi="Times New Roman"/>
                <w:spacing w:val="1"/>
                <w:sz w:val="24"/>
              </w:rPr>
              <w:t xml:space="preserve"> </w:t>
            </w:r>
            <w:r>
              <w:rPr>
                <w:rFonts w:ascii="Times New Roman" w:hAnsi="Times New Roman"/>
                <w:spacing w:val="-1"/>
                <w:sz w:val="24"/>
              </w:rPr>
              <w:t>Land</w:t>
            </w:r>
          </w:p>
        </w:tc>
        <w:tc>
          <w:tcPr>
            <w:tcW w:w="2127"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right="59"/>
              <w:jc w:val="right"/>
              <w:rPr>
                <w:rFonts w:ascii="Times New Roman" w:eastAsia="Times New Roman" w:hAnsi="Times New Roman" w:cs="Times New Roman"/>
                <w:sz w:val="24"/>
                <w:szCs w:val="24"/>
              </w:rPr>
            </w:pPr>
            <w:r>
              <w:rPr>
                <w:rFonts w:ascii="Times New Roman"/>
                <w:sz w:val="24"/>
              </w:rPr>
              <w:t>3</w:t>
            </w:r>
          </w:p>
        </w:tc>
      </w:tr>
      <w:tr w:rsidR="00F130E0" w:rsidTr="00F130E0">
        <w:trPr>
          <w:trHeight w:hRule="exact" w:val="379"/>
        </w:trPr>
        <w:tc>
          <w:tcPr>
            <w:tcW w:w="3615" w:type="dxa"/>
            <w:tcBorders>
              <w:top w:val="single" w:sz="5" w:space="0" w:color="000000"/>
              <w:left w:val="single" w:sz="5" w:space="0" w:color="000000"/>
              <w:bottom w:val="single" w:sz="8" w:space="0" w:color="000000"/>
              <w:right w:val="single" w:sz="5" w:space="0" w:color="000000"/>
            </w:tcBorders>
          </w:tcPr>
          <w:p w:rsidR="00F130E0" w:rsidRDefault="00F130E0" w:rsidP="00294419">
            <w:pPr>
              <w:pStyle w:val="TableParagraph"/>
              <w:spacing w:before="31"/>
              <w:ind w:left="66"/>
              <w:rPr>
                <w:rFonts w:ascii="Times New Roman" w:eastAsia="Times New Roman" w:hAnsi="Times New Roman" w:cs="Times New Roman"/>
                <w:sz w:val="24"/>
                <w:szCs w:val="24"/>
              </w:rPr>
            </w:pPr>
            <w:r>
              <w:rPr>
                <w:rFonts w:ascii="Times New Roman"/>
                <w:spacing w:val="-1"/>
                <w:sz w:val="24"/>
              </w:rPr>
              <w:t>Landkreis</w:t>
            </w:r>
            <w:r>
              <w:rPr>
                <w:rFonts w:ascii="Times New Roman"/>
                <w:sz w:val="24"/>
              </w:rPr>
              <w:t xml:space="preserve"> Roth</w:t>
            </w:r>
          </w:p>
        </w:tc>
        <w:tc>
          <w:tcPr>
            <w:tcW w:w="2127" w:type="dxa"/>
            <w:tcBorders>
              <w:top w:val="single" w:sz="5" w:space="0" w:color="000000"/>
              <w:left w:val="single" w:sz="5" w:space="0" w:color="000000"/>
              <w:bottom w:val="single" w:sz="8" w:space="0" w:color="000000"/>
              <w:right w:val="single" w:sz="5" w:space="0" w:color="000000"/>
            </w:tcBorders>
          </w:tcPr>
          <w:p w:rsidR="00F130E0" w:rsidRDefault="00F130E0" w:rsidP="00294419">
            <w:pPr>
              <w:pStyle w:val="TableParagraph"/>
              <w:spacing w:before="31"/>
              <w:ind w:right="59"/>
              <w:jc w:val="right"/>
              <w:rPr>
                <w:rFonts w:ascii="Times New Roman" w:eastAsia="Times New Roman" w:hAnsi="Times New Roman" w:cs="Times New Roman"/>
                <w:sz w:val="24"/>
                <w:szCs w:val="24"/>
              </w:rPr>
            </w:pPr>
            <w:r>
              <w:rPr>
                <w:rFonts w:ascii="Times New Roman"/>
                <w:sz w:val="24"/>
              </w:rPr>
              <w:t>17</w:t>
            </w:r>
          </w:p>
        </w:tc>
      </w:tr>
    </w:tbl>
    <w:p w:rsidR="006E4BC2" w:rsidRPr="00F130E0" w:rsidRDefault="00F130E0" w:rsidP="0088407F">
      <w:pPr>
        <w:pStyle w:val="LTAntwortRessortText"/>
        <w:spacing w:before="480"/>
        <w:rPr>
          <w:u w:val="single"/>
        </w:rPr>
      </w:pPr>
      <w:r w:rsidRPr="00F130E0">
        <w:rPr>
          <w:u w:val="single"/>
        </w:rPr>
        <w:t>V</w:t>
      </w:r>
      <w:r w:rsidR="006E4BC2" w:rsidRPr="00F130E0">
        <w:rPr>
          <w:u w:val="single"/>
        </w:rPr>
        <w:t>erhältnis Sozialmietwohnungen zur Einwohnerzahl</w:t>
      </w:r>
      <w:r>
        <w:rPr>
          <w:u w:val="single"/>
        </w:rPr>
        <w:t>:</w:t>
      </w:r>
    </w:p>
    <w:p w:rsidR="006E4BC2" w:rsidRDefault="006E4BC2" w:rsidP="00F130E0">
      <w:pPr>
        <w:pStyle w:val="LTAntwortRessortText"/>
        <w:spacing w:before="120"/>
      </w:pPr>
      <w:r>
        <w:t>Das Verhältnis des Bestands an geförderten Mietwohnungen zur Einwohnerzahl Ende 2016, aufgeschlüsselt nach den genannten mittelfränkischen Städten</w:t>
      </w:r>
      <w:r w:rsidR="00F130E0">
        <w:t xml:space="preserve"> und Landkreisen, ist aus nach</w:t>
      </w:r>
      <w:r>
        <w:t>folgender Tabelle ersichtlich.</w:t>
      </w:r>
    </w:p>
    <w:p w:rsidR="0088407F" w:rsidRDefault="0088407F" w:rsidP="00F130E0">
      <w:pPr>
        <w:pStyle w:val="LTAntwortRessortText"/>
        <w:spacing w:before="120"/>
      </w:pPr>
    </w:p>
    <w:p w:rsidR="006E4BC2" w:rsidRDefault="006E4BC2" w:rsidP="006E4BC2">
      <w:pPr>
        <w:pStyle w:val="LTAntwortRessortText"/>
      </w:pPr>
    </w:p>
    <w:tbl>
      <w:tblPr>
        <w:tblStyle w:val="TableNormal"/>
        <w:tblW w:w="0" w:type="auto"/>
        <w:tblInd w:w="432" w:type="dxa"/>
        <w:tblLayout w:type="fixed"/>
        <w:tblLook w:val="01E0" w:firstRow="1" w:lastRow="1" w:firstColumn="1" w:lastColumn="1" w:noHBand="0" w:noVBand="0"/>
      </w:tblPr>
      <w:tblGrid>
        <w:gridCol w:w="3615"/>
        <w:gridCol w:w="2127"/>
      </w:tblGrid>
      <w:tr w:rsidR="00F130E0" w:rsidTr="00F130E0">
        <w:trPr>
          <w:trHeight w:hRule="exact" w:val="562"/>
        </w:trPr>
        <w:tc>
          <w:tcPr>
            <w:tcW w:w="5742" w:type="dxa"/>
            <w:gridSpan w:val="2"/>
            <w:tcBorders>
              <w:top w:val="single" w:sz="8" w:space="0" w:color="000000"/>
              <w:left w:val="single" w:sz="5" w:space="0" w:color="000000"/>
              <w:bottom w:val="single" w:sz="5" w:space="0" w:color="000000"/>
              <w:right w:val="single" w:sz="5" w:space="0" w:color="000000"/>
            </w:tcBorders>
          </w:tcPr>
          <w:p w:rsidR="00F130E0" w:rsidRPr="00F130E0" w:rsidRDefault="00F130E0" w:rsidP="00F130E0">
            <w:pPr>
              <w:pStyle w:val="TableParagraph"/>
              <w:ind w:left="322" w:right="319"/>
              <w:rPr>
                <w:rFonts w:ascii="Times New Roman" w:eastAsia="Times New Roman" w:hAnsi="Times New Roman" w:cs="Times New Roman"/>
                <w:b/>
                <w:sz w:val="24"/>
                <w:szCs w:val="24"/>
              </w:rPr>
            </w:pPr>
            <w:r w:rsidRPr="00F130E0">
              <w:rPr>
                <w:rFonts w:ascii="Times New Roman" w:hAnsi="Times New Roman"/>
                <w:b/>
                <w:spacing w:val="-1"/>
                <w:sz w:val="24"/>
              </w:rPr>
              <w:t>Verhältnis</w:t>
            </w:r>
            <w:r w:rsidRPr="00F130E0">
              <w:rPr>
                <w:rFonts w:ascii="Times New Roman" w:hAnsi="Times New Roman"/>
                <w:b/>
                <w:sz w:val="24"/>
              </w:rPr>
              <w:t xml:space="preserve"> </w:t>
            </w:r>
            <w:r w:rsidRPr="00F130E0">
              <w:rPr>
                <w:rFonts w:ascii="Times New Roman" w:hAnsi="Times New Roman"/>
                <w:b/>
                <w:spacing w:val="-1"/>
                <w:sz w:val="24"/>
              </w:rPr>
              <w:t>Sozialmietwohnungen</w:t>
            </w:r>
            <w:r w:rsidRPr="00F130E0">
              <w:rPr>
                <w:rFonts w:ascii="Times New Roman" w:hAnsi="Times New Roman"/>
                <w:b/>
                <w:sz w:val="24"/>
              </w:rPr>
              <w:t xml:space="preserve"> zur</w:t>
            </w:r>
            <w:r w:rsidRPr="00F130E0">
              <w:rPr>
                <w:rFonts w:ascii="Times New Roman" w:hAnsi="Times New Roman"/>
                <w:b/>
                <w:spacing w:val="-1"/>
                <w:sz w:val="24"/>
              </w:rPr>
              <w:t xml:space="preserve"> </w:t>
            </w:r>
            <w:r w:rsidRPr="00F130E0">
              <w:rPr>
                <w:rFonts w:ascii="Times New Roman" w:hAnsi="Times New Roman"/>
                <w:b/>
                <w:sz w:val="24"/>
              </w:rPr>
              <w:t>Einwohnerzahl</w:t>
            </w:r>
            <w:r w:rsidRPr="00F130E0">
              <w:rPr>
                <w:rFonts w:ascii="Times New Roman" w:hAnsi="Times New Roman"/>
                <w:b/>
                <w:spacing w:val="51"/>
                <w:sz w:val="24"/>
              </w:rPr>
              <w:t xml:space="preserve"> </w:t>
            </w:r>
            <w:r w:rsidRPr="00F130E0">
              <w:rPr>
                <w:rFonts w:ascii="Times New Roman" w:hAnsi="Times New Roman"/>
                <w:b/>
                <w:sz w:val="24"/>
              </w:rPr>
              <w:t>Ende</w:t>
            </w:r>
            <w:r w:rsidRPr="00F130E0">
              <w:rPr>
                <w:rFonts w:ascii="Times New Roman" w:hAnsi="Times New Roman"/>
                <w:b/>
                <w:spacing w:val="-2"/>
                <w:sz w:val="24"/>
              </w:rPr>
              <w:t xml:space="preserve"> </w:t>
            </w:r>
            <w:r w:rsidRPr="00F130E0">
              <w:rPr>
                <w:rFonts w:ascii="Times New Roman" w:hAnsi="Times New Roman"/>
                <w:b/>
                <w:sz w:val="24"/>
              </w:rPr>
              <w:t>2016 in Prozent</w:t>
            </w:r>
          </w:p>
        </w:tc>
      </w:tr>
      <w:tr w:rsidR="00F130E0" w:rsidTr="00F130E0">
        <w:trPr>
          <w:trHeight w:hRule="exact" w:val="370"/>
        </w:trPr>
        <w:tc>
          <w:tcPr>
            <w:tcW w:w="3615"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sz w:val="24"/>
              </w:rPr>
              <w:t xml:space="preserve">Stadt </w:t>
            </w:r>
            <w:r>
              <w:rPr>
                <w:rFonts w:ascii="Times New Roman"/>
                <w:spacing w:val="-1"/>
                <w:sz w:val="24"/>
              </w:rPr>
              <w:t>Ansbach</w:t>
            </w:r>
          </w:p>
        </w:tc>
        <w:tc>
          <w:tcPr>
            <w:tcW w:w="2127"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75"/>
              <w:ind w:right="59"/>
              <w:jc w:val="right"/>
              <w:rPr>
                <w:rFonts w:ascii="Times New Roman" w:eastAsia="Times New Roman" w:hAnsi="Times New Roman" w:cs="Times New Roman"/>
                <w:sz w:val="24"/>
                <w:szCs w:val="24"/>
              </w:rPr>
            </w:pPr>
            <w:r>
              <w:rPr>
                <w:rFonts w:ascii="Times New Roman"/>
                <w:sz w:val="24"/>
              </w:rPr>
              <w:t>0,91</w:t>
            </w:r>
          </w:p>
        </w:tc>
      </w:tr>
      <w:tr w:rsidR="00F130E0" w:rsidTr="00F130E0">
        <w:trPr>
          <w:trHeight w:hRule="exact" w:val="372"/>
        </w:trPr>
        <w:tc>
          <w:tcPr>
            <w:tcW w:w="3615"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sz w:val="24"/>
              </w:rPr>
              <w:t xml:space="preserve">Stadt </w:t>
            </w:r>
            <w:r>
              <w:rPr>
                <w:rFonts w:ascii="Times New Roman"/>
                <w:spacing w:val="-1"/>
                <w:sz w:val="24"/>
              </w:rPr>
              <w:t>Erlangen</w:t>
            </w:r>
          </w:p>
        </w:tc>
        <w:tc>
          <w:tcPr>
            <w:tcW w:w="2127"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77"/>
              <w:ind w:right="59"/>
              <w:jc w:val="right"/>
              <w:rPr>
                <w:rFonts w:ascii="Times New Roman" w:eastAsia="Times New Roman" w:hAnsi="Times New Roman" w:cs="Times New Roman"/>
                <w:sz w:val="24"/>
                <w:szCs w:val="24"/>
              </w:rPr>
            </w:pPr>
            <w:r>
              <w:rPr>
                <w:rFonts w:ascii="Times New Roman"/>
                <w:sz w:val="24"/>
              </w:rPr>
              <w:t>2,61</w:t>
            </w:r>
          </w:p>
        </w:tc>
      </w:tr>
      <w:tr w:rsidR="00F130E0" w:rsidTr="00F130E0">
        <w:trPr>
          <w:trHeight w:hRule="exact" w:val="370"/>
        </w:trPr>
        <w:tc>
          <w:tcPr>
            <w:tcW w:w="3615"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1"/>
              <w:ind w:left="66"/>
              <w:rPr>
                <w:rFonts w:ascii="Times New Roman" w:eastAsia="Times New Roman" w:hAnsi="Times New Roman" w:cs="Times New Roman"/>
                <w:sz w:val="24"/>
                <w:szCs w:val="24"/>
              </w:rPr>
            </w:pPr>
            <w:r>
              <w:rPr>
                <w:rFonts w:ascii="Times New Roman" w:hAnsi="Times New Roman"/>
                <w:sz w:val="24"/>
              </w:rPr>
              <w:t xml:space="preserve">Stadt </w:t>
            </w:r>
            <w:r>
              <w:rPr>
                <w:rFonts w:ascii="Times New Roman" w:hAnsi="Times New Roman"/>
                <w:spacing w:val="-1"/>
                <w:sz w:val="24"/>
              </w:rPr>
              <w:t>Fürth</w:t>
            </w:r>
          </w:p>
        </w:tc>
        <w:tc>
          <w:tcPr>
            <w:tcW w:w="2127"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75"/>
              <w:ind w:right="59"/>
              <w:jc w:val="right"/>
              <w:rPr>
                <w:rFonts w:ascii="Times New Roman" w:eastAsia="Times New Roman" w:hAnsi="Times New Roman" w:cs="Times New Roman"/>
                <w:sz w:val="24"/>
                <w:szCs w:val="24"/>
              </w:rPr>
            </w:pPr>
            <w:r>
              <w:rPr>
                <w:rFonts w:ascii="Times New Roman"/>
                <w:sz w:val="24"/>
              </w:rPr>
              <w:t>1,90</w:t>
            </w:r>
          </w:p>
        </w:tc>
      </w:tr>
      <w:tr w:rsidR="00F130E0" w:rsidTr="00F130E0">
        <w:trPr>
          <w:trHeight w:hRule="exact" w:val="370"/>
        </w:trPr>
        <w:tc>
          <w:tcPr>
            <w:tcW w:w="3615"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1"/>
              <w:ind w:left="66"/>
              <w:rPr>
                <w:rFonts w:ascii="Times New Roman" w:eastAsia="Times New Roman" w:hAnsi="Times New Roman" w:cs="Times New Roman"/>
                <w:sz w:val="24"/>
                <w:szCs w:val="24"/>
              </w:rPr>
            </w:pPr>
            <w:r>
              <w:rPr>
                <w:rFonts w:ascii="Times New Roman" w:hAnsi="Times New Roman"/>
                <w:sz w:val="24"/>
              </w:rPr>
              <w:t xml:space="preserve">Stadt </w:t>
            </w:r>
            <w:r>
              <w:rPr>
                <w:rFonts w:ascii="Times New Roman" w:hAnsi="Times New Roman"/>
                <w:spacing w:val="-1"/>
                <w:sz w:val="24"/>
              </w:rPr>
              <w:t>Nürnberg</w:t>
            </w:r>
          </w:p>
        </w:tc>
        <w:tc>
          <w:tcPr>
            <w:tcW w:w="2127"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75"/>
              <w:ind w:right="59"/>
              <w:jc w:val="right"/>
              <w:rPr>
                <w:rFonts w:ascii="Times New Roman" w:eastAsia="Times New Roman" w:hAnsi="Times New Roman" w:cs="Times New Roman"/>
                <w:sz w:val="24"/>
                <w:szCs w:val="24"/>
              </w:rPr>
            </w:pPr>
            <w:r>
              <w:rPr>
                <w:rFonts w:ascii="Times New Roman"/>
                <w:sz w:val="24"/>
              </w:rPr>
              <w:t>2,79</w:t>
            </w:r>
          </w:p>
        </w:tc>
      </w:tr>
      <w:tr w:rsidR="00F130E0" w:rsidTr="00F130E0">
        <w:trPr>
          <w:trHeight w:hRule="exact" w:val="370"/>
        </w:trPr>
        <w:tc>
          <w:tcPr>
            <w:tcW w:w="3615"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sz w:val="24"/>
              </w:rPr>
              <w:t xml:space="preserve">Stadt </w:t>
            </w:r>
            <w:r>
              <w:rPr>
                <w:rFonts w:ascii="Times New Roman"/>
                <w:spacing w:val="-1"/>
                <w:sz w:val="24"/>
              </w:rPr>
              <w:t>Schwabach</w:t>
            </w:r>
          </w:p>
        </w:tc>
        <w:tc>
          <w:tcPr>
            <w:tcW w:w="2127"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75"/>
              <w:ind w:right="59"/>
              <w:jc w:val="right"/>
              <w:rPr>
                <w:rFonts w:ascii="Times New Roman" w:eastAsia="Times New Roman" w:hAnsi="Times New Roman" w:cs="Times New Roman"/>
                <w:sz w:val="24"/>
                <w:szCs w:val="24"/>
              </w:rPr>
            </w:pPr>
            <w:r>
              <w:rPr>
                <w:rFonts w:ascii="Times New Roman"/>
                <w:sz w:val="24"/>
              </w:rPr>
              <w:t>2,03</w:t>
            </w:r>
          </w:p>
        </w:tc>
      </w:tr>
      <w:tr w:rsidR="00F130E0" w:rsidTr="00F130E0">
        <w:trPr>
          <w:trHeight w:hRule="exact" w:val="370"/>
        </w:trPr>
        <w:tc>
          <w:tcPr>
            <w:tcW w:w="3615"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hAnsi="Times New Roman"/>
                <w:spacing w:val="-1"/>
                <w:sz w:val="24"/>
              </w:rPr>
              <w:t>Landkreis</w:t>
            </w:r>
            <w:r>
              <w:rPr>
                <w:rFonts w:ascii="Times New Roman" w:hAnsi="Times New Roman"/>
                <w:spacing w:val="2"/>
                <w:sz w:val="24"/>
              </w:rPr>
              <w:t xml:space="preserve"> </w:t>
            </w:r>
            <w:r>
              <w:rPr>
                <w:rFonts w:ascii="Times New Roman" w:hAnsi="Times New Roman"/>
                <w:spacing w:val="-1"/>
                <w:sz w:val="24"/>
              </w:rPr>
              <w:t>Fürth</w:t>
            </w:r>
          </w:p>
        </w:tc>
        <w:tc>
          <w:tcPr>
            <w:tcW w:w="2127"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75"/>
              <w:ind w:right="59"/>
              <w:jc w:val="right"/>
              <w:rPr>
                <w:rFonts w:ascii="Times New Roman" w:eastAsia="Times New Roman" w:hAnsi="Times New Roman" w:cs="Times New Roman"/>
                <w:sz w:val="24"/>
                <w:szCs w:val="24"/>
              </w:rPr>
            </w:pPr>
            <w:r>
              <w:rPr>
                <w:rFonts w:ascii="Times New Roman"/>
                <w:sz w:val="24"/>
              </w:rPr>
              <w:t>0,67</w:t>
            </w:r>
          </w:p>
        </w:tc>
      </w:tr>
      <w:tr w:rsidR="00F130E0" w:rsidTr="00F130E0">
        <w:trPr>
          <w:trHeight w:hRule="exact" w:val="370"/>
        </w:trPr>
        <w:tc>
          <w:tcPr>
            <w:tcW w:w="3615"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hAnsi="Times New Roman"/>
                <w:spacing w:val="-1"/>
                <w:sz w:val="24"/>
              </w:rPr>
              <w:t>Landkreis</w:t>
            </w:r>
            <w:r>
              <w:rPr>
                <w:rFonts w:ascii="Times New Roman" w:hAnsi="Times New Roman"/>
                <w:sz w:val="24"/>
              </w:rPr>
              <w:t xml:space="preserve"> Nürnberger</w:t>
            </w:r>
            <w:r>
              <w:rPr>
                <w:rFonts w:ascii="Times New Roman" w:hAnsi="Times New Roman"/>
                <w:spacing w:val="1"/>
                <w:sz w:val="24"/>
              </w:rPr>
              <w:t xml:space="preserve"> </w:t>
            </w:r>
            <w:r>
              <w:rPr>
                <w:rFonts w:ascii="Times New Roman" w:hAnsi="Times New Roman"/>
                <w:spacing w:val="-1"/>
                <w:sz w:val="24"/>
              </w:rPr>
              <w:t>Land</w:t>
            </w:r>
          </w:p>
        </w:tc>
        <w:tc>
          <w:tcPr>
            <w:tcW w:w="2127" w:type="dxa"/>
            <w:tcBorders>
              <w:top w:val="single" w:sz="5" w:space="0" w:color="000000"/>
              <w:left w:val="single" w:sz="5" w:space="0" w:color="000000"/>
              <w:bottom w:val="single" w:sz="5" w:space="0" w:color="000000"/>
              <w:right w:val="single" w:sz="5" w:space="0" w:color="000000"/>
            </w:tcBorders>
          </w:tcPr>
          <w:p w:rsidR="00F130E0" w:rsidRDefault="00F130E0" w:rsidP="00294419">
            <w:pPr>
              <w:pStyle w:val="TableParagraph"/>
              <w:spacing w:before="75"/>
              <w:ind w:right="59"/>
              <w:jc w:val="right"/>
              <w:rPr>
                <w:rFonts w:ascii="Times New Roman" w:eastAsia="Times New Roman" w:hAnsi="Times New Roman" w:cs="Times New Roman"/>
                <w:sz w:val="24"/>
                <w:szCs w:val="24"/>
              </w:rPr>
            </w:pPr>
            <w:r>
              <w:rPr>
                <w:rFonts w:ascii="Times New Roman"/>
                <w:sz w:val="24"/>
              </w:rPr>
              <w:t>0,37</w:t>
            </w:r>
          </w:p>
        </w:tc>
      </w:tr>
      <w:tr w:rsidR="00F130E0" w:rsidTr="00F130E0">
        <w:trPr>
          <w:trHeight w:hRule="exact" w:val="382"/>
        </w:trPr>
        <w:tc>
          <w:tcPr>
            <w:tcW w:w="3615" w:type="dxa"/>
            <w:tcBorders>
              <w:top w:val="single" w:sz="5" w:space="0" w:color="000000"/>
              <w:left w:val="single" w:sz="5" w:space="0" w:color="000000"/>
              <w:bottom w:val="single" w:sz="8" w:space="0" w:color="000000"/>
              <w:right w:val="single" w:sz="5" w:space="0" w:color="000000"/>
            </w:tcBorders>
          </w:tcPr>
          <w:p w:rsidR="00F130E0" w:rsidRDefault="00F130E0" w:rsidP="00294419">
            <w:pPr>
              <w:pStyle w:val="TableParagraph"/>
              <w:spacing w:before="34"/>
              <w:ind w:left="66"/>
              <w:rPr>
                <w:rFonts w:ascii="Times New Roman" w:eastAsia="Times New Roman" w:hAnsi="Times New Roman" w:cs="Times New Roman"/>
                <w:sz w:val="24"/>
                <w:szCs w:val="24"/>
              </w:rPr>
            </w:pPr>
            <w:r>
              <w:rPr>
                <w:rFonts w:ascii="Times New Roman"/>
                <w:spacing w:val="-1"/>
                <w:sz w:val="24"/>
              </w:rPr>
              <w:t>Landkreis</w:t>
            </w:r>
            <w:r>
              <w:rPr>
                <w:rFonts w:ascii="Times New Roman"/>
                <w:sz w:val="24"/>
              </w:rPr>
              <w:t xml:space="preserve"> Roth</w:t>
            </w:r>
          </w:p>
        </w:tc>
        <w:tc>
          <w:tcPr>
            <w:tcW w:w="2127" w:type="dxa"/>
            <w:tcBorders>
              <w:top w:val="single" w:sz="5" w:space="0" w:color="000000"/>
              <w:left w:val="single" w:sz="5" w:space="0" w:color="000000"/>
              <w:bottom w:val="single" w:sz="8" w:space="0" w:color="000000"/>
              <w:right w:val="single" w:sz="5" w:space="0" w:color="000000"/>
            </w:tcBorders>
          </w:tcPr>
          <w:p w:rsidR="00F130E0" w:rsidRDefault="00F130E0" w:rsidP="00294419">
            <w:pPr>
              <w:pStyle w:val="TableParagraph"/>
              <w:spacing w:before="77"/>
              <w:ind w:right="59"/>
              <w:jc w:val="right"/>
              <w:rPr>
                <w:rFonts w:ascii="Times New Roman" w:eastAsia="Times New Roman" w:hAnsi="Times New Roman" w:cs="Times New Roman"/>
                <w:sz w:val="24"/>
                <w:szCs w:val="24"/>
              </w:rPr>
            </w:pPr>
            <w:r>
              <w:rPr>
                <w:rFonts w:ascii="Times New Roman"/>
                <w:sz w:val="24"/>
              </w:rPr>
              <w:t>0,28</w:t>
            </w:r>
          </w:p>
        </w:tc>
      </w:tr>
    </w:tbl>
    <w:p w:rsidR="006E4BC2" w:rsidRDefault="006E4BC2" w:rsidP="006E4BC2">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Harald</w:t>
            </w:r>
            <w:r w:rsidRPr="006E4BC2">
              <w:rPr>
                <w:b/>
              </w:rPr>
              <w:br/>
              <w:t>Güller</w:t>
            </w:r>
            <w:r w:rsidRPr="006E4BC2">
              <w:rPr>
                <w:b/>
              </w:rPr>
              <w:br/>
            </w:r>
            <w:r w:rsidRPr="006E4BC2">
              <w:t>(SPD)</w:t>
            </w:r>
            <w:r>
              <w:fldChar w:fldCharType="begin"/>
            </w:r>
            <w:r>
              <w:instrText xml:space="preserve"> TC </w:instrText>
            </w:r>
            <w:r w:rsidR="004A62EF">
              <w:instrText>„</w:instrText>
            </w:r>
            <w:bookmarkStart w:id="60" w:name="_Toc511290279"/>
            <w:r>
              <w:instrText>Güller, Harald (SPD)</w:instrText>
            </w:r>
            <w:r>
              <w:br/>
              <w:instrText>Wohnungspakt Bayern 2017 - Landkreise Augsburg und Aichach-Friedberg, Stadt Augsburg</w:instrText>
            </w:r>
            <w:bookmarkEnd w:id="60"/>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wie sich in Fortführung der Ergebnisse der Antwort auf die Schriftliche Anfrage des Abgeordneten Andreas Lotte (Drs.</w:t>
            </w:r>
            <w:r w:rsidR="00294419">
              <w:t> </w:t>
            </w:r>
            <w:r>
              <w:t xml:space="preserve">17/15928) die staatlich geförderten Wohnungen im Rahmen der Wohnungsbauförderung für </w:t>
            </w:r>
            <w:r w:rsidR="00E94A2C">
              <w:t>A</w:t>
            </w:r>
            <w:r>
              <w:t>lle (3. Säule) aus dem Wohnungspakt Bayern für das Jahr 2017 für die Landkreise Augsburg und Aichach-Friedberg sowie die Stadt Augsburg entwickelt haben (bitte in entsprechender Aufschlüsselung der Anlagen 1 und 2 aus der genannten Drucksache)?</w:t>
            </w:r>
          </w:p>
          <w:p w:rsidR="006E4BC2" w:rsidRDefault="006E4BC2" w:rsidP="006E4BC2">
            <w:pPr>
              <w:pStyle w:val="LTAnfrageText"/>
            </w:pPr>
          </w:p>
        </w:tc>
      </w:tr>
    </w:tbl>
    <w:p w:rsidR="006E4BC2" w:rsidRDefault="006E4BC2" w:rsidP="006E4BC2">
      <w:pPr>
        <w:pStyle w:val="LTUeberschrAntwortRessort"/>
      </w:pPr>
      <w:r>
        <w:t>Antwort des Staatsministeriums für Wohnen, Bau und Verkehr</w:t>
      </w:r>
    </w:p>
    <w:p w:rsidR="006E4BC2" w:rsidRDefault="006E4BC2" w:rsidP="006E4BC2">
      <w:pPr>
        <w:pStyle w:val="LTAntwortRessortText"/>
      </w:pPr>
      <w:r>
        <w:t xml:space="preserve">Analog der Aufschlüsselung der Anlagen 1 und 2 aus </w:t>
      </w:r>
      <w:r w:rsidR="00294419">
        <w:t>der Schriftlichen Anfrage des Abgeordneten Andreas Lotte betreffend „Wohnungspakt Bayern 2016“ (Drs.</w:t>
      </w:r>
      <w:r>
        <w:t xml:space="preserve"> 17/15928</w:t>
      </w:r>
      <w:r w:rsidR="00294419">
        <w:t>) sind nachfol</w:t>
      </w:r>
      <w:r>
        <w:t>gend die Zahlen des Neubaus von Mietwohnungen und des</w:t>
      </w:r>
      <w:r w:rsidR="00294419">
        <w:t xml:space="preserve"> Baus und Erwerbs von Eigenwoh</w:t>
      </w:r>
      <w:r>
        <w:t>nungen genannt, die im Rahmen des Wohnungsbauprogramms in den Landkreisen Augsburg und Aichach-Friedberg sowie der Stadt Augsburg im Jahr 2017 gefördert wurden sowie die Höhe der jeweils dafür bewilligten Mittel.</w:t>
      </w:r>
    </w:p>
    <w:p w:rsidR="006E4BC2" w:rsidRPr="00294419" w:rsidRDefault="006E4BC2" w:rsidP="006E4BC2">
      <w:pPr>
        <w:pStyle w:val="LTAntwortRessortText"/>
        <w:rPr>
          <w:u w:val="single"/>
        </w:rPr>
      </w:pPr>
      <w:r w:rsidRPr="00294419">
        <w:rPr>
          <w:u w:val="single"/>
        </w:rPr>
        <w:t xml:space="preserve">Staatliche Wohnraumförderung im Jahr 2017 (3. Säule) </w:t>
      </w:r>
      <w:r w:rsidR="00294419">
        <w:rPr>
          <w:u w:val="single"/>
        </w:rPr>
        <w:t>–</w:t>
      </w:r>
      <w:r w:rsidRPr="00294419">
        <w:rPr>
          <w:u w:val="single"/>
        </w:rPr>
        <w:t xml:space="preserve"> Mietwohnraumförderung</w:t>
      </w:r>
    </w:p>
    <w:p w:rsidR="006E4BC2" w:rsidRDefault="006E4BC2" w:rsidP="006E4BC2">
      <w:pPr>
        <w:pStyle w:val="LTAntwortRessortText"/>
      </w:pPr>
    </w:p>
    <w:tbl>
      <w:tblPr>
        <w:tblStyle w:val="TableNormal"/>
        <w:tblW w:w="9242" w:type="dxa"/>
        <w:tblInd w:w="432" w:type="dxa"/>
        <w:tblLayout w:type="fixed"/>
        <w:tblLook w:val="01E0" w:firstRow="1" w:lastRow="1" w:firstColumn="1" w:lastColumn="1" w:noHBand="0" w:noVBand="0"/>
      </w:tblPr>
      <w:tblGrid>
        <w:gridCol w:w="818"/>
        <w:gridCol w:w="1733"/>
        <w:gridCol w:w="1276"/>
        <w:gridCol w:w="1417"/>
        <w:gridCol w:w="2317"/>
        <w:gridCol w:w="1681"/>
      </w:tblGrid>
      <w:tr w:rsidR="00294419" w:rsidRPr="00294419" w:rsidTr="00294419">
        <w:trPr>
          <w:trHeight w:val="1162"/>
        </w:trPr>
        <w:tc>
          <w:tcPr>
            <w:tcW w:w="2551" w:type="dxa"/>
            <w:gridSpan w:val="2"/>
            <w:tcBorders>
              <w:top w:val="single" w:sz="5" w:space="0" w:color="000000"/>
              <w:left w:val="single" w:sz="5" w:space="0" w:color="000000"/>
              <w:right w:val="single" w:sz="8" w:space="0" w:color="000000"/>
            </w:tcBorders>
            <w:vAlign w:val="center"/>
          </w:tcPr>
          <w:p w:rsidR="00294419" w:rsidRPr="00294419" w:rsidRDefault="00294419" w:rsidP="00294419">
            <w:pPr>
              <w:pStyle w:val="TableParagraph"/>
              <w:spacing w:line="269" w:lineRule="exact"/>
              <w:ind w:left="71"/>
              <w:jc w:val="center"/>
              <w:rPr>
                <w:b/>
                <w:sz w:val="20"/>
                <w:szCs w:val="20"/>
              </w:rPr>
            </w:pPr>
            <w:r w:rsidRPr="00294419">
              <w:rPr>
                <w:rFonts w:ascii="Times New Roman"/>
                <w:b/>
                <w:spacing w:val="-1"/>
                <w:sz w:val="20"/>
                <w:szCs w:val="20"/>
              </w:rPr>
              <w:t>Stadt bzw. Landkreis</w:t>
            </w:r>
          </w:p>
        </w:tc>
        <w:tc>
          <w:tcPr>
            <w:tcW w:w="1276" w:type="dxa"/>
            <w:tcBorders>
              <w:top w:val="single" w:sz="5" w:space="0" w:color="000000"/>
              <w:left w:val="single" w:sz="8" w:space="0" w:color="000000"/>
              <w:right w:val="single" w:sz="5" w:space="0" w:color="000000"/>
            </w:tcBorders>
          </w:tcPr>
          <w:p w:rsidR="00294419" w:rsidRPr="00294419" w:rsidRDefault="00294419" w:rsidP="00294419">
            <w:pPr>
              <w:pStyle w:val="TableParagraph"/>
              <w:spacing w:before="130"/>
              <w:ind w:left="214"/>
              <w:rPr>
                <w:rFonts w:ascii="Times New Roman" w:eastAsia="Times New Roman" w:hAnsi="Times New Roman" w:cs="Times New Roman"/>
                <w:b/>
                <w:sz w:val="20"/>
                <w:szCs w:val="20"/>
              </w:rPr>
            </w:pPr>
            <w:r w:rsidRPr="00294419">
              <w:rPr>
                <w:rFonts w:ascii="Times New Roman"/>
                <w:b/>
                <w:spacing w:val="-1"/>
                <w:sz w:val="20"/>
                <w:szCs w:val="20"/>
              </w:rPr>
              <w:t>Zahl</w:t>
            </w:r>
            <w:r w:rsidRPr="00294419">
              <w:rPr>
                <w:rFonts w:ascii="Times New Roman"/>
                <w:b/>
                <w:sz w:val="20"/>
                <w:szCs w:val="20"/>
              </w:rPr>
              <w:t xml:space="preserve"> der </w:t>
            </w:r>
            <w:r w:rsidRPr="00294419">
              <w:rPr>
                <w:rFonts w:ascii="Times New Roman"/>
                <w:b/>
                <w:spacing w:val="-1"/>
                <w:sz w:val="20"/>
                <w:szCs w:val="20"/>
              </w:rPr>
              <w:t>Mietwohnungen</w:t>
            </w:r>
          </w:p>
        </w:tc>
        <w:tc>
          <w:tcPr>
            <w:tcW w:w="1417" w:type="dxa"/>
            <w:tcBorders>
              <w:top w:val="single" w:sz="5" w:space="0" w:color="000000"/>
              <w:left w:val="single" w:sz="5" w:space="0" w:color="000000"/>
              <w:right w:val="single" w:sz="5" w:space="0" w:color="000000"/>
            </w:tcBorders>
          </w:tcPr>
          <w:p w:rsidR="00294419" w:rsidRPr="00294419" w:rsidRDefault="00294419" w:rsidP="00294419">
            <w:pPr>
              <w:pStyle w:val="TableParagraph"/>
              <w:spacing w:before="130"/>
              <w:ind w:left="274"/>
              <w:rPr>
                <w:rFonts w:ascii="Times New Roman" w:eastAsia="Times New Roman" w:hAnsi="Times New Roman" w:cs="Times New Roman"/>
                <w:b/>
                <w:sz w:val="20"/>
                <w:szCs w:val="20"/>
              </w:rPr>
            </w:pPr>
            <w:r w:rsidRPr="00294419">
              <w:rPr>
                <w:rFonts w:ascii="Times New Roman"/>
                <w:b/>
                <w:spacing w:val="-1"/>
                <w:sz w:val="20"/>
                <w:szCs w:val="20"/>
              </w:rPr>
              <w:t>bewilligte</w:t>
            </w:r>
          </w:p>
          <w:p w:rsidR="00294419" w:rsidRPr="00294419" w:rsidRDefault="00294419" w:rsidP="00294419">
            <w:pPr>
              <w:pStyle w:val="TableParagraph"/>
              <w:spacing w:line="269" w:lineRule="exact"/>
              <w:ind w:left="313"/>
              <w:rPr>
                <w:rFonts w:ascii="Times New Roman" w:eastAsia="Times New Roman" w:hAnsi="Times New Roman" w:cs="Times New Roman"/>
                <w:b/>
                <w:sz w:val="20"/>
                <w:szCs w:val="20"/>
              </w:rPr>
            </w:pPr>
            <w:r w:rsidRPr="00294419">
              <w:rPr>
                <w:rFonts w:ascii="Times New Roman"/>
                <w:b/>
                <w:spacing w:val="-1"/>
                <w:sz w:val="20"/>
                <w:szCs w:val="20"/>
              </w:rPr>
              <w:t>Darlehen</w:t>
            </w:r>
          </w:p>
          <w:p w:rsidR="00294419" w:rsidRPr="00294419" w:rsidRDefault="00294419" w:rsidP="00294419">
            <w:pPr>
              <w:pStyle w:val="TableParagraph"/>
              <w:spacing w:line="275" w:lineRule="exact"/>
              <w:jc w:val="center"/>
              <w:rPr>
                <w:rFonts w:ascii="Times New Roman" w:eastAsia="Times New Roman" w:hAnsi="Times New Roman" w:cs="Times New Roman"/>
                <w:b/>
                <w:sz w:val="20"/>
                <w:szCs w:val="20"/>
              </w:rPr>
            </w:pPr>
            <w:r w:rsidRPr="00294419">
              <w:rPr>
                <w:rFonts w:ascii="Times New Roman"/>
                <w:b/>
                <w:spacing w:val="-1"/>
                <w:sz w:val="20"/>
                <w:szCs w:val="20"/>
              </w:rPr>
              <w:t>Euro</w:t>
            </w:r>
          </w:p>
        </w:tc>
        <w:tc>
          <w:tcPr>
            <w:tcW w:w="2317" w:type="dxa"/>
            <w:tcBorders>
              <w:top w:val="single" w:sz="5" w:space="0" w:color="000000"/>
              <w:left w:val="single" w:sz="5" w:space="0" w:color="000000"/>
              <w:right w:val="single" w:sz="5" w:space="0" w:color="000000"/>
            </w:tcBorders>
            <w:vAlign w:val="center"/>
          </w:tcPr>
          <w:p w:rsidR="00294419" w:rsidRPr="00E94A2C" w:rsidRDefault="00294419" w:rsidP="00294419">
            <w:pPr>
              <w:pStyle w:val="TableParagraph"/>
              <w:ind w:left="195" w:right="191"/>
              <w:rPr>
                <w:rFonts w:ascii="Times New Roman"/>
                <w:b/>
                <w:spacing w:val="-1"/>
                <w:sz w:val="20"/>
                <w:szCs w:val="20"/>
              </w:rPr>
            </w:pPr>
            <w:r w:rsidRPr="00294419">
              <w:rPr>
                <w:rFonts w:ascii="Times New Roman"/>
                <w:b/>
                <w:spacing w:val="-1"/>
                <w:sz w:val="20"/>
                <w:szCs w:val="20"/>
              </w:rPr>
              <w:t>davon</w:t>
            </w:r>
            <w:r w:rsidRPr="00294419">
              <w:rPr>
                <w:rFonts w:ascii="Times New Roman"/>
                <w:b/>
                <w:sz w:val="20"/>
                <w:szCs w:val="20"/>
              </w:rPr>
              <w:t xml:space="preserve"> </w:t>
            </w:r>
            <w:r w:rsidRPr="00294419">
              <w:rPr>
                <w:rFonts w:ascii="Times New Roman"/>
                <w:b/>
                <w:spacing w:val="-1"/>
                <w:sz w:val="20"/>
                <w:szCs w:val="20"/>
              </w:rPr>
              <w:t>Darlehen</w:t>
            </w:r>
            <w:r w:rsidRPr="00294419">
              <w:rPr>
                <w:rFonts w:ascii="Times New Roman"/>
                <w:b/>
                <w:sz w:val="20"/>
                <w:szCs w:val="20"/>
              </w:rPr>
              <w:t xml:space="preserve"> </w:t>
            </w:r>
            <w:r w:rsidRPr="00294419">
              <w:rPr>
                <w:rFonts w:ascii="Times New Roman"/>
                <w:b/>
                <w:spacing w:val="-1"/>
                <w:sz w:val="20"/>
                <w:szCs w:val="20"/>
              </w:rPr>
              <w:t>der</w:t>
            </w:r>
            <w:r w:rsidRPr="00294419">
              <w:rPr>
                <w:b/>
                <w:sz w:val="20"/>
                <w:szCs w:val="20"/>
              </w:rPr>
              <w:t xml:space="preserve"> </w:t>
            </w:r>
            <w:r w:rsidRPr="00294419">
              <w:rPr>
                <w:rFonts w:ascii="Times New Roman"/>
                <w:b/>
                <w:spacing w:val="-1"/>
                <w:sz w:val="20"/>
                <w:szCs w:val="20"/>
              </w:rPr>
              <w:t>Bayerische</w:t>
            </w:r>
            <w:r w:rsidR="00E94A2C">
              <w:rPr>
                <w:rFonts w:ascii="Times New Roman"/>
                <w:b/>
                <w:spacing w:val="-1"/>
                <w:sz w:val="20"/>
                <w:szCs w:val="20"/>
              </w:rPr>
              <w:t>n</w:t>
            </w:r>
            <w:r w:rsidRPr="00294419">
              <w:rPr>
                <w:rFonts w:ascii="Times New Roman"/>
                <w:b/>
                <w:spacing w:val="-1"/>
                <w:sz w:val="20"/>
                <w:szCs w:val="20"/>
              </w:rPr>
              <w:t xml:space="preserve"> Landes</w:t>
            </w:r>
            <w:r w:rsidR="00E94A2C">
              <w:rPr>
                <w:rFonts w:ascii="Times New Roman"/>
                <w:b/>
                <w:spacing w:val="-1"/>
                <w:sz w:val="20"/>
                <w:szCs w:val="20"/>
              </w:rPr>
              <w:softHyphen/>
            </w:r>
            <w:r w:rsidRPr="00294419">
              <w:rPr>
                <w:rFonts w:ascii="Times New Roman"/>
                <w:b/>
                <w:spacing w:val="-1"/>
                <w:sz w:val="20"/>
                <w:szCs w:val="20"/>
              </w:rPr>
              <w:t>bodenkreditanstalt</w:t>
            </w:r>
            <w:r w:rsidRPr="00E94A2C">
              <w:rPr>
                <w:rFonts w:ascii="Times New Roman"/>
                <w:b/>
                <w:spacing w:val="-1"/>
                <w:sz w:val="20"/>
                <w:szCs w:val="20"/>
              </w:rPr>
              <w:t xml:space="preserve"> </w:t>
            </w:r>
            <w:r w:rsidR="006D0575" w:rsidRPr="00E94A2C">
              <w:rPr>
                <w:rFonts w:ascii="Times New Roman"/>
                <w:b/>
                <w:spacing w:val="-1"/>
                <w:sz w:val="20"/>
                <w:szCs w:val="20"/>
              </w:rPr>
              <w:t>(BayernLabo)</w:t>
            </w:r>
          </w:p>
          <w:p w:rsidR="00294419" w:rsidRPr="00294419" w:rsidRDefault="00294419" w:rsidP="00294419">
            <w:pPr>
              <w:pStyle w:val="TableParagraph"/>
              <w:ind w:left="195" w:right="191"/>
              <w:rPr>
                <w:rFonts w:ascii="Times New Roman" w:eastAsia="Times New Roman" w:hAnsi="Times New Roman" w:cs="Times New Roman"/>
                <w:b/>
                <w:sz w:val="20"/>
                <w:szCs w:val="20"/>
              </w:rPr>
            </w:pPr>
            <w:r>
              <w:rPr>
                <w:rFonts w:ascii="Times New Roman"/>
                <w:b/>
                <w:spacing w:val="-1"/>
                <w:sz w:val="20"/>
                <w:szCs w:val="20"/>
              </w:rPr>
              <w:t xml:space="preserve">        </w:t>
            </w:r>
            <w:r w:rsidRPr="00294419">
              <w:rPr>
                <w:rFonts w:ascii="Times New Roman"/>
                <w:b/>
                <w:spacing w:val="-1"/>
                <w:sz w:val="20"/>
                <w:szCs w:val="20"/>
              </w:rPr>
              <w:t>Euro</w:t>
            </w:r>
          </w:p>
        </w:tc>
        <w:tc>
          <w:tcPr>
            <w:tcW w:w="1681" w:type="dxa"/>
            <w:tcBorders>
              <w:top w:val="single" w:sz="5" w:space="0" w:color="000000"/>
              <w:left w:val="single" w:sz="5" w:space="0" w:color="000000"/>
              <w:right w:val="single" w:sz="5" w:space="0" w:color="000000"/>
            </w:tcBorders>
          </w:tcPr>
          <w:p w:rsidR="00294419" w:rsidRPr="00294419" w:rsidRDefault="00294419" w:rsidP="00294419">
            <w:pPr>
              <w:pStyle w:val="TableParagraph"/>
              <w:spacing w:before="130"/>
              <w:ind w:left="248"/>
              <w:rPr>
                <w:rFonts w:ascii="Times New Roman" w:eastAsia="Times New Roman" w:hAnsi="Times New Roman" w:cs="Times New Roman"/>
                <w:b/>
                <w:sz w:val="20"/>
                <w:szCs w:val="20"/>
              </w:rPr>
            </w:pPr>
            <w:r w:rsidRPr="00294419">
              <w:rPr>
                <w:rFonts w:ascii="Times New Roman" w:hAnsi="Times New Roman"/>
                <w:b/>
                <w:spacing w:val="-1"/>
                <w:sz w:val="20"/>
                <w:szCs w:val="20"/>
              </w:rPr>
              <w:t xml:space="preserve">ergänzender </w:t>
            </w:r>
            <w:r w:rsidRPr="00294419">
              <w:rPr>
                <w:rFonts w:ascii="Times New Roman"/>
                <w:b/>
                <w:spacing w:val="-1"/>
                <w:sz w:val="20"/>
                <w:szCs w:val="20"/>
              </w:rPr>
              <w:t>Zuschuss</w:t>
            </w:r>
          </w:p>
          <w:p w:rsidR="00294419" w:rsidRPr="00294419" w:rsidRDefault="00294419" w:rsidP="00294419">
            <w:pPr>
              <w:pStyle w:val="TableParagraph"/>
              <w:spacing w:line="275" w:lineRule="exact"/>
              <w:jc w:val="center"/>
              <w:rPr>
                <w:rFonts w:ascii="Times New Roman" w:eastAsia="Times New Roman" w:hAnsi="Times New Roman" w:cs="Times New Roman"/>
                <w:b/>
                <w:sz w:val="20"/>
                <w:szCs w:val="20"/>
              </w:rPr>
            </w:pPr>
            <w:r w:rsidRPr="00294419">
              <w:rPr>
                <w:rFonts w:ascii="Times New Roman"/>
                <w:b/>
                <w:spacing w:val="-1"/>
                <w:sz w:val="20"/>
                <w:szCs w:val="20"/>
              </w:rPr>
              <w:t>Euro</w:t>
            </w:r>
          </w:p>
        </w:tc>
      </w:tr>
      <w:tr w:rsidR="00294419" w:rsidRPr="00294419" w:rsidTr="00294419">
        <w:trPr>
          <w:trHeight w:hRule="exact" w:val="353"/>
        </w:trPr>
        <w:tc>
          <w:tcPr>
            <w:tcW w:w="818" w:type="dxa"/>
            <w:tcBorders>
              <w:top w:val="single" w:sz="5" w:space="0" w:color="000000"/>
              <w:left w:val="single" w:sz="5" w:space="0" w:color="000000"/>
              <w:bottom w:val="single" w:sz="5" w:space="0" w:color="000000"/>
              <w:right w:val="single" w:sz="5" w:space="0" w:color="000000"/>
            </w:tcBorders>
          </w:tcPr>
          <w:p w:rsidR="00294419" w:rsidRPr="00294419" w:rsidRDefault="00294419" w:rsidP="00294419">
            <w:pPr>
              <w:pStyle w:val="TableParagraph"/>
              <w:spacing w:before="24"/>
              <w:ind w:left="63"/>
              <w:rPr>
                <w:rFonts w:ascii="Times New Roman" w:eastAsia="Times New Roman" w:hAnsi="Times New Roman" w:cs="Times New Roman"/>
                <w:sz w:val="20"/>
                <w:szCs w:val="20"/>
              </w:rPr>
            </w:pPr>
            <w:r w:rsidRPr="00294419">
              <w:rPr>
                <w:rFonts w:ascii="Times New Roman"/>
                <w:sz w:val="20"/>
                <w:szCs w:val="20"/>
              </w:rPr>
              <w:t>Stadt</w:t>
            </w:r>
          </w:p>
        </w:tc>
        <w:tc>
          <w:tcPr>
            <w:tcW w:w="1733" w:type="dxa"/>
            <w:tcBorders>
              <w:top w:val="single" w:sz="5" w:space="0" w:color="000000"/>
              <w:left w:val="single" w:sz="5" w:space="0" w:color="000000"/>
              <w:bottom w:val="single" w:sz="5" w:space="0" w:color="000000"/>
              <w:right w:val="single" w:sz="8" w:space="0" w:color="000000"/>
            </w:tcBorders>
          </w:tcPr>
          <w:p w:rsidR="00294419" w:rsidRPr="00294419" w:rsidRDefault="00294419" w:rsidP="00294419">
            <w:pPr>
              <w:pStyle w:val="TableParagraph"/>
              <w:spacing w:before="24"/>
              <w:ind w:left="66"/>
              <w:rPr>
                <w:rFonts w:ascii="Times New Roman" w:eastAsia="Times New Roman" w:hAnsi="Times New Roman" w:cs="Times New Roman"/>
                <w:sz w:val="20"/>
                <w:szCs w:val="20"/>
              </w:rPr>
            </w:pPr>
            <w:r w:rsidRPr="00294419">
              <w:rPr>
                <w:rFonts w:ascii="Times New Roman"/>
                <w:spacing w:val="-1"/>
                <w:sz w:val="20"/>
                <w:szCs w:val="20"/>
              </w:rPr>
              <w:t>Augsburg</w:t>
            </w:r>
          </w:p>
        </w:tc>
        <w:tc>
          <w:tcPr>
            <w:tcW w:w="1276" w:type="dxa"/>
            <w:tcBorders>
              <w:top w:val="single" w:sz="5" w:space="0" w:color="000000"/>
              <w:left w:val="single" w:sz="8" w:space="0" w:color="000000"/>
              <w:bottom w:val="single" w:sz="5" w:space="0" w:color="000000"/>
              <w:right w:val="single" w:sz="5" w:space="0" w:color="000000"/>
            </w:tcBorders>
          </w:tcPr>
          <w:p w:rsidR="00294419" w:rsidRPr="00294419" w:rsidRDefault="00294419" w:rsidP="00294419">
            <w:pPr>
              <w:pStyle w:val="TableParagraph"/>
              <w:spacing w:before="24"/>
              <w:ind w:left="819"/>
              <w:rPr>
                <w:rFonts w:ascii="Times New Roman" w:eastAsia="Times New Roman" w:hAnsi="Times New Roman" w:cs="Times New Roman"/>
                <w:sz w:val="20"/>
                <w:szCs w:val="20"/>
              </w:rPr>
            </w:pPr>
            <w:r w:rsidRPr="00294419">
              <w:rPr>
                <w:rFonts w:ascii="Times New Roman"/>
                <w:sz w:val="20"/>
                <w:szCs w:val="20"/>
              </w:rPr>
              <w:t>250</w:t>
            </w:r>
          </w:p>
        </w:tc>
        <w:tc>
          <w:tcPr>
            <w:tcW w:w="1417" w:type="dxa"/>
            <w:tcBorders>
              <w:top w:val="single" w:sz="5" w:space="0" w:color="000000"/>
              <w:left w:val="single" w:sz="5" w:space="0" w:color="000000"/>
              <w:bottom w:val="single" w:sz="5" w:space="0" w:color="000000"/>
              <w:right w:val="single" w:sz="5" w:space="0" w:color="000000"/>
            </w:tcBorders>
          </w:tcPr>
          <w:p w:rsidR="00294419" w:rsidRPr="00294419" w:rsidRDefault="00294419" w:rsidP="00294419">
            <w:pPr>
              <w:pStyle w:val="TableParagraph"/>
              <w:spacing w:before="24"/>
              <w:ind w:left="363"/>
              <w:rPr>
                <w:rFonts w:ascii="Times New Roman" w:eastAsia="Times New Roman" w:hAnsi="Times New Roman" w:cs="Times New Roman"/>
                <w:sz w:val="20"/>
                <w:szCs w:val="20"/>
              </w:rPr>
            </w:pPr>
            <w:r w:rsidRPr="00294419">
              <w:rPr>
                <w:rFonts w:ascii="Times New Roman"/>
                <w:sz w:val="20"/>
                <w:szCs w:val="20"/>
              </w:rPr>
              <w:t>28.034.300</w:t>
            </w:r>
          </w:p>
        </w:tc>
        <w:tc>
          <w:tcPr>
            <w:tcW w:w="2317" w:type="dxa"/>
            <w:tcBorders>
              <w:top w:val="single" w:sz="5" w:space="0" w:color="000000"/>
              <w:left w:val="single" w:sz="5" w:space="0" w:color="000000"/>
              <w:bottom w:val="single" w:sz="5" w:space="0" w:color="000000"/>
              <w:right w:val="single" w:sz="5" w:space="0" w:color="000000"/>
            </w:tcBorders>
          </w:tcPr>
          <w:p w:rsidR="00294419" w:rsidRPr="00294419" w:rsidRDefault="00294419" w:rsidP="00294419">
            <w:pPr>
              <w:pStyle w:val="TableParagraph"/>
              <w:spacing w:before="24"/>
              <w:ind w:left="505"/>
              <w:rPr>
                <w:rFonts w:ascii="Times New Roman" w:eastAsia="Times New Roman" w:hAnsi="Times New Roman" w:cs="Times New Roman"/>
                <w:sz w:val="20"/>
                <w:szCs w:val="20"/>
              </w:rPr>
            </w:pPr>
            <w:r w:rsidRPr="00294419">
              <w:rPr>
                <w:rFonts w:ascii="Times New Roman"/>
                <w:sz w:val="20"/>
                <w:szCs w:val="20"/>
              </w:rPr>
              <w:t>15.000.000</w:t>
            </w:r>
          </w:p>
        </w:tc>
        <w:tc>
          <w:tcPr>
            <w:tcW w:w="1681" w:type="dxa"/>
            <w:tcBorders>
              <w:top w:val="single" w:sz="5" w:space="0" w:color="000000"/>
              <w:left w:val="single" w:sz="5" w:space="0" w:color="000000"/>
              <w:bottom w:val="single" w:sz="5" w:space="0" w:color="000000"/>
              <w:right w:val="single" w:sz="5" w:space="0" w:color="000000"/>
            </w:tcBorders>
          </w:tcPr>
          <w:p w:rsidR="00294419" w:rsidRPr="00294419" w:rsidRDefault="00294419" w:rsidP="00294419">
            <w:pPr>
              <w:pStyle w:val="TableParagraph"/>
              <w:spacing w:before="24"/>
              <w:ind w:left="645"/>
              <w:rPr>
                <w:rFonts w:ascii="Times New Roman" w:eastAsia="Times New Roman" w:hAnsi="Times New Roman" w:cs="Times New Roman"/>
                <w:sz w:val="20"/>
                <w:szCs w:val="20"/>
              </w:rPr>
            </w:pPr>
            <w:r w:rsidRPr="00294419">
              <w:rPr>
                <w:rFonts w:ascii="Times New Roman"/>
                <w:sz w:val="20"/>
                <w:szCs w:val="20"/>
              </w:rPr>
              <w:t>5.102.300</w:t>
            </w:r>
          </w:p>
        </w:tc>
      </w:tr>
      <w:tr w:rsidR="00294419" w:rsidRPr="00294419" w:rsidTr="00294419">
        <w:trPr>
          <w:trHeight w:hRule="exact" w:val="310"/>
        </w:trPr>
        <w:tc>
          <w:tcPr>
            <w:tcW w:w="818" w:type="dxa"/>
            <w:tcBorders>
              <w:top w:val="single" w:sz="5" w:space="0" w:color="000000"/>
              <w:left w:val="single" w:sz="5" w:space="0" w:color="000000"/>
              <w:bottom w:val="single" w:sz="5" w:space="0" w:color="000000"/>
              <w:right w:val="single" w:sz="5" w:space="0" w:color="000000"/>
            </w:tcBorders>
          </w:tcPr>
          <w:p w:rsidR="00294419" w:rsidRPr="00294419" w:rsidRDefault="00294419" w:rsidP="00294419">
            <w:pPr>
              <w:pStyle w:val="TableParagraph"/>
              <w:spacing w:before="3"/>
              <w:ind w:left="63"/>
              <w:rPr>
                <w:rFonts w:ascii="Times New Roman" w:eastAsia="Times New Roman" w:hAnsi="Times New Roman" w:cs="Times New Roman"/>
                <w:sz w:val="20"/>
                <w:szCs w:val="20"/>
              </w:rPr>
            </w:pPr>
            <w:r w:rsidRPr="00294419">
              <w:rPr>
                <w:rFonts w:ascii="Times New Roman"/>
                <w:spacing w:val="-1"/>
                <w:sz w:val="20"/>
                <w:szCs w:val="20"/>
              </w:rPr>
              <w:t>Lkr.</w:t>
            </w:r>
          </w:p>
        </w:tc>
        <w:tc>
          <w:tcPr>
            <w:tcW w:w="1733" w:type="dxa"/>
            <w:tcBorders>
              <w:top w:val="single" w:sz="5" w:space="0" w:color="000000"/>
              <w:left w:val="single" w:sz="5" w:space="0" w:color="000000"/>
              <w:bottom w:val="single" w:sz="5" w:space="0" w:color="000000"/>
              <w:right w:val="single" w:sz="8" w:space="0" w:color="000000"/>
            </w:tcBorders>
          </w:tcPr>
          <w:p w:rsidR="00294419" w:rsidRPr="00294419" w:rsidRDefault="00294419" w:rsidP="00294419">
            <w:pPr>
              <w:pStyle w:val="TableParagraph"/>
              <w:spacing w:before="3"/>
              <w:ind w:left="66"/>
              <w:rPr>
                <w:rFonts w:ascii="Times New Roman" w:eastAsia="Times New Roman" w:hAnsi="Times New Roman" w:cs="Times New Roman"/>
                <w:sz w:val="20"/>
                <w:szCs w:val="20"/>
              </w:rPr>
            </w:pPr>
            <w:r w:rsidRPr="00294419">
              <w:rPr>
                <w:rFonts w:ascii="Times New Roman"/>
                <w:spacing w:val="-1"/>
                <w:sz w:val="20"/>
                <w:szCs w:val="20"/>
              </w:rPr>
              <w:t>Aichach-Friedberg</w:t>
            </w:r>
          </w:p>
        </w:tc>
        <w:tc>
          <w:tcPr>
            <w:tcW w:w="1276" w:type="dxa"/>
            <w:tcBorders>
              <w:top w:val="single" w:sz="5" w:space="0" w:color="000000"/>
              <w:left w:val="single" w:sz="8" w:space="0" w:color="000000"/>
              <w:bottom w:val="single" w:sz="5" w:space="0" w:color="000000"/>
              <w:right w:val="single" w:sz="5" w:space="0" w:color="000000"/>
            </w:tcBorders>
          </w:tcPr>
          <w:p w:rsidR="00294419" w:rsidRPr="00294419" w:rsidRDefault="00294419" w:rsidP="00294419">
            <w:pPr>
              <w:pStyle w:val="TableParagraph"/>
              <w:spacing w:before="3"/>
              <w:ind w:right="61"/>
              <w:jc w:val="right"/>
              <w:rPr>
                <w:rFonts w:ascii="Times New Roman" w:eastAsia="Times New Roman" w:hAnsi="Times New Roman" w:cs="Times New Roman"/>
                <w:sz w:val="20"/>
                <w:szCs w:val="20"/>
              </w:rPr>
            </w:pPr>
            <w:r w:rsidRPr="00294419">
              <w:rPr>
                <w:rFonts w:ascii="Times New Roman"/>
                <w:sz w:val="20"/>
                <w:szCs w:val="20"/>
              </w:rPr>
              <w:t>58</w:t>
            </w:r>
          </w:p>
        </w:tc>
        <w:tc>
          <w:tcPr>
            <w:tcW w:w="1417" w:type="dxa"/>
            <w:tcBorders>
              <w:top w:val="single" w:sz="5" w:space="0" w:color="000000"/>
              <w:left w:val="single" w:sz="5" w:space="0" w:color="000000"/>
              <w:bottom w:val="single" w:sz="5" w:space="0" w:color="000000"/>
              <w:right w:val="single" w:sz="5" w:space="0" w:color="000000"/>
            </w:tcBorders>
          </w:tcPr>
          <w:p w:rsidR="00294419" w:rsidRPr="00294419" w:rsidRDefault="00294419" w:rsidP="00294419">
            <w:pPr>
              <w:pStyle w:val="TableParagraph"/>
              <w:spacing w:before="3"/>
              <w:ind w:left="483"/>
              <w:rPr>
                <w:rFonts w:ascii="Times New Roman" w:eastAsia="Times New Roman" w:hAnsi="Times New Roman" w:cs="Times New Roman"/>
                <w:sz w:val="20"/>
                <w:szCs w:val="20"/>
              </w:rPr>
            </w:pPr>
            <w:r w:rsidRPr="00294419">
              <w:rPr>
                <w:rFonts w:ascii="Times New Roman"/>
                <w:sz w:val="20"/>
                <w:szCs w:val="20"/>
              </w:rPr>
              <w:t>6.566.800</w:t>
            </w:r>
          </w:p>
        </w:tc>
        <w:tc>
          <w:tcPr>
            <w:tcW w:w="2317" w:type="dxa"/>
            <w:tcBorders>
              <w:top w:val="single" w:sz="5" w:space="0" w:color="000000"/>
              <w:left w:val="single" w:sz="5" w:space="0" w:color="000000"/>
              <w:bottom w:val="single" w:sz="5" w:space="0" w:color="000000"/>
              <w:right w:val="single" w:sz="5" w:space="0" w:color="000000"/>
            </w:tcBorders>
          </w:tcPr>
          <w:p w:rsidR="00294419" w:rsidRPr="00294419" w:rsidRDefault="00294419" w:rsidP="00294419">
            <w:pPr>
              <w:pStyle w:val="TableParagraph"/>
              <w:spacing w:before="3"/>
              <w:ind w:right="61"/>
              <w:jc w:val="right"/>
              <w:rPr>
                <w:rFonts w:ascii="Times New Roman" w:eastAsia="Times New Roman" w:hAnsi="Times New Roman" w:cs="Times New Roman"/>
                <w:sz w:val="20"/>
                <w:szCs w:val="20"/>
              </w:rPr>
            </w:pPr>
            <w:r w:rsidRPr="00294419">
              <w:rPr>
                <w:rFonts w:ascii="Times New Roman"/>
                <w:sz w:val="20"/>
                <w:szCs w:val="20"/>
              </w:rPr>
              <w:t>0</w:t>
            </w:r>
          </w:p>
        </w:tc>
        <w:tc>
          <w:tcPr>
            <w:tcW w:w="1681" w:type="dxa"/>
            <w:tcBorders>
              <w:top w:val="single" w:sz="5" w:space="0" w:color="000000"/>
              <w:left w:val="single" w:sz="5" w:space="0" w:color="000000"/>
              <w:bottom w:val="single" w:sz="5" w:space="0" w:color="000000"/>
              <w:right w:val="single" w:sz="5" w:space="0" w:color="000000"/>
            </w:tcBorders>
          </w:tcPr>
          <w:p w:rsidR="00294419" w:rsidRPr="00294419" w:rsidRDefault="00294419" w:rsidP="00294419">
            <w:pPr>
              <w:pStyle w:val="TableParagraph"/>
              <w:spacing w:before="3"/>
              <w:ind w:left="645"/>
              <w:rPr>
                <w:rFonts w:ascii="Times New Roman" w:eastAsia="Times New Roman" w:hAnsi="Times New Roman" w:cs="Times New Roman"/>
                <w:sz w:val="20"/>
                <w:szCs w:val="20"/>
              </w:rPr>
            </w:pPr>
            <w:r w:rsidRPr="00294419">
              <w:rPr>
                <w:rFonts w:ascii="Times New Roman"/>
                <w:sz w:val="20"/>
                <w:szCs w:val="20"/>
              </w:rPr>
              <w:t>1.225.000</w:t>
            </w:r>
          </w:p>
        </w:tc>
      </w:tr>
      <w:tr w:rsidR="00294419" w:rsidRPr="00294419" w:rsidTr="00294419">
        <w:trPr>
          <w:trHeight w:hRule="exact" w:val="310"/>
        </w:trPr>
        <w:tc>
          <w:tcPr>
            <w:tcW w:w="818" w:type="dxa"/>
            <w:tcBorders>
              <w:top w:val="single" w:sz="5" w:space="0" w:color="000000"/>
              <w:left w:val="single" w:sz="5" w:space="0" w:color="000000"/>
              <w:bottom w:val="single" w:sz="5" w:space="0" w:color="000000"/>
              <w:right w:val="single" w:sz="5" w:space="0" w:color="000000"/>
            </w:tcBorders>
          </w:tcPr>
          <w:p w:rsidR="00294419" w:rsidRPr="00294419" w:rsidRDefault="00294419" w:rsidP="00294419">
            <w:pPr>
              <w:pStyle w:val="TableParagraph"/>
              <w:spacing w:before="3"/>
              <w:ind w:left="63"/>
              <w:rPr>
                <w:rFonts w:ascii="Times New Roman" w:eastAsia="Times New Roman" w:hAnsi="Times New Roman" w:cs="Times New Roman"/>
                <w:sz w:val="20"/>
                <w:szCs w:val="20"/>
              </w:rPr>
            </w:pPr>
            <w:r w:rsidRPr="00294419">
              <w:rPr>
                <w:rFonts w:ascii="Times New Roman"/>
                <w:spacing w:val="-1"/>
                <w:sz w:val="20"/>
                <w:szCs w:val="20"/>
              </w:rPr>
              <w:t>Lkr.</w:t>
            </w:r>
          </w:p>
        </w:tc>
        <w:tc>
          <w:tcPr>
            <w:tcW w:w="1733" w:type="dxa"/>
            <w:tcBorders>
              <w:top w:val="single" w:sz="5" w:space="0" w:color="000000"/>
              <w:left w:val="single" w:sz="5" w:space="0" w:color="000000"/>
              <w:bottom w:val="single" w:sz="5" w:space="0" w:color="000000"/>
              <w:right w:val="single" w:sz="8" w:space="0" w:color="000000"/>
            </w:tcBorders>
          </w:tcPr>
          <w:p w:rsidR="00294419" w:rsidRPr="00294419" w:rsidRDefault="00294419" w:rsidP="00294419">
            <w:pPr>
              <w:pStyle w:val="TableParagraph"/>
              <w:spacing w:before="3"/>
              <w:ind w:left="66"/>
              <w:rPr>
                <w:rFonts w:ascii="Times New Roman" w:eastAsia="Times New Roman" w:hAnsi="Times New Roman" w:cs="Times New Roman"/>
                <w:sz w:val="20"/>
                <w:szCs w:val="20"/>
              </w:rPr>
            </w:pPr>
            <w:r w:rsidRPr="00294419">
              <w:rPr>
                <w:rFonts w:ascii="Times New Roman"/>
                <w:spacing w:val="-1"/>
                <w:sz w:val="20"/>
                <w:szCs w:val="20"/>
              </w:rPr>
              <w:t>Augsburg</w:t>
            </w:r>
          </w:p>
        </w:tc>
        <w:tc>
          <w:tcPr>
            <w:tcW w:w="1276" w:type="dxa"/>
            <w:tcBorders>
              <w:top w:val="single" w:sz="5" w:space="0" w:color="000000"/>
              <w:left w:val="single" w:sz="8" w:space="0" w:color="000000"/>
              <w:bottom w:val="single" w:sz="5" w:space="0" w:color="000000"/>
              <w:right w:val="single" w:sz="5" w:space="0" w:color="000000"/>
            </w:tcBorders>
          </w:tcPr>
          <w:p w:rsidR="00294419" w:rsidRPr="00294419" w:rsidRDefault="00294419" w:rsidP="00294419">
            <w:pPr>
              <w:pStyle w:val="TableParagraph"/>
              <w:spacing w:before="3"/>
              <w:ind w:right="61"/>
              <w:jc w:val="right"/>
              <w:rPr>
                <w:rFonts w:ascii="Times New Roman" w:eastAsia="Times New Roman" w:hAnsi="Times New Roman" w:cs="Times New Roman"/>
                <w:sz w:val="20"/>
                <w:szCs w:val="20"/>
              </w:rPr>
            </w:pPr>
            <w:r w:rsidRPr="00294419">
              <w:rPr>
                <w:rFonts w:ascii="Times New Roman"/>
                <w:sz w:val="20"/>
                <w:szCs w:val="20"/>
              </w:rPr>
              <w:t>97</w:t>
            </w:r>
          </w:p>
        </w:tc>
        <w:tc>
          <w:tcPr>
            <w:tcW w:w="1417" w:type="dxa"/>
            <w:tcBorders>
              <w:top w:val="single" w:sz="5" w:space="0" w:color="000000"/>
              <w:left w:val="single" w:sz="5" w:space="0" w:color="000000"/>
              <w:bottom w:val="single" w:sz="5" w:space="0" w:color="000000"/>
              <w:right w:val="single" w:sz="5" w:space="0" w:color="000000"/>
            </w:tcBorders>
          </w:tcPr>
          <w:p w:rsidR="00294419" w:rsidRPr="00294419" w:rsidRDefault="00294419" w:rsidP="00294419">
            <w:pPr>
              <w:pStyle w:val="TableParagraph"/>
              <w:spacing w:before="3"/>
              <w:ind w:left="363"/>
              <w:rPr>
                <w:rFonts w:ascii="Times New Roman" w:eastAsia="Times New Roman" w:hAnsi="Times New Roman" w:cs="Times New Roman"/>
                <w:sz w:val="20"/>
                <w:szCs w:val="20"/>
              </w:rPr>
            </w:pPr>
            <w:r w:rsidRPr="00294419">
              <w:rPr>
                <w:rFonts w:ascii="Times New Roman"/>
                <w:sz w:val="20"/>
                <w:szCs w:val="20"/>
              </w:rPr>
              <w:t>11.837.600</w:t>
            </w:r>
          </w:p>
        </w:tc>
        <w:tc>
          <w:tcPr>
            <w:tcW w:w="2317" w:type="dxa"/>
            <w:tcBorders>
              <w:top w:val="single" w:sz="5" w:space="0" w:color="000000"/>
              <w:left w:val="single" w:sz="5" w:space="0" w:color="000000"/>
              <w:bottom w:val="single" w:sz="5" w:space="0" w:color="000000"/>
              <w:right w:val="single" w:sz="5" w:space="0" w:color="000000"/>
            </w:tcBorders>
          </w:tcPr>
          <w:p w:rsidR="00294419" w:rsidRPr="00294419" w:rsidRDefault="00294419" w:rsidP="00294419">
            <w:pPr>
              <w:pStyle w:val="TableParagraph"/>
              <w:spacing w:before="3"/>
              <w:ind w:left="625"/>
              <w:rPr>
                <w:rFonts w:ascii="Times New Roman" w:eastAsia="Times New Roman" w:hAnsi="Times New Roman" w:cs="Times New Roman"/>
                <w:sz w:val="20"/>
                <w:szCs w:val="20"/>
              </w:rPr>
            </w:pPr>
            <w:r w:rsidRPr="00294419">
              <w:rPr>
                <w:rFonts w:ascii="Times New Roman"/>
                <w:sz w:val="20"/>
                <w:szCs w:val="20"/>
              </w:rPr>
              <w:t>1.257.400</w:t>
            </w:r>
          </w:p>
        </w:tc>
        <w:tc>
          <w:tcPr>
            <w:tcW w:w="1681" w:type="dxa"/>
            <w:tcBorders>
              <w:top w:val="single" w:sz="5" w:space="0" w:color="000000"/>
              <w:left w:val="single" w:sz="5" w:space="0" w:color="000000"/>
              <w:bottom w:val="single" w:sz="5" w:space="0" w:color="000000"/>
              <w:right w:val="single" w:sz="5" w:space="0" w:color="000000"/>
            </w:tcBorders>
          </w:tcPr>
          <w:p w:rsidR="00294419" w:rsidRPr="00294419" w:rsidRDefault="00294419" w:rsidP="00294419">
            <w:pPr>
              <w:pStyle w:val="TableParagraph"/>
              <w:spacing w:before="3"/>
              <w:ind w:left="645"/>
              <w:rPr>
                <w:rFonts w:ascii="Times New Roman" w:eastAsia="Times New Roman" w:hAnsi="Times New Roman" w:cs="Times New Roman"/>
                <w:sz w:val="20"/>
                <w:szCs w:val="20"/>
              </w:rPr>
            </w:pPr>
            <w:r w:rsidRPr="00294419">
              <w:rPr>
                <w:rFonts w:ascii="Times New Roman"/>
                <w:sz w:val="20"/>
                <w:szCs w:val="20"/>
              </w:rPr>
              <w:t>2.446.900</w:t>
            </w:r>
          </w:p>
        </w:tc>
      </w:tr>
    </w:tbl>
    <w:p w:rsidR="006E4BC2" w:rsidRPr="00294419" w:rsidRDefault="006E4BC2" w:rsidP="00294419">
      <w:pPr>
        <w:pStyle w:val="LTAntwortRessortText"/>
        <w:spacing w:before="360"/>
        <w:rPr>
          <w:u w:val="single"/>
        </w:rPr>
      </w:pPr>
      <w:r w:rsidRPr="00294419">
        <w:rPr>
          <w:u w:val="single"/>
        </w:rPr>
        <w:t xml:space="preserve">Staatliche Wohnraumförderung im Jahr 2017 (3. Säule) </w:t>
      </w:r>
      <w:r w:rsidR="006D0575">
        <w:rPr>
          <w:u w:val="single"/>
        </w:rPr>
        <w:t>–</w:t>
      </w:r>
      <w:r w:rsidRPr="00294419">
        <w:rPr>
          <w:u w:val="single"/>
        </w:rPr>
        <w:t xml:space="preserve"> Eigenwohnraumförderung</w:t>
      </w:r>
    </w:p>
    <w:p w:rsidR="006E4BC2" w:rsidRDefault="006E4BC2" w:rsidP="0088407F">
      <w:pPr>
        <w:pStyle w:val="LTAntwortRessortText"/>
        <w:spacing w:before="0"/>
      </w:pPr>
    </w:p>
    <w:p w:rsidR="00D23E89" w:rsidRDefault="00D23E89" w:rsidP="006E4BC2">
      <w:pPr>
        <w:pStyle w:val="LTAntwortRessortText"/>
      </w:pPr>
    </w:p>
    <w:tbl>
      <w:tblPr>
        <w:tblStyle w:val="TableNormal"/>
        <w:tblW w:w="9729" w:type="dxa"/>
        <w:tblInd w:w="290" w:type="dxa"/>
        <w:tblLayout w:type="fixed"/>
        <w:tblLook w:val="01E0" w:firstRow="1" w:lastRow="1" w:firstColumn="1" w:lastColumn="1" w:noHBand="0" w:noVBand="0"/>
      </w:tblPr>
      <w:tblGrid>
        <w:gridCol w:w="624"/>
        <w:gridCol w:w="2069"/>
        <w:gridCol w:w="1276"/>
        <w:gridCol w:w="1417"/>
        <w:gridCol w:w="2268"/>
        <w:gridCol w:w="2075"/>
      </w:tblGrid>
      <w:tr w:rsidR="006D0575" w:rsidRPr="006D0575" w:rsidTr="00D23E89">
        <w:trPr>
          <w:trHeight w:hRule="exact" w:val="562"/>
        </w:trPr>
        <w:tc>
          <w:tcPr>
            <w:tcW w:w="624" w:type="dxa"/>
            <w:tcBorders>
              <w:top w:val="single" w:sz="5" w:space="0" w:color="000000"/>
              <w:left w:val="single" w:sz="5" w:space="0" w:color="000000"/>
              <w:bottom w:val="nil"/>
              <w:right w:val="nil"/>
            </w:tcBorders>
          </w:tcPr>
          <w:p w:rsidR="006D0575" w:rsidRPr="006D0575" w:rsidRDefault="006D0575" w:rsidP="00BE51D8">
            <w:pPr>
              <w:rPr>
                <w:sz w:val="20"/>
                <w:szCs w:val="20"/>
              </w:rPr>
            </w:pPr>
          </w:p>
        </w:tc>
        <w:tc>
          <w:tcPr>
            <w:tcW w:w="2069" w:type="dxa"/>
            <w:vMerge w:val="restart"/>
            <w:tcBorders>
              <w:top w:val="single" w:sz="5" w:space="0" w:color="000000"/>
              <w:left w:val="nil"/>
              <w:right w:val="single" w:sz="8" w:space="0" w:color="000000"/>
            </w:tcBorders>
            <w:vAlign w:val="center"/>
          </w:tcPr>
          <w:p w:rsidR="006D0575" w:rsidRPr="006D0575" w:rsidRDefault="00D23E89" w:rsidP="00D23E89">
            <w:pPr>
              <w:pStyle w:val="TableParagraph"/>
              <w:spacing w:before="130"/>
              <w:ind w:left="71"/>
              <w:rPr>
                <w:rFonts w:ascii="Times New Roman" w:eastAsia="Times New Roman" w:hAnsi="Times New Roman" w:cs="Times New Roman"/>
                <w:b/>
                <w:sz w:val="20"/>
                <w:szCs w:val="20"/>
              </w:rPr>
            </w:pPr>
            <w:r>
              <w:rPr>
                <w:rFonts w:ascii="Times New Roman"/>
                <w:b/>
                <w:spacing w:val="-1"/>
                <w:sz w:val="20"/>
                <w:szCs w:val="20"/>
              </w:rPr>
              <w:t xml:space="preserve">Stadt bzw. </w:t>
            </w:r>
            <w:r w:rsidR="006D0575" w:rsidRPr="006D0575">
              <w:rPr>
                <w:rFonts w:ascii="Times New Roman"/>
                <w:b/>
                <w:spacing w:val="-1"/>
                <w:sz w:val="20"/>
                <w:szCs w:val="20"/>
              </w:rPr>
              <w:t>Landkreis</w:t>
            </w:r>
          </w:p>
        </w:tc>
        <w:tc>
          <w:tcPr>
            <w:tcW w:w="1276" w:type="dxa"/>
            <w:vMerge w:val="restart"/>
            <w:tcBorders>
              <w:top w:val="single" w:sz="5" w:space="0" w:color="000000"/>
              <w:left w:val="single" w:sz="8" w:space="0" w:color="000000"/>
              <w:right w:val="single" w:sz="5" w:space="0" w:color="000000"/>
            </w:tcBorders>
          </w:tcPr>
          <w:p w:rsidR="006D0575" w:rsidRPr="006D0575" w:rsidRDefault="006D0575" w:rsidP="006D0575">
            <w:pPr>
              <w:pStyle w:val="TableParagraph"/>
              <w:spacing w:before="130"/>
              <w:ind w:left="214"/>
              <w:rPr>
                <w:rFonts w:ascii="Times New Roman" w:eastAsia="Times New Roman" w:hAnsi="Times New Roman" w:cs="Times New Roman"/>
                <w:b/>
                <w:sz w:val="20"/>
                <w:szCs w:val="20"/>
              </w:rPr>
            </w:pPr>
            <w:r w:rsidRPr="006D0575">
              <w:rPr>
                <w:rFonts w:ascii="Times New Roman"/>
                <w:b/>
                <w:spacing w:val="-1"/>
                <w:sz w:val="20"/>
                <w:szCs w:val="20"/>
              </w:rPr>
              <w:t>Zahl</w:t>
            </w:r>
            <w:r w:rsidRPr="006D0575">
              <w:rPr>
                <w:rFonts w:ascii="Times New Roman"/>
                <w:b/>
                <w:sz w:val="20"/>
                <w:szCs w:val="20"/>
              </w:rPr>
              <w:t xml:space="preserve"> der </w:t>
            </w:r>
            <w:r w:rsidRPr="006D0575">
              <w:rPr>
                <w:rFonts w:ascii="Times New Roman"/>
                <w:b/>
                <w:spacing w:val="-1"/>
                <w:sz w:val="20"/>
                <w:szCs w:val="20"/>
              </w:rPr>
              <w:t>Eigen-wohnungen</w:t>
            </w:r>
          </w:p>
        </w:tc>
        <w:tc>
          <w:tcPr>
            <w:tcW w:w="1417" w:type="dxa"/>
            <w:vMerge w:val="restart"/>
            <w:tcBorders>
              <w:top w:val="single" w:sz="5" w:space="0" w:color="000000"/>
              <w:left w:val="single" w:sz="5" w:space="0" w:color="000000"/>
              <w:right w:val="single" w:sz="5" w:space="0" w:color="000000"/>
            </w:tcBorders>
          </w:tcPr>
          <w:p w:rsidR="006D0575" w:rsidRPr="006D0575" w:rsidRDefault="006D0575" w:rsidP="00BE51D8">
            <w:pPr>
              <w:pStyle w:val="TableParagraph"/>
              <w:spacing w:before="130"/>
              <w:ind w:left="274"/>
              <w:rPr>
                <w:rFonts w:ascii="Times New Roman" w:eastAsia="Times New Roman" w:hAnsi="Times New Roman" w:cs="Times New Roman"/>
                <w:b/>
                <w:sz w:val="20"/>
                <w:szCs w:val="20"/>
              </w:rPr>
            </w:pPr>
            <w:r w:rsidRPr="006D0575">
              <w:rPr>
                <w:rFonts w:ascii="Times New Roman"/>
                <w:b/>
                <w:spacing w:val="-1"/>
                <w:sz w:val="20"/>
                <w:szCs w:val="20"/>
              </w:rPr>
              <w:t>bewilligte</w:t>
            </w:r>
          </w:p>
          <w:p w:rsidR="006D0575" w:rsidRPr="006D0575" w:rsidRDefault="006D0575" w:rsidP="00BE51D8">
            <w:pPr>
              <w:pStyle w:val="TableParagraph"/>
              <w:spacing w:line="269" w:lineRule="exact"/>
              <w:ind w:left="313"/>
              <w:rPr>
                <w:rFonts w:ascii="Times New Roman" w:eastAsia="Times New Roman" w:hAnsi="Times New Roman" w:cs="Times New Roman"/>
                <w:b/>
                <w:sz w:val="20"/>
                <w:szCs w:val="20"/>
              </w:rPr>
            </w:pPr>
            <w:r w:rsidRPr="006D0575">
              <w:rPr>
                <w:rFonts w:ascii="Times New Roman"/>
                <w:b/>
                <w:spacing w:val="-1"/>
                <w:sz w:val="20"/>
                <w:szCs w:val="20"/>
              </w:rPr>
              <w:t>Darlehen</w:t>
            </w:r>
          </w:p>
          <w:p w:rsidR="006D0575" w:rsidRPr="006D0575" w:rsidRDefault="006D0575" w:rsidP="00BE51D8">
            <w:pPr>
              <w:pStyle w:val="TableParagraph"/>
              <w:spacing w:line="275" w:lineRule="exact"/>
              <w:jc w:val="center"/>
              <w:rPr>
                <w:rFonts w:ascii="Times New Roman" w:eastAsia="Times New Roman" w:hAnsi="Times New Roman" w:cs="Times New Roman"/>
                <w:b/>
                <w:sz w:val="20"/>
                <w:szCs w:val="20"/>
              </w:rPr>
            </w:pPr>
            <w:r w:rsidRPr="006D0575">
              <w:rPr>
                <w:rFonts w:ascii="Times New Roman"/>
                <w:b/>
                <w:spacing w:val="-1"/>
                <w:sz w:val="20"/>
                <w:szCs w:val="20"/>
              </w:rPr>
              <w:t>Euro</w:t>
            </w:r>
          </w:p>
        </w:tc>
        <w:tc>
          <w:tcPr>
            <w:tcW w:w="2268" w:type="dxa"/>
            <w:vMerge w:val="restart"/>
            <w:tcBorders>
              <w:top w:val="single" w:sz="5" w:space="0" w:color="000000"/>
              <w:left w:val="single" w:sz="5" w:space="0" w:color="000000"/>
              <w:right w:val="single" w:sz="5" w:space="0" w:color="000000"/>
            </w:tcBorders>
            <w:vAlign w:val="center"/>
          </w:tcPr>
          <w:p w:rsidR="006D0575" w:rsidRPr="006D0575" w:rsidRDefault="006D0575" w:rsidP="006D0575">
            <w:pPr>
              <w:pStyle w:val="TableParagraph"/>
              <w:ind w:left="195" w:right="191"/>
              <w:jc w:val="center"/>
              <w:rPr>
                <w:rFonts w:ascii="Times New Roman"/>
                <w:b/>
                <w:spacing w:val="-1"/>
                <w:sz w:val="20"/>
                <w:szCs w:val="20"/>
              </w:rPr>
            </w:pPr>
            <w:r w:rsidRPr="006D0575">
              <w:rPr>
                <w:rFonts w:ascii="Times New Roman"/>
                <w:b/>
                <w:spacing w:val="-1"/>
                <w:sz w:val="20"/>
                <w:szCs w:val="20"/>
              </w:rPr>
              <w:t>davon Dar lehen der</w:t>
            </w:r>
          </w:p>
          <w:p w:rsidR="006D0575" w:rsidRPr="006D0575" w:rsidRDefault="006D0575" w:rsidP="006D0575">
            <w:pPr>
              <w:pStyle w:val="TableParagraph"/>
              <w:ind w:left="195" w:right="191"/>
              <w:jc w:val="center"/>
              <w:rPr>
                <w:rFonts w:ascii="Times New Roman"/>
                <w:b/>
                <w:spacing w:val="-1"/>
                <w:sz w:val="20"/>
                <w:szCs w:val="20"/>
              </w:rPr>
            </w:pPr>
            <w:r w:rsidRPr="006D0575">
              <w:rPr>
                <w:rFonts w:ascii="Times New Roman"/>
                <w:b/>
                <w:spacing w:val="-1"/>
                <w:sz w:val="20"/>
                <w:szCs w:val="20"/>
              </w:rPr>
              <w:t>BayernLabo</w:t>
            </w:r>
          </w:p>
          <w:p w:rsidR="006D0575" w:rsidRPr="006D0575" w:rsidRDefault="006D0575" w:rsidP="006D0575">
            <w:pPr>
              <w:pStyle w:val="TableParagraph"/>
              <w:ind w:left="195" w:right="191"/>
              <w:jc w:val="center"/>
              <w:rPr>
                <w:rFonts w:ascii="Times New Roman" w:eastAsia="Times New Roman" w:hAnsi="Times New Roman" w:cs="Times New Roman"/>
                <w:b/>
                <w:sz w:val="20"/>
                <w:szCs w:val="20"/>
              </w:rPr>
            </w:pPr>
            <w:r w:rsidRPr="006D0575">
              <w:rPr>
                <w:rFonts w:ascii="Times New Roman"/>
                <w:b/>
                <w:spacing w:val="-1"/>
                <w:sz w:val="20"/>
                <w:szCs w:val="20"/>
              </w:rPr>
              <w:t>Euro</w:t>
            </w:r>
          </w:p>
        </w:tc>
        <w:tc>
          <w:tcPr>
            <w:tcW w:w="2075" w:type="dxa"/>
            <w:vMerge w:val="restart"/>
            <w:tcBorders>
              <w:top w:val="single" w:sz="5" w:space="0" w:color="000000"/>
              <w:left w:val="single" w:sz="5" w:space="0" w:color="000000"/>
              <w:right w:val="single" w:sz="5" w:space="0" w:color="000000"/>
            </w:tcBorders>
            <w:vAlign w:val="bottom"/>
          </w:tcPr>
          <w:p w:rsidR="006D0575" w:rsidRPr="006D0575" w:rsidRDefault="006D0575" w:rsidP="006D0575">
            <w:pPr>
              <w:pStyle w:val="TableParagraph"/>
              <w:ind w:left="195" w:right="191"/>
              <w:rPr>
                <w:rFonts w:ascii="Times New Roman"/>
                <w:b/>
                <w:spacing w:val="-1"/>
                <w:sz w:val="20"/>
                <w:szCs w:val="20"/>
              </w:rPr>
            </w:pPr>
            <w:r w:rsidRPr="006D0575">
              <w:rPr>
                <w:rFonts w:ascii="Times New Roman"/>
                <w:b/>
                <w:spacing w:val="-1"/>
                <w:sz w:val="20"/>
                <w:szCs w:val="20"/>
              </w:rPr>
              <w:t>erg</w:t>
            </w:r>
            <w:r w:rsidRPr="006D0575">
              <w:rPr>
                <w:rFonts w:ascii="Times New Roman"/>
                <w:b/>
                <w:spacing w:val="-1"/>
                <w:sz w:val="20"/>
                <w:szCs w:val="20"/>
              </w:rPr>
              <w:t>ä</w:t>
            </w:r>
            <w:r w:rsidRPr="006D0575">
              <w:rPr>
                <w:rFonts w:ascii="Times New Roman"/>
                <w:b/>
                <w:spacing w:val="-1"/>
                <w:sz w:val="20"/>
                <w:szCs w:val="20"/>
              </w:rPr>
              <w:t>nzender Zu</w:t>
            </w:r>
            <w:r>
              <w:rPr>
                <w:rFonts w:ascii="Times New Roman"/>
                <w:b/>
                <w:spacing w:val="-1"/>
                <w:sz w:val="20"/>
                <w:szCs w:val="20"/>
              </w:rPr>
              <w:softHyphen/>
            </w:r>
            <w:r w:rsidRPr="006D0575">
              <w:rPr>
                <w:rFonts w:ascii="Times New Roman"/>
                <w:b/>
                <w:spacing w:val="-1"/>
                <w:sz w:val="20"/>
                <w:szCs w:val="20"/>
              </w:rPr>
              <w:t>schuss f</w:t>
            </w:r>
            <w:r w:rsidRPr="006D0575">
              <w:rPr>
                <w:rFonts w:ascii="Times New Roman"/>
                <w:b/>
                <w:spacing w:val="-1"/>
                <w:sz w:val="20"/>
                <w:szCs w:val="20"/>
              </w:rPr>
              <w:t>ü</w:t>
            </w:r>
            <w:r w:rsidRPr="006D0575">
              <w:rPr>
                <w:rFonts w:ascii="Times New Roman"/>
                <w:b/>
                <w:spacing w:val="-1"/>
                <w:sz w:val="20"/>
                <w:szCs w:val="20"/>
              </w:rPr>
              <w:t>r Familien mit Kindern</w:t>
            </w:r>
          </w:p>
          <w:p w:rsidR="006D0575" w:rsidRPr="006D0575" w:rsidRDefault="006D0575" w:rsidP="006D0575">
            <w:pPr>
              <w:pStyle w:val="TableParagraph"/>
              <w:ind w:left="195" w:right="191"/>
              <w:rPr>
                <w:rFonts w:ascii="Times New Roman" w:eastAsia="Times New Roman" w:hAnsi="Times New Roman" w:cs="Times New Roman"/>
                <w:b/>
                <w:sz w:val="20"/>
                <w:szCs w:val="20"/>
              </w:rPr>
            </w:pPr>
            <w:r>
              <w:rPr>
                <w:rFonts w:ascii="Times New Roman"/>
                <w:b/>
                <w:spacing w:val="-1"/>
                <w:sz w:val="20"/>
                <w:szCs w:val="20"/>
              </w:rPr>
              <w:t xml:space="preserve">         </w:t>
            </w:r>
            <w:r w:rsidRPr="006D0575">
              <w:rPr>
                <w:rFonts w:ascii="Times New Roman"/>
                <w:b/>
                <w:spacing w:val="-1"/>
                <w:sz w:val="20"/>
                <w:szCs w:val="20"/>
              </w:rPr>
              <w:t>Euro</w:t>
            </w:r>
          </w:p>
        </w:tc>
      </w:tr>
      <w:tr w:rsidR="006D0575" w:rsidRPr="006D0575" w:rsidTr="004D53EA">
        <w:trPr>
          <w:trHeight w:hRule="exact" w:val="294"/>
        </w:trPr>
        <w:tc>
          <w:tcPr>
            <w:tcW w:w="624" w:type="dxa"/>
            <w:tcBorders>
              <w:top w:val="nil"/>
              <w:left w:val="single" w:sz="5" w:space="0" w:color="000000"/>
              <w:bottom w:val="nil"/>
              <w:right w:val="nil"/>
            </w:tcBorders>
          </w:tcPr>
          <w:p w:rsidR="006D0575" w:rsidRPr="006D0575" w:rsidRDefault="006D0575" w:rsidP="00BE51D8">
            <w:pPr>
              <w:rPr>
                <w:sz w:val="20"/>
                <w:szCs w:val="20"/>
              </w:rPr>
            </w:pPr>
          </w:p>
        </w:tc>
        <w:tc>
          <w:tcPr>
            <w:tcW w:w="2069" w:type="dxa"/>
            <w:vMerge/>
            <w:tcBorders>
              <w:left w:val="nil"/>
              <w:right w:val="single" w:sz="8" w:space="0" w:color="000000"/>
            </w:tcBorders>
          </w:tcPr>
          <w:p w:rsidR="006D0575" w:rsidRPr="006D0575" w:rsidRDefault="006D0575" w:rsidP="00BE51D8">
            <w:pPr>
              <w:rPr>
                <w:b/>
                <w:sz w:val="20"/>
                <w:szCs w:val="20"/>
              </w:rPr>
            </w:pPr>
          </w:p>
        </w:tc>
        <w:tc>
          <w:tcPr>
            <w:tcW w:w="1276" w:type="dxa"/>
            <w:vMerge/>
            <w:tcBorders>
              <w:left w:val="single" w:sz="8" w:space="0" w:color="000000"/>
              <w:right w:val="single" w:sz="5" w:space="0" w:color="000000"/>
            </w:tcBorders>
          </w:tcPr>
          <w:p w:rsidR="006D0575" w:rsidRPr="006D0575" w:rsidRDefault="006D0575" w:rsidP="00BE51D8">
            <w:pPr>
              <w:pStyle w:val="TableParagraph"/>
              <w:spacing w:line="275" w:lineRule="exact"/>
              <w:ind w:left="58"/>
              <w:rPr>
                <w:rFonts w:ascii="Times New Roman" w:eastAsia="Times New Roman" w:hAnsi="Times New Roman" w:cs="Times New Roman"/>
                <w:b/>
                <w:sz w:val="20"/>
                <w:szCs w:val="20"/>
              </w:rPr>
            </w:pPr>
          </w:p>
        </w:tc>
        <w:tc>
          <w:tcPr>
            <w:tcW w:w="1417" w:type="dxa"/>
            <w:vMerge/>
            <w:tcBorders>
              <w:left w:val="single" w:sz="5" w:space="0" w:color="000000"/>
              <w:right w:val="single" w:sz="5" w:space="0" w:color="000000"/>
            </w:tcBorders>
          </w:tcPr>
          <w:p w:rsidR="006D0575" w:rsidRPr="006D0575" w:rsidRDefault="006D0575" w:rsidP="00BE51D8">
            <w:pPr>
              <w:pStyle w:val="TableParagraph"/>
              <w:spacing w:line="275" w:lineRule="exact"/>
              <w:jc w:val="center"/>
              <w:rPr>
                <w:rFonts w:ascii="Times New Roman" w:eastAsia="Times New Roman" w:hAnsi="Times New Roman" w:cs="Times New Roman"/>
                <w:b/>
                <w:sz w:val="20"/>
                <w:szCs w:val="20"/>
              </w:rPr>
            </w:pPr>
          </w:p>
        </w:tc>
        <w:tc>
          <w:tcPr>
            <w:tcW w:w="2268" w:type="dxa"/>
            <w:vMerge/>
            <w:tcBorders>
              <w:left w:val="single" w:sz="5" w:space="0" w:color="000000"/>
              <w:right w:val="single" w:sz="5" w:space="0" w:color="000000"/>
            </w:tcBorders>
          </w:tcPr>
          <w:p w:rsidR="006D0575" w:rsidRPr="006D0575" w:rsidRDefault="006D0575" w:rsidP="00BE51D8">
            <w:pPr>
              <w:pStyle w:val="TableParagraph"/>
              <w:spacing w:line="275" w:lineRule="exact"/>
              <w:ind w:left="426"/>
              <w:rPr>
                <w:rFonts w:ascii="Times New Roman" w:eastAsia="Times New Roman" w:hAnsi="Times New Roman" w:cs="Times New Roman"/>
                <w:b/>
                <w:sz w:val="20"/>
                <w:szCs w:val="20"/>
              </w:rPr>
            </w:pPr>
          </w:p>
        </w:tc>
        <w:tc>
          <w:tcPr>
            <w:tcW w:w="2075" w:type="dxa"/>
            <w:vMerge/>
            <w:tcBorders>
              <w:left w:val="single" w:sz="5" w:space="0" w:color="000000"/>
              <w:right w:val="single" w:sz="5" w:space="0" w:color="000000"/>
            </w:tcBorders>
          </w:tcPr>
          <w:p w:rsidR="006D0575" w:rsidRPr="006D0575" w:rsidRDefault="006D0575" w:rsidP="00BE51D8">
            <w:pPr>
              <w:pStyle w:val="TableParagraph"/>
              <w:spacing w:line="275" w:lineRule="exact"/>
              <w:ind w:left="2"/>
              <w:jc w:val="center"/>
              <w:rPr>
                <w:rFonts w:ascii="Times New Roman" w:eastAsia="Times New Roman" w:hAnsi="Times New Roman" w:cs="Times New Roman"/>
                <w:b/>
                <w:sz w:val="20"/>
                <w:szCs w:val="20"/>
              </w:rPr>
            </w:pPr>
          </w:p>
        </w:tc>
      </w:tr>
      <w:tr w:rsidR="006D0575" w:rsidRPr="006D0575" w:rsidTr="004D53EA">
        <w:trPr>
          <w:trHeight w:hRule="exact" w:val="306"/>
        </w:trPr>
        <w:tc>
          <w:tcPr>
            <w:tcW w:w="624" w:type="dxa"/>
            <w:tcBorders>
              <w:top w:val="nil"/>
              <w:left w:val="single" w:sz="5" w:space="0" w:color="000000"/>
              <w:bottom w:val="single" w:sz="5" w:space="0" w:color="000000"/>
              <w:right w:val="nil"/>
            </w:tcBorders>
          </w:tcPr>
          <w:p w:rsidR="006D0575" w:rsidRPr="006D0575" w:rsidRDefault="006D0575" w:rsidP="00BE51D8">
            <w:pPr>
              <w:rPr>
                <w:sz w:val="20"/>
                <w:szCs w:val="20"/>
              </w:rPr>
            </w:pPr>
          </w:p>
        </w:tc>
        <w:tc>
          <w:tcPr>
            <w:tcW w:w="2069" w:type="dxa"/>
            <w:vMerge/>
            <w:tcBorders>
              <w:left w:val="nil"/>
              <w:bottom w:val="single" w:sz="5" w:space="0" w:color="000000"/>
              <w:right w:val="single" w:sz="8" w:space="0" w:color="000000"/>
            </w:tcBorders>
          </w:tcPr>
          <w:p w:rsidR="006D0575" w:rsidRPr="006D0575" w:rsidRDefault="006D0575" w:rsidP="00BE51D8">
            <w:pPr>
              <w:rPr>
                <w:b/>
                <w:sz w:val="20"/>
                <w:szCs w:val="20"/>
              </w:rPr>
            </w:pPr>
          </w:p>
        </w:tc>
        <w:tc>
          <w:tcPr>
            <w:tcW w:w="1276" w:type="dxa"/>
            <w:vMerge/>
            <w:tcBorders>
              <w:left w:val="single" w:sz="8" w:space="0" w:color="000000"/>
              <w:bottom w:val="single" w:sz="5" w:space="0" w:color="000000"/>
              <w:right w:val="single" w:sz="5" w:space="0" w:color="000000"/>
            </w:tcBorders>
          </w:tcPr>
          <w:p w:rsidR="006D0575" w:rsidRPr="006D0575" w:rsidRDefault="006D0575" w:rsidP="00BE51D8">
            <w:pPr>
              <w:pStyle w:val="TableParagraph"/>
              <w:spacing w:line="275" w:lineRule="exact"/>
              <w:ind w:left="58"/>
              <w:rPr>
                <w:rFonts w:ascii="Times New Roman" w:eastAsia="Times New Roman" w:hAnsi="Times New Roman" w:cs="Times New Roman"/>
                <w:b/>
                <w:sz w:val="20"/>
                <w:szCs w:val="20"/>
              </w:rPr>
            </w:pPr>
          </w:p>
        </w:tc>
        <w:tc>
          <w:tcPr>
            <w:tcW w:w="1417" w:type="dxa"/>
            <w:vMerge/>
            <w:tcBorders>
              <w:left w:val="single" w:sz="5" w:space="0" w:color="000000"/>
              <w:bottom w:val="single" w:sz="5" w:space="0" w:color="000000"/>
              <w:right w:val="single" w:sz="5" w:space="0" w:color="000000"/>
            </w:tcBorders>
          </w:tcPr>
          <w:p w:rsidR="006D0575" w:rsidRPr="006D0575" w:rsidRDefault="006D0575" w:rsidP="00BE51D8">
            <w:pPr>
              <w:pStyle w:val="TableParagraph"/>
              <w:spacing w:line="275" w:lineRule="exact"/>
              <w:jc w:val="center"/>
              <w:rPr>
                <w:rFonts w:ascii="Times New Roman" w:eastAsia="Times New Roman" w:hAnsi="Times New Roman" w:cs="Times New Roman"/>
                <w:b/>
                <w:sz w:val="20"/>
                <w:szCs w:val="20"/>
              </w:rPr>
            </w:pPr>
          </w:p>
        </w:tc>
        <w:tc>
          <w:tcPr>
            <w:tcW w:w="2268" w:type="dxa"/>
            <w:vMerge/>
            <w:tcBorders>
              <w:left w:val="single" w:sz="5" w:space="0" w:color="000000"/>
              <w:bottom w:val="single" w:sz="5" w:space="0" w:color="000000"/>
              <w:right w:val="single" w:sz="5" w:space="0" w:color="000000"/>
            </w:tcBorders>
          </w:tcPr>
          <w:p w:rsidR="006D0575" w:rsidRPr="006D0575" w:rsidRDefault="006D0575" w:rsidP="00BE51D8">
            <w:pPr>
              <w:pStyle w:val="TableParagraph"/>
              <w:spacing w:line="275" w:lineRule="exact"/>
              <w:ind w:left="426"/>
              <w:rPr>
                <w:rFonts w:ascii="Times New Roman" w:eastAsia="Times New Roman" w:hAnsi="Times New Roman" w:cs="Times New Roman"/>
                <w:b/>
                <w:sz w:val="20"/>
                <w:szCs w:val="20"/>
              </w:rPr>
            </w:pPr>
          </w:p>
        </w:tc>
        <w:tc>
          <w:tcPr>
            <w:tcW w:w="2075" w:type="dxa"/>
            <w:vMerge/>
            <w:tcBorders>
              <w:left w:val="single" w:sz="5" w:space="0" w:color="000000"/>
              <w:bottom w:val="single" w:sz="5" w:space="0" w:color="000000"/>
              <w:right w:val="single" w:sz="5" w:space="0" w:color="000000"/>
            </w:tcBorders>
          </w:tcPr>
          <w:p w:rsidR="006D0575" w:rsidRPr="006D0575" w:rsidRDefault="006D0575" w:rsidP="00BE51D8">
            <w:pPr>
              <w:pStyle w:val="TableParagraph"/>
              <w:spacing w:line="275" w:lineRule="exact"/>
              <w:ind w:left="2"/>
              <w:jc w:val="center"/>
              <w:rPr>
                <w:rFonts w:ascii="Times New Roman" w:eastAsia="Times New Roman" w:hAnsi="Times New Roman" w:cs="Times New Roman"/>
                <w:b/>
                <w:sz w:val="20"/>
                <w:szCs w:val="20"/>
              </w:rPr>
            </w:pPr>
          </w:p>
        </w:tc>
      </w:tr>
      <w:tr w:rsidR="006D0575" w:rsidRPr="006D0575" w:rsidTr="006D0575">
        <w:trPr>
          <w:trHeight w:hRule="exact" w:val="353"/>
        </w:trPr>
        <w:tc>
          <w:tcPr>
            <w:tcW w:w="624" w:type="dxa"/>
            <w:tcBorders>
              <w:top w:val="single" w:sz="5" w:space="0" w:color="000000"/>
              <w:left w:val="single" w:sz="5" w:space="0" w:color="000000"/>
              <w:bottom w:val="single" w:sz="5" w:space="0" w:color="000000"/>
              <w:right w:val="single" w:sz="5" w:space="0" w:color="000000"/>
            </w:tcBorders>
          </w:tcPr>
          <w:p w:rsidR="006D0575" w:rsidRPr="006D0575" w:rsidRDefault="006D0575" w:rsidP="00BE51D8">
            <w:pPr>
              <w:pStyle w:val="TableParagraph"/>
              <w:spacing w:before="24"/>
              <w:ind w:left="63"/>
              <w:rPr>
                <w:rFonts w:ascii="Times New Roman" w:eastAsia="Times New Roman" w:hAnsi="Times New Roman" w:cs="Times New Roman"/>
                <w:sz w:val="20"/>
                <w:szCs w:val="20"/>
              </w:rPr>
            </w:pPr>
            <w:r w:rsidRPr="006D0575">
              <w:rPr>
                <w:rFonts w:ascii="Times New Roman"/>
                <w:sz w:val="20"/>
                <w:szCs w:val="20"/>
              </w:rPr>
              <w:t>Stadt</w:t>
            </w:r>
          </w:p>
        </w:tc>
        <w:tc>
          <w:tcPr>
            <w:tcW w:w="2069" w:type="dxa"/>
            <w:tcBorders>
              <w:top w:val="single" w:sz="5" w:space="0" w:color="000000"/>
              <w:left w:val="single" w:sz="5" w:space="0" w:color="000000"/>
              <w:bottom w:val="single" w:sz="5" w:space="0" w:color="000000"/>
              <w:right w:val="single" w:sz="8" w:space="0" w:color="000000"/>
            </w:tcBorders>
          </w:tcPr>
          <w:p w:rsidR="006D0575" w:rsidRPr="006D0575" w:rsidRDefault="006D0575" w:rsidP="00BE51D8">
            <w:pPr>
              <w:pStyle w:val="TableParagraph"/>
              <w:spacing w:before="24"/>
              <w:ind w:left="66"/>
              <w:rPr>
                <w:rFonts w:ascii="Times New Roman" w:eastAsia="Times New Roman" w:hAnsi="Times New Roman" w:cs="Times New Roman"/>
                <w:sz w:val="20"/>
                <w:szCs w:val="20"/>
              </w:rPr>
            </w:pPr>
            <w:r w:rsidRPr="006D0575">
              <w:rPr>
                <w:rFonts w:ascii="Times New Roman"/>
                <w:spacing w:val="-1"/>
                <w:sz w:val="20"/>
                <w:szCs w:val="20"/>
              </w:rPr>
              <w:t>Augsburg</w:t>
            </w:r>
          </w:p>
        </w:tc>
        <w:tc>
          <w:tcPr>
            <w:tcW w:w="1276" w:type="dxa"/>
            <w:tcBorders>
              <w:top w:val="single" w:sz="5" w:space="0" w:color="000000"/>
              <w:left w:val="single" w:sz="8" w:space="0" w:color="000000"/>
              <w:bottom w:val="single" w:sz="5" w:space="0" w:color="000000"/>
              <w:right w:val="single" w:sz="5" w:space="0" w:color="000000"/>
            </w:tcBorders>
          </w:tcPr>
          <w:p w:rsidR="006D0575" w:rsidRPr="006D0575" w:rsidRDefault="006D0575" w:rsidP="00BE51D8">
            <w:pPr>
              <w:pStyle w:val="TableParagraph"/>
              <w:spacing w:before="24"/>
              <w:ind w:right="61"/>
              <w:jc w:val="right"/>
              <w:rPr>
                <w:rFonts w:ascii="Times New Roman" w:eastAsia="Times New Roman" w:hAnsi="Times New Roman" w:cs="Times New Roman"/>
                <w:sz w:val="20"/>
                <w:szCs w:val="20"/>
              </w:rPr>
            </w:pPr>
            <w:r w:rsidRPr="006D0575">
              <w:rPr>
                <w:rFonts w:ascii="Times New Roman"/>
                <w:sz w:val="20"/>
                <w:szCs w:val="20"/>
              </w:rPr>
              <w:t>10</w:t>
            </w:r>
          </w:p>
        </w:tc>
        <w:tc>
          <w:tcPr>
            <w:tcW w:w="1417" w:type="dxa"/>
            <w:tcBorders>
              <w:top w:val="single" w:sz="5" w:space="0" w:color="000000"/>
              <w:left w:val="single" w:sz="5" w:space="0" w:color="000000"/>
              <w:bottom w:val="single" w:sz="5" w:space="0" w:color="000000"/>
              <w:right w:val="single" w:sz="5" w:space="0" w:color="000000"/>
            </w:tcBorders>
          </w:tcPr>
          <w:p w:rsidR="006D0575" w:rsidRPr="006D0575" w:rsidRDefault="006D0575" w:rsidP="00BE51D8">
            <w:pPr>
              <w:pStyle w:val="TableParagraph"/>
              <w:spacing w:before="24"/>
              <w:ind w:left="663"/>
              <w:rPr>
                <w:rFonts w:ascii="Times New Roman" w:eastAsia="Times New Roman" w:hAnsi="Times New Roman" w:cs="Times New Roman"/>
                <w:sz w:val="20"/>
                <w:szCs w:val="20"/>
              </w:rPr>
            </w:pPr>
            <w:r w:rsidRPr="006D0575">
              <w:rPr>
                <w:rFonts w:ascii="Times New Roman"/>
                <w:sz w:val="20"/>
                <w:szCs w:val="20"/>
              </w:rPr>
              <w:t>948.500</w:t>
            </w:r>
          </w:p>
        </w:tc>
        <w:tc>
          <w:tcPr>
            <w:tcW w:w="2268" w:type="dxa"/>
            <w:tcBorders>
              <w:top w:val="single" w:sz="5" w:space="0" w:color="000000"/>
              <w:left w:val="single" w:sz="5" w:space="0" w:color="000000"/>
              <w:bottom w:val="single" w:sz="5" w:space="0" w:color="000000"/>
              <w:right w:val="single" w:sz="5" w:space="0" w:color="000000"/>
            </w:tcBorders>
          </w:tcPr>
          <w:p w:rsidR="006D0575" w:rsidRPr="006D0575" w:rsidRDefault="006D0575" w:rsidP="00BE51D8">
            <w:pPr>
              <w:pStyle w:val="TableParagraph"/>
              <w:spacing w:before="24"/>
              <w:ind w:right="59"/>
              <w:jc w:val="right"/>
              <w:rPr>
                <w:rFonts w:ascii="Times New Roman" w:eastAsia="Times New Roman" w:hAnsi="Times New Roman" w:cs="Times New Roman"/>
                <w:sz w:val="20"/>
                <w:szCs w:val="20"/>
              </w:rPr>
            </w:pPr>
            <w:r w:rsidRPr="006D0575">
              <w:rPr>
                <w:rFonts w:ascii="Times New Roman"/>
                <w:sz w:val="20"/>
                <w:szCs w:val="20"/>
              </w:rPr>
              <w:t>0</w:t>
            </w:r>
          </w:p>
        </w:tc>
        <w:tc>
          <w:tcPr>
            <w:tcW w:w="2075" w:type="dxa"/>
            <w:tcBorders>
              <w:top w:val="single" w:sz="5" w:space="0" w:color="000000"/>
              <w:left w:val="single" w:sz="5" w:space="0" w:color="000000"/>
              <w:bottom w:val="single" w:sz="5" w:space="0" w:color="000000"/>
              <w:right w:val="single" w:sz="5" w:space="0" w:color="000000"/>
            </w:tcBorders>
          </w:tcPr>
          <w:p w:rsidR="006D0575" w:rsidRPr="006D0575" w:rsidRDefault="006D0575" w:rsidP="00BE51D8">
            <w:pPr>
              <w:pStyle w:val="TableParagraph"/>
              <w:spacing w:before="24"/>
              <w:ind w:right="61"/>
              <w:jc w:val="right"/>
              <w:rPr>
                <w:rFonts w:ascii="Times New Roman" w:eastAsia="Times New Roman" w:hAnsi="Times New Roman" w:cs="Times New Roman"/>
                <w:sz w:val="20"/>
                <w:szCs w:val="20"/>
              </w:rPr>
            </w:pPr>
            <w:r w:rsidRPr="006D0575">
              <w:rPr>
                <w:rFonts w:ascii="Times New Roman"/>
                <w:sz w:val="20"/>
                <w:szCs w:val="20"/>
              </w:rPr>
              <w:t>42.500</w:t>
            </w:r>
          </w:p>
        </w:tc>
      </w:tr>
      <w:tr w:rsidR="006D0575" w:rsidRPr="006D0575" w:rsidTr="006D0575">
        <w:trPr>
          <w:trHeight w:hRule="exact" w:val="310"/>
        </w:trPr>
        <w:tc>
          <w:tcPr>
            <w:tcW w:w="624" w:type="dxa"/>
            <w:tcBorders>
              <w:top w:val="single" w:sz="5" w:space="0" w:color="000000"/>
              <w:left w:val="single" w:sz="5" w:space="0" w:color="000000"/>
              <w:bottom w:val="single" w:sz="5" w:space="0" w:color="000000"/>
              <w:right w:val="single" w:sz="5" w:space="0" w:color="000000"/>
            </w:tcBorders>
          </w:tcPr>
          <w:p w:rsidR="006D0575" w:rsidRPr="006D0575" w:rsidRDefault="006D0575" w:rsidP="00BE51D8">
            <w:pPr>
              <w:pStyle w:val="TableParagraph"/>
              <w:spacing w:before="3"/>
              <w:ind w:left="63"/>
              <w:rPr>
                <w:rFonts w:ascii="Times New Roman" w:eastAsia="Times New Roman" w:hAnsi="Times New Roman" w:cs="Times New Roman"/>
                <w:sz w:val="20"/>
                <w:szCs w:val="20"/>
              </w:rPr>
            </w:pPr>
            <w:r w:rsidRPr="006D0575">
              <w:rPr>
                <w:rFonts w:ascii="Times New Roman"/>
                <w:spacing w:val="-1"/>
                <w:sz w:val="20"/>
                <w:szCs w:val="20"/>
              </w:rPr>
              <w:t>Lkr.</w:t>
            </w:r>
          </w:p>
        </w:tc>
        <w:tc>
          <w:tcPr>
            <w:tcW w:w="2069" w:type="dxa"/>
            <w:tcBorders>
              <w:top w:val="single" w:sz="5" w:space="0" w:color="000000"/>
              <w:left w:val="single" w:sz="5" w:space="0" w:color="000000"/>
              <w:bottom w:val="single" w:sz="5" w:space="0" w:color="000000"/>
              <w:right w:val="single" w:sz="8" w:space="0" w:color="000000"/>
            </w:tcBorders>
          </w:tcPr>
          <w:p w:rsidR="006D0575" w:rsidRPr="006D0575" w:rsidRDefault="006D0575" w:rsidP="00BE51D8">
            <w:pPr>
              <w:pStyle w:val="TableParagraph"/>
              <w:spacing w:before="3"/>
              <w:ind w:left="66"/>
              <w:rPr>
                <w:rFonts w:ascii="Times New Roman" w:eastAsia="Times New Roman" w:hAnsi="Times New Roman" w:cs="Times New Roman"/>
                <w:sz w:val="20"/>
                <w:szCs w:val="20"/>
              </w:rPr>
            </w:pPr>
            <w:r w:rsidRPr="006D0575">
              <w:rPr>
                <w:rFonts w:ascii="Times New Roman"/>
                <w:spacing w:val="-1"/>
                <w:sz w:val="20"/>
                <w:szCs w:val="20"/>
              </w:rPr>
              <w:t>Aichach-Friedberg</w:t>
            </w:r>
          </w:p>
        </w:tc>
        <w:tc>
          <w:tcPr>
            <w:tcW w:w="1276" w:type="dxa"/>
            <w:tcBorders>
              <w:top w:val="single" w:sz="5" w:space="0" w:color="000000"/>
              <w:left w:val="single" w:sz="8" w:space="0" w:color="000000"/>
              <w:bottom w:val="single" w:sz="5" w:space="0" w:color="000000"/>
              <w:right w:val="single" w:sz="5" w:space="0" w:color="000000"/>
            </w:tcBorders>
          </w:tcPr>
          <w:p w:rsidR="006D0575" w:rsidRPr="006D0575" w:rsidRDefault="006D0575" w:rsidP="00BE51D8">
            <w:pPr>
              <w:pStyle w:val="TableParagraph"/>
              <w:spacing w:before="3"/>
              <w:ind w:right="61"/>
              <w:jc w:val="right"/>
              <w:rPr>
                <w:rFonts w:ascii="Times New Roman" w:eastAsia="Times New Roman" w:hAnsi="Times New Roman" w:cs="Times New Roman"/>
                <w:sz w:val="20"/>
                <w:szCs w:val="20"/>
              </w:rPr>
            </w:pPr>
            <w:r w:rsidRPr="006D0575">
              <w:rPr>
                <w:rFonts w:ascii="Times New Roman"/>
                <w:sz w:val="20"/>
                <w:szCs w:val="20"/>
              </w:rPr>
              <w:t>14</w:t>
            </w:r>
          </w:p>
        </w:tc>
        <w:tc>
          <w:tcPr>
            <w:tcW w:w="1417" w:type="dxa"/>
            <w:tcBorders>
              <w:top w:val="single" w:sz="5" w:space="0" w:color="000000"/>
              <w:left w:val="single" w:sz="5" w:space="0" w:color="000000"/>
              <w:bottom w:val="single" w:sz="5" w:space="0" w:color="000000"/>
              <w:right w:val="single" w:sz="5" w:space="0" w:color="000000"/>
            </w:tcBorders>
          </w:tcPr>
          <w:p w:rsidR="006D0575" w:rsidRPr="006D0575" w:rsidRDefault="006D0575" w:rsidP="00BE51D8">
            <w:pPr>
              <w:pStyle w:val="TableParagraph"/>
              <w:spacing w:before="3"/>
              <w:ind w:left="663"/>
              <w:rPr>
                <w:rFonts w:ascii="Times New Roman" w:eastAsia="Times New Roman" w:hAnsi="Times New Roman" w:cs="Times New Roman"/>
                <w:sz w:val="20"/>
                <w:szCs w:val="20"/>
              </w:rPr>
            </w:pPr>
            <w:r w:rsidRPr="006D0575">
              <w:rPr>
                <w:rFonts w:ascii="Times New Roman"/>
                <w:sz w:val="20"/>
                <w:szCs w:val="20"/>
              </w:rPr>
              <w:t>844.000</w:t>
            </w:r>
          </w:p>
        </w:tc>
        <w:tc>
          <w:tcPr>
            <w:tcW w:w="2268" w:type="dxa"/>
            <w:tcBorders>
              <w:top w:val="single" w:sz="5" w:space="0" w:color="000000"/>
              <w:left w:val="single" w:sz="5" w:space="0" w:color="000000"/>
              <w:bottom w:val="single" w:sz="5" w:space="0" w:color="000000"/>
              <w:right w:val="single" w:sz="5" w:space="0" w:color="000000"/>
            </w:tcBorders>
            <w:vAlign w:val="center"/>
          </w:tcPr>
          <w:p w:rsidR="006D0575" w:rsidRPr="006D0575" w:rsidRDefault="006D0575" w:rsidP="006D0575">
            <w:pPr>
              <w:pStyle w:val="TableParagraph"/>
              <w:spacing w:before="3"/>
              <w:ind w:left="474"/>
              <w:jc w:val="right"/>
              <w:rPr>
                <w:rFonts w:ascii="Times New Roman" w:eastAsia="Times New Roman" w:hAnsi="Times New Roman" w:cs="Times New Roman"/>
                <w:sz w:val="20"/>
                <w:szCs w:val="20"/>
              </w:rPr>
            </w:pPr>
            <w:r w:rsidRPr="006D0575">
              <w:rPr>
                <w:rFonts w:ascii="Times New Roman"/>
                <w:sz w:val="20"/>
                <w:szCs w:val="20"/>
              </w:rPr>
              <w:t>600.000</w:t>
            </w:r>
          </w:p>
        </w:tc>
        <w:tc>
          <w:tcPr>
            <w:tcW w:w="2075" w:type="dxa"/>
            <w:tcBorders>
              <w:top w:val="single" w:sz="5" w:space="0" w:color="000000"/>
              <w:left w:val="single" w:sz="5" w:space="0" w:color="000000"/>
              <w:bottom w:val="single" w:sz="5" w:space="0" w:color="000000"/>
              <w:right w:val="single" w:sz="5" w:space="0" w:color="000000"/>
            </w:tcBorders>
          </w:tcPr>
          <w:p w:rsidR="006D0575" w:rsidRPr="006D0575" w:rsidRDefault="006D0575" w:rsidP="00BE51D8">
            <w:pPr>
              <w:pStyle w:val="TableParagraph"/>
              <w:spacing w:before="3"/>
              <w:ind w:right="61"/>
              <w:jc w:val="right"/>
              <w:rPr>
                <w:rFonts w:ascii="Times New Roman" w:eastAsia="Times New Roman" w:hAnsi="Times New Roman" w:cs="Times New Roman"/>
                <w:sz w:val="20"/>
                <w:szCs w:val="20"/>
              </w:rPr>
            </w:pPr>
            <w:r w:rsidRPr="006D0575">
              <w:rPr>
                <w:rFonts w:ascii="Times New Roman"/>
                <w:sz w:val="20"/>
                <w:szCs w:val="20"/>
              </w:rPr>
              <w:t>67.500</w:t>
            </w:r>
          </w:p>
        </w:tc>
      </w:tr>
      <w:tr w:rsidR="006D0575" w:rsidRPr="006D0575" w:rsidTr="006D0575">
        <w:trPr>
          <w:trHeight w:hRule="exact" w:val="312"/>
        </w:trPr>
        <w:tc>
          <w:tcPr>
            <w:tcW w:w="624" w:type="dxa"/>
            <w:tcBorders>
              <w:top w:val="single" w:sz="5" w:space="0" w:color="000000"/>
              <w:left w:val="single" w:sz="5" w:space="0" w:color="000000"/>
              <w:bottom w:val="single" w:sz="5" w:space="0" w:color="000000"/>
              <w:right w:val="single" w:sz="5" w:space="0" w:color="000000"/>
            </w:tcBorders>
          </w:tcPr>
          <w:p w:rsidR="006D0575" w:rsidRPr="006D0575" w:rsidRDefault="006D0575" w:rsidP="00BE51D8">
            <w:pPr>
              <w:pStyle w:val="TableParagraph"/>
              <w:spacing w:before="3"/>
              <w:ind w:left="63"/>
              <w:rPr>
                <w:rFonts w:ascii="Times New Roman" w:eastAsia="Times New Roman" w:hAnsi="Times New Roman" w:cs="Times New Roman"/>
                <w:sz w:val="20"/>
                <w:szCs w:val="20"/>
              </w:rPr>
            </w:pPr>
            <w:r w:rsidRPr="006D0575">
              <w:rPr>
                <w:rFonts w:ascii="Times New Roman"/>
                <w:spacing w:val="-1"/>
                <w:sz w:val="20"/>
                <w:szCs w:val="20"/>
              </w:rPr>
              <w:t>Lkr.</w:t>
            </w:r>
          </w:p>
        </w:tc>
        <w:tc>
          <w:tcPr>
            <w:tcW w:w="2069" w:type="dxa"/>
            <w:tcBorders>
              <w:top w:val="single" w:sz="5" w:space="0" w:color="000000"/>
              <w:left w:val="single" w:sz="5" w:space="0" w:color="000000"/>
              <w:bottom w:val="single" w:sz="5" w:space="0" w:color="000000"/>
              <w:right w:val="single" w:sz="8" w:space="0" w:color="000000"/>
            </w:tcBorders>
          </w:tcPr>
          <w:p w:rsidR="006D0575" w:rsidRPr="006D0575" w:rsidRDefault="006D0575" w:rsidP="00BE51D8">
            <w:pPr>
              <w:pStyle w:val="TableParagraph"/>
              <w:spacing w:before="3"/>
              <w:ind w:left="66"/>
              <w:rPr>
                <w:rFonts w:ascii="Times New Roman" w:eastAsia="Times New Roman" w:hAnsi="Times New Roman" w:cs="Times New Roman"/>
                <w:sz w:val="20"/>
                <w:szCs w:val="20"/>
              </w:rPr>
            </w:pPr>
            <w:r w:rsidRPr="006D0575">
              <w:rPr>
                <w:rFonts w:ascii="Times New Roman"/>
                <w:spacing w:val="-1"/>
                <w:sz w:val="20"/>
                <w:szCs w:val="20"/>
              </w:rPr>
              <w:t>Augsburg</w:t>
            </w:r>
          </w:p>
        </w:tc>
        <w:tc>
          <w:tcPr>
            <w:tcW w:w="1276" w:type="dxa"/>
            <w:tcBorders>
              <w:top w:val="single" w:sz="5" w:space="0" w:color="000000"/>
              <w:left w:val="single" w:sz="8" w:space="0" w:color="000000"/>
              <w:bottom w:val="single" w:sz="5" w:space="0" w:color="000000"/>
              <w:right w:val="single" w:sz="5" w:space="0" w:color="000000"/>
            </w:tcBorders>
          </w:tcPr>
          <w:p w:rsidR="006D0575" w:rsidRPr="006D0575" w:rsidRDefault="006D0575" w:rsidP="00BE51D8">
            <w:pPr>
              <w:pStyle w:val="TableParagraph"/>
              <w:spacing w:before="3"/>
              <w:ind w:right="61"/>
              <w:jc w:val="right"/>
              <w:rPr>
                <w:rFonts w:ascii="Times New Roman" w:eastAsia="Times New Roman" w:hAnsi="Times New Roman" w:cs="Times New Roman"/>
                <w:sz w:val="20"/>
                <w:szCs w:val="20"/>
              </w:rPr>
            </w:pPr>
            <w:r w:rsidRPr="006D0575">
              <w:rPr>
                <w:rFonts w:ascii="Times New Roman"/>
                <w:sz w:val="20"/>
                <w:szCs w:val="20"/>
              </w:rPr>
              <w:t>39</w:t>
            </w:r>
          </w:p>
        </w:tc>
        <w:tc>
          <w:tcPr>
            <w:tcW w:w="1417" w:type="dxa"/>
            <w:tcBorders>
              <w:top w:val="single" w:sz="5" w:space="0" w:color="000000"/>
              <w:left w:val="single" w:sz="5" w:space="0" w:color="000000"/>
              <w:bottom w:val="single" w:sz="5" w:space="0" w:color="000000"/>
              <w:right w:val="single" w:sz="5" w:space="0" w:color="000000"/>
            </w:tcBorders>
          </w:tcPr>
          <w:p w:rsidR="006D0575" w:rsidRPr="006D0575" w:rsidRDefault="006D0575" w:rsidP="00BE51D8">
            <w:pPr>
              <w:pStyle w:val="TableParagraph"/>
              <w:spacing w:before="3"/>
              <w:ind w:left="483"/>
              <w:rPr>
                <w:rFonts w:ascii="Times New Roman" w:eastAsia="Times New Roman" w:hAnsi="Times New Roman" w:cs="Times New Roman"/>
                <w:sz w:val="20"/>
                <w:szCs w:val="20"/>
              </w:rPr>
            </w:pPr>
            <w:r w:rsidRPr="006D0575">
              <w:rPr>
                <w:rFonts w:ascii="Times New Roman"/>
                <w:sz w:val="20"/>
                <w:szCs w:val="20"/>
              </w:rPr>
              <w:t>1.939.200</w:t>
            </w:r>
          </w:p>
        </w:tc>
        <w:tc>
          <w:tcPr>
            <w:tcW w:w="2268" w:type="dxa"/>
            <w:tcBorders>
              <w:top w:val="single" w:sz="5" w:space="0" w:color="000000"/>
              <w:left w:val="single" w:sz="5" w:space="0" w:color="000000"/>
              <w:bottom w:val="single" w:sz="5" w:space="0" w:color="000000"/>
              <w:right w:val="single" w:sz="5" w:space="0" w:color="000000"/>
            </w:tcBorders>
            <w:vAlign w:val="center"/>
          </w:tcPr>
          <w:p w:rsidR="006D0575" w:rsidRPr="006D0575" w:rsidRDefault="006D0575" w:rsidP="006D0575">
            <w:pPr>
              <w:pStyle w:val="TableParagraph"/>
              <w:spacing w:before="3"/>
              <w:ind w:left="474"/>
              <w:jc w:val="right"/>
              <w:rPr>
                <w:rFonts w:ascii="Times New Roman" w:eastAsia="Times New Roman" w:hAnsi="Times New Roman" w:cs="Times New Roman"/>
                <w:sz w:val="20"/>
                <w:szCs w:val="20"/>
              </w:rPr>
            </w:pPr>
            <w:r w:rsidRPr="006D0575">
              <w:rPr>
                <w:rFonts w:ascii="Times New Roman"/>
                <w:sz w:val="20"/>
                <w:szCs w:val="20"/>
              </w:rPr>
              <w:t>900.000</w:t>
            </w:r>
          </w:p>
        </w:tc>
        <w:tc>
          <w:tcPr>
            <w:tcW w:w="2075" w:type="dxa"/>
            <w:tcBorders>
              <w:top w:val="single" w:sz="5" w:space="0" w:color="000000"/>
              <w:left w:val="single" w:sz="5" w:space="0" w:color="000000"/>
              <w:bottom w:val="single" w:sz="5" w:space="0" w:color="000000"/>
              <w:right w:val="single" w:sz="5" w:space="0" w:color="000000"/>
            </w:tcBorders>
          </w:tcPr>
          <w:p w:rsidR="006D0575" w:rsidRPr="006D0575" w:rsidRDefault="006D0575" w:rsidP="00BE51D8">
            <w:pPr>
              <w:pStyle w:val="TableParagraph"/>
              <w:spacing w:before="3"/>
              <w:ind w:right="61"/>
              <w:jc w:val="right"/>
              <w:rPr>
                <w:rFonts w:ascii="Times New Roman" w:eastAsia="Times New Roman" w:hAnsi="Times New Roman" w:cs="Times New Roman"/>
                <w:sz w:val="20"/>
                <w:szCs w:val="20"/>
              </w:rPr>
            </w:pPr>
            <w:r w:rsidRPr="006D0575">
              <w:rPr>
                <w:rFonts w:ascii="Times New Roman"/>
                <w:sz w:val="20"/>
                <w:szCs w:val="20"/>
              </w:rPr>
              <w:t>200.000</w:t>
            </w:r>
          </w:p>
        </w:tc>
      </w:tr>
    </w:tbl>
    <w:p w:rsidR="006E4BC2" w:rsidRDefault="006E4BC2" w:rsidP="006E4BC2">
      <w:pPr>
        <w:pStyle w:val="LTAntwortRessortText"/>
      </w:pPr>
    </w:p>
    <w:p w:rsidR="0088407F" w:rsidRDefault="0088407F" w:rsidP="006E4BC2">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Nikolaus</w:t>
            </w:r>
            <w:r w:rsidRPr="006E4BC2">
              <w:rPr>
                <w:b/>
              </w:rPr>
              <w:br/>
              <w:t>Kraus</w:t>
            </w:r>
            <w:r w:rsidRPr="006E4BC2">
              <w:rPr>
                <w:b/>
              </w:rPr>
              <w:br/>
            </w:r>
            <w:r w:rsidRPr="006E4BC2">
              <w:t>(FREIE WÄHLER)</w:t>
            </w:r>
            <w:r>
              <w:fldChar w:fldCharType="begin"/>
            </w:r>
            <w:r>
              <w:instrText xml:space="preserve"> TC </w:instrText>
            </w:r>
            <w:r w:rsidR="004A62EF">
              <w:instrText>„</w:instrText>
            </w:r>
            <w:bookmarkStart w:id="61" w:name="_Toc511290280"/>
            <w:r>
              <w:instrText>Kraus, Nikolaus (FREIE WÄHLER)</w:instrText>
            </w:r>
            <w:r>
              <w:br/>
              <w:instrText>Städtebauliche Entwicklungsmaßnahmen</w:instrText>
            </w:r>
            <w:bookmarkEnd w:id="61"/>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welche</w:t>
            </w:r>
            <w:r w:rsidR="004A62EF">
              <w:t xml:space="preserve"> </w:t>
            </w:r>
            <w:r>
              <w:t>Position vertritt</w:t>
            </w:r>
            <w:r w:rsidR="004A62EF">
              <w:t xml:space="preserve"> </w:t>
            </w:r>
            <w:r>
              <w:t>sie</w:t>
            </w:r>
            <w:r w:rsidR="004A62EF">
              <w:t xml:space="preserve"> </w:t>
            </w:r>
            <w:r>
              <w:t>bezüglich der</w:t>
            </w:r>
            <w:r w:rsidR="004A62EF">
              <w:t xml:space="preserve"> </w:t>
            </w:r>
            <w:r>
              <w:t>momentan in der Stadt München heiß diskutierten SEM (städtebauliche Entwicklungsmaßnahmen), sieht sie darin zukunftsfähige Modelle oder gibt es hier andere Alternativen?</w:t>
            </w:r>
          </w:p>
          <w:p w:rsidR="006E4BC2" w:rsidRDefault="006E4BC2" w:rsidP="006E4BC2">
            <w:pPr>
              <w:pStyle w:val="LTAnfrageText"/>
            </w:pPr>
          </w:p>
        </w:tc>
      </w:tr>
    </w:tbl>
    <w:p w:rsidR="006E4BC2" w:rsidRDefault="006E4BC2" w:rsidP="0088407F">
      <w:pPr>
        <w:pStyle w:val="LTUeberschrAntwortRessort"/>
        <w:spacing w:before="960"/>
      </w:pPr>
      <w:r>
        <w:t>Antwort des Staatsministeriums für Wohnen, Bau und Verkehr</w:t>
      </w:r>
    </w:p>
    <w:p w:rsidR="006E4BC2" w:rsidRDefault="006E4BC2" w:rsidP="006E4BC2">
      <w:pPr>
        <w:pStyle w:val="LTAntwortRessortText"/>
      </w:pPr>
      <w:r>
        <w:t xml:space="preserve">Die Städtebauliche Entwicklungsmaßnahme nach § 165 </w:t>
      </w:r>
      <w:r w:rsidR="00D23E89">
        <w:t>Baugesetzbuch</w:t>
      </w:r>
      <w:r>
        <w:t xml:space="preserve"> (BauGB) ist ein gängiges Instrument der Gemeinden, um Flächen erstmalig z</w:t>
      </w:r>
      <w:r w:rsidR="00D23E89">
        <w:t>u entwickeln oder durch städte</w:t>
      </w:r>
      <w:r>
        <w:t>bauliche Neuordnung einer neuen</w:t>
      </w:r>
      <w:r w:rsidR="00D23E89">
        <w:t xml:space="preserve"> Entwicklung zuzuführen (z. </w:t>
      </w:r>
      <w:r>
        <w:t>B. Umnutzung von ehemaligen Militärflächen). Im Rahmen der kommunalen Planungshoheit liegt die Zuständigkeit für die Anwendung im genannten Fall bei der Landeshauptstadt Münch</w:t>
      </w:r>
      <w:r w:rsidR="00D23E89">
        <w:t>en. Die Staatsregierung ist da</w:t>
      </w:r>
      <w:r>
        <w:t>mit nicht unmittelbar befasst.</w:t>
      </w:r>
    </w:p>
    <w:p w:rsidR="006E4BC2" w:rsidRDefault="006E4BC2" w:rsidP="006E4BC2">
      <w:pPr>
        <w:pStyle w:val="LTAntwortRessortText"/>
      </w:pPr>
      <w:r>
        <w:t>Bei der Durchführung der Entwicklungsmaßnahme muss die Stadt München nachweisen, dass die angestrebte Entwicklung in absehb</w:t>
      </w:r>
      <w:r w:rsidR="00D23E89">
        <w:t>arer Zeit nicht auch anders (z. </w:t>
      </w:r>
      <w:r>
        <w:t>B. durch Bauleitplanung in Verbindung mit Umlegung oder städtebaulichen Verträgen) durchgesetzt werden kann. Es muss erkennbar sein, dass die Gemeinde auf die Anwendun</w:t>
      </w:r>
      <w:r w:rsidR="00D23E89">
        <w:t>g der Entwicklungsmaßnahme (Ul</w:t>
      </w:r>
      <w:r>
        <w:t>ti</w:t>
      </w:r>
      <w:r w:rsidR="00D23E89">
        <w:t>ma Ratio) angewiesen ist, um z. </w:t>
      </w:r>
      <w:r>
        <w:t>B. eine geplante Wohnsiedl</w:t>
      </w:r>
      <w:r w:rsidR="00D23E89">
        <w:t>ung zügig zu entwickeln, preis</w:t>
      </w:r>
      <w:r>
        <w:t>wertes Bauland bereitstellen zu können oder die Kosten der Entwicklung zu finanzieren.</w:t>
      </w:r>
    </w:p>
    <w:p w:rsidR="006E4BC2" w:rsidRDefault="006E4BC2" w:rsidP="006E4BC2">
      <w:pPr>
        <w:pStyle w:val="LTAntwortRessortText"/>
      </w:pPr>
      <w:r>
        <w:t>Die Anwendung des Entwicklungsrechts erfordert es, dass die ö</w:t>
      </w:r>
      <w:r w:rsidR="00D23E89">
        <w:t>ffentlichen Interessen der Ent</w:t>
      </w:r>
      <w:r>
        <w:t>wicklungsziele sorgfältig ge</w:t>
      </w:r>
      <w:r w:rsidR="00D23E89">
        <w:t>gen die privaten Interessen (z. </w:t>
      </w:r>
      <w:r>
        <w:t>B. der Landwirtschaft) abgewogen werden.</w:t>
      </w:r>
    </w:p>
    <w:p w:rsidR="006E4BC2" w:rsidRDefault="006E4BC2" w:rsidP="006E4BC2">
      <w:pPr>
        <w:pStyle w:val="LTAntwortRessortText"/>
      </w:pPr>
      <w:r>
        <w:t>Ob die städtebauliche Entwicklungsmaßnahme ein zukunftsfähiges Modell ist, hängt von den Umständen des jeweiligen Einzelfalls ab.</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Ruth</w:t>
            </w:r>
            <w:r w:rsidRPr="006E4BC2">
              <w:rPr>
                <w:b/>
              </w:rPr>
              <w:br/>
              <w:t>Müller</w:t>
            </w:r>
            <w:r w:rsidRPr="006E4BC2">
              <w:rPr>
                <w:b/>
              </w:rPr>
              <w:br/>
            </w:r>
            <w:r w:rsidRPr="006E4BC2">
              <w:t>(SPD)</w:t>
            </w:r>
            <w:r>
              <w:fldChar w:fldCharType="begin"/>
            </w:r>
            <w:r>
              <w:instrText xml:space="preserve"> TC </w:instrText>
            </w:r>
            <w:r w:rsidR="004A62EF">
              <w:instrText>„</w:instrText>
            </w:r>
            <w:bookmarkStart w:id="62" w:name="_Toc511290281"/>
            <w:r>
              <w:instrText>Müller, Ruth (SPD)</w:instrText>
            </w:r>
            <w:r>
              <w:br/>
              <w:instrText>Verkehrsverbund Landshut</w:instrText>
            </w:r>
            <w:bookmarkEnd w:id="62"/>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Vor dem Hintergrund, dass</w:t>
            </w:r>
            <w:r w:rsidR="004A62EF">
              <w:t xml:space="preserve"> </w:t>
            </w:r>
            <w:r>
              <w:t>Stadt und Landkreis Landshut</w:t>
            </w:r>
            <w:r w:rsidR="004A62EF">
              <w:t xml:space="preserve"> </w:t>
            </w:r>
            <w:r>
              <w:t>ab 2019 im R</w:t>
            </w:r>
            <w:r w:rsidR="00BB0DE7">
              <w:t>ahmen des neuen Verkehrsverbund</w:t>
            </w:r>
            <w:r>
              <w:t>s mit einem geplanten Gemeinschaftstarif und einheitlichen Tickets für alle Buslinien endlich für mehr Klarheit und Effizienz im regionalen ÖPNV sorgen wollen und es gleichzeitig die Bemühungen gibt, der Europäischen Metropolregion München (EMM)-Mitgliederversammlung einen flächendeckenden ÖPNV-Tarif für die gesamte Metropolregion, also auch für den Raum Landshut, zu unterstützen (hierzu liegt ein Basiskonzept für einen Dachtarif</w:t>
            </w:r>
            <w:r w:rsidR="00BB0DE7">
              <w:t xml:space="preserve"> </w:t>
            </w:r>
            <w:r>
              <w:t xml:space="preserve">vor), frage ich die Staatsregierung, wie weit die Bemühungen des damaligen Staatsministers des Innern, für Bau und Verkehr, Joachim Herrmann, gediehen sind, den Dachtarif für die Metropolregion finanziell mit Initialkosten zu unterstützen, wann mit einer Entscheidung zu rechnen ist und welche Initiativen die Staatsministerin für Wohnen, Bau und Verkehr, Ilse Aigner, unternimmt, um die Eisenbahnverkehrsunternehmen zu einer Zustimmung zum </w:t>
            </w:r>
            <w:r w:rsidR="004A62EF">
              <w:t>„</w:t>
            </w:r>
            <w:r>
              <w:t>Letter of Intent</w:t>
            </w:r>
            <w:r w:rsidR="004A62EF">
              <w:t>“</w:t>
            </w:r>
            <w:r>
              <w:t xml:space="preserve"> (LoI) der Metropolregion zu bewegen, um auf der Grundlage des Basiskonzepts einen umsetzungsreifen Dachtarif auszuarbeiten und die Feinplanung auf den Weg zu bringen?</w:t>
            </w:r>
          </w:p>
          <w:p w:rsidR="006E4BC2" w:rsidRDefault="006E4BC2" w:rsidP="006E4BC2">
            <w:pPr>
              <w:pStyle w:val="LTAnfrageText"/>
            </w:pPr>
          </w:p>
        </w:tc>
      </w:tr>
    </w:tbl>
    <w:p w:rsidR="006E4BC2" w:rsidRDefault="006E4BC2" w:rsidP="006E4BC2">
      <w:pPr>
        <w:pStyle w:val="LTUeberschrAntwortRessort"/>
      </w:pPr>
      <w:r>
        <w:t>Antwort des Staatsministeriums für Wohnen, Bau und Verkehr</w:t>
      </w:r>
    </w:p>
    <w:p w:rsidR="006E4BC2" w:rsidRDefault="006E4BC2" w:rsidP="006E4BC2">
      <w:pPr>
        <w:pStyle w:val="LTAntwortRessortText"/>
      </w:pPr>
      <w:r>
        <w:t xml:space="preserve">Der Freistaat </w:t>
      </w:r>
      <w:r w:rsidR="00D23E89">
        <w:t xml:space="preserve">Bayern </w:t>
      </w:r>
      <w:r>
        <w:t xml:space="preserve">begrüßt die Überlegungen von Stadt und Landkreis Landshut zur </w:t>
      </w:r>
      <w:r w:rsidR="00196271">
        <w:t>Schaffung eines Verkehrsverbund</w:t>
      </w:r>
      <w:r>
        <w:t>s. Die Überlegungen zur Schaffung eines Verkehrsverbunds können unabhängig von der Diskussion über einen EMM-Dachtarif fortgeführt werden, da die einzelnen Verbünde bei einer Dachtariflösung auch weiterhin erhalten werden sollen.</w:t>
      </w:r>
    </w:p>
    <w:p w:rsidR="006E4BC2" w:rsidRDefault="006E4BC2" w:rsidP="006E4BC2">
      <w:pPr>
        <w:pStyle w:val="LTAntwortRessortText"/>
      </w:pPr>
      <w:r>
        <w:t xml:space="preserve">Der Freistaat Bayern sieht keine Möglichkeit, die Eisenbahnverkehrsunternehmen zu einer Zustimmung zum </w:t>
      </w:r>
      <w:r w:rsidR="004A62EF">
        <w:t>„</w:t>
      </w:r>
      <w:r>
        <w:t>Letter of Intent</w:t>
      </w:r>
      <w:r w:rsidR="004A62EF">
        <w:t>“</w:t>
      </w:r>
      <w:r>
        <w:t xml:space="preserve"> als Voraussetz</w:t>
      </w:r>
      <w:r w:rsidR="00D23E89">
        <w:t>ung zur Fortführung des Projekts EMM-</w:t>
      </w:r>
      <w:r>
        <w:t>Dachta</w:t>
      </w:r>
      <w:r w:rsidR="00D23E89">
        <w:t xml:space="preserve">rif zu zwingen. Da seitens des EMM e.V. </w:t>
      </w:r>
      <w:r>
        <w:t>keine belastbaren Aussagen zu den laufenden Kosten und der damit verbundenen jährlichen Belastung der kommunalen Partner aufgezeigt werden konnten, ist eine abschließende Aussage für die staatli</w:t>
      </w:r>
      <w:r w:rsidR="00D23E89">
        <w:t>che Unterstützung der Finanzie</w:t>
      </w:r>
      <w:r>
        <w:t>rung der Initialkosten derzeit nicht möglich. Die Staatsregierung wird in eigener Initiative in einem umfassenden Gutachten Optionen für einen landesweiten ÖPNV-Tarif prüfen lassen.</w:t>
      </w:r>
    </w:p>
    <w:p w:rsidR="006E4BC2" w:rsidRDefault="006E4BC2" w:rsidP="006E4BC2">
      <w:pPr>
        <w:pStyle w:val="LTAntwortRessortText"/>
      </w:pPr>
      <w:r>
        <w:t>Hierin werden auch die bereits vorhandenen Erkenntnisse aus den Untersuchungen für einen EMM-Dachtarif bewertet.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Jutta</w:t>
            </w:r>
            <w:r w:rsidRPr="006E4BC2">
              <w:rPr>
                <w:b/>
              </w:rPr>
              <w:br/>
              <w:t>Widmann</w:t>
            </w:r>
            <w:r w:rsidRPr="006E4BC2">
              <w:rPr>
                <w:b/>
              </w:rPr>
              <w:br/>
            </w:r>
            <w:r w:rsidRPr="006E4BC2">
              <w:t>(FREIE WÄHLER)</w:t>
            </w:r>
            <w:r>
              <w:fldChar w:fldCharType="begin"/>
            </w:r>
            <w:r>
              <w:instrText xml:space="preserve"> TC </w:instrText>
            </w:r>
            <w:r w:rsidR="004A62EF">
              <w:instrText>„</w:instrText>
            </w:r>
            <w:bookmarkStart w:id="63" w:name="_Toc511290282"/>
            <w:r>
              <w:instrText>Widmann, Jutta (FREIE WÄHLER)</w:instrText>
            </w:r>
            <w:r>
              <w:br/>
              <w:instrText>Wertgutachten für Grünes Zentrum Landshut</w:instrText>
            </w:r>
            <w:bookmarkEnd w:id="63"/>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welcher Grundstückspreis ist beim aktuellen Wertgutachten der Immobilien Freistaat Bayern bezüglich des Grundstücks für das Grüne Zentrum Landshut ermittelt worden, inwiefern wird der Gutachterausschuss des Stadt Landshut hierbei noch mit einbezogen und aufgrund welcher planerischen Kategorie (Gemeinbedarfsfläche, Gewerbegebiet, Wohn</w:t>
            </w:r>
            <w:r w:rsidR="003738F2">
              <w:softHyphen/>
            </w:r>
            <w:r>
              <w:t>bebauung etc.) ist das Wertgutachten erstellt worden?</w:t>
            </w:r>
          </w:p>
          <w:p w:rsidR="006E4BC2" w:rsidRDefault="006E4BC2" w:rsidP="006E4BC2">
            <w:pPr>
              <w:pStyle w:val="LTAnfrageText"/>
            </w:pPr>
          </w:p>
        </w:tc>
      </w:tr>
    </w:tbl>
    <w:p w:rsidR="006E4BC2" w:rsidRDefault="006E4BC2" w:rsidP="006E4BC2">
      <w:pPr>
        <w:pStyle w:val="LTUeberschrAntwortRessort"/>
      </w:pPr>
      <w:r>
        <w:t>Antwort des Staatsministeriums für Wohnen, Bau und Verkehr</w:t>
      </w:r>
    </w:p>
    <w:p w:rsidR="006E4BC2" w:rsidRDefault="006E4BC2" w:rsidP="006E4BC2">
      <w:pPr>
        <w:pStyle w:val="LTAntwortRessortText"/>
      </w:pPr>
      <w:r>
        <w:t>Es werden derzeit seitens der Immobilien Freistaat Bayern weitere Gespräche bezüglich eines etwaigen Grunderwerbs für Zwecke des Grünen Zentrums mit der Stadt Landshut geführt. Eine Veröffentlichung von Verhandlungsdetails unterbleibt wegen</w:t>
      </w:r>
      <w:r w:rsidR="00E2144E">
        <w:t xml:space="preserve"> Rücksichtnahme auf die Interes</w:t>
      </w:r>
      <w:r>
        <w:t xml:space="preserve">sen beider Verhandlungspartner (vgl. § 241 Abs. 2 </w:t>
      </w:r>
      <w:r w:rsidR="00E2144E">
        <w:t xml:space="preserve">Bürgerliches Gesetzbuch – </w:t>
      </w:r>
      <w:r>
        <w:t>BGB). E</w:t>
      </w:r>
      <w:r w:rsidR="00E2144E">
        <w:t>ine Einbeziehung des Gutachter</w:t>
      </w:r>
      <w:r>
        <w:t>ausschusses der Stadt Landshut durch den Freistaat Bayern ist</w:t>
      </w:r>
      <w:r w:rsidR="00E2144E">
        <w:t xml:space="preserve"> weder erforderlich noch vorge</w:t>
      </w:r>
      <w:r>
        <w:t>sehen. Ob seitens der Stadt Landshut eine Einbeziehung erfolgt, ist nicht bekannt. Zur Klars</w:t>
      </w:r>
      <w:r w:rsidR="00E2144E">
        <w:t>tel</w:t>
      </w:r>
      <w:r>
        <w:t>lung darf darauf hingewiesen werden, dass als Grundlage für die Gutachtenserstellung eine von der Stadt Landshut kommunizierte künftig angestrebte bauplanungsrechtliche Situation diente. Vor dem Hintergrund, dass der Stadt Landshut als Träger der Planungshoheit die Änderung der bestehenden bauplanungsrechtlichen Situation obliegt, wu</w:t>
      </w:r>
      <w:r w:rsidR="00E2144E">
        <w:t>rde mit dem Gutachten die Ange</w:t>
      </w:r>
      <w:r>
        <w:t xml:space="preserve">messenheit der von der Stadt Landshut kommunizierten Kaufpreisvorstellung bei Eintritt dieser bislang nicht existenten </w:t>
      </w:r>
      <w:r w:rsidR="0090257F">
        <w:t>–</w:t>
      </w:r>
      <w:r>
        <w:t xml:space="preserve"> bauplanungsrechtlichen Situation verifiziert. Es obliegt nun der Stadt Landshut diese von ihr angestrebten bauplanungsrechtlichen Grundlagen tatsächlich zu schaffen. Deshalb darf diesbezüglich für entsprechende Auskünfte auf die Stadt Landshut als Träger der Planungshoheit verwiesen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Isabell</w:t>
            </w:r>
            <w:r w:rsidRPr="006E4BC2">
              <w:rPr>
                <w:b/>
              </w:rPr>
              <w:br/>
              <w:t>Zacharias</w:t>
            </w:r>
            <w:r w:rsidRPr="006E4BC2">
              <w:rPr>
                <w:b/>
              </w:rPr>
              <w:br/>
            </w:r>
            <w:r w:rsidRPr="006E4BC2">
              <w:t>(SPD)</w:t>
            </w:r>
            <w:r>
              <w:fldChar w:fldCharType="begin"/>
            </w:r>
            <w:r>
              <w:instrText xml:space="preserve"> TC </w:instrText>
            </w:r>
            <w:r w:rsidR="004A62EF">
              <w:instrText>„</w:instrText>
            </w:r>
            <w:bookmarkStart w:id="64" w:name="_Toc511290283"/>
            <w:r>
              <w:instrText>Zacharias, Isabell (SPD)</w:instrText>
            </w:r>
            <w:r>
              <w:br/>
              <w:instrText>Studentischer Wohnraum in Garching</w:instrText>
            </w:r>
            <w:bookmarkEnd w:id="64"/>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ob sie plant, staatliche Flächen für den Bau von studentischem Wohnraum rund um den Campus Garching zur Verfügung zu stellen, und wenn nein, warum nicht?</w:t>
            </w:r>
          </w:p>
          <w:p w:rsidR="006E4BC2" w:rsidRDefault="006E4BC2" w:rsidP="006E4BC2">
            <w:pPr>
              <w:pStyle w:val="LTAnfrageText"/>
            </w:pPr>
          </w:p>
        </w:tc>
      </w:tr>
    </w:tbl>
    <w:p w:rsidR="006E4BC2" w:rsidRDefault="006E4BC2" w:rsidP="006E4BC2">
      <w:pPr>
        <w:pStyle w:val="LTUeberschrAntwortRessort"/>
      </w:pPr>
      <w:r>
        <w:t>Antwort des Staatsministeriums für Wohnen, Bau und Verkehr</w:t>
      </w:r>
    </w:p>
    <w:p w:rsidR="006E4BC2" w:rsidRDefault="006E4BC2" w:rsidP="006E4BC2">
      <w:pPr>
        <w:pStyle w:val="LTAntwortRessortText"/>
      </w:pPr>
      <w:r>
        <w:t>Der Freistaat Bayern beabsichtigt, staatliche Flächen für d</w:t>
      </w:r>
      <w:r w:rsidR="0090257F">
        <w:t>en Bau von studentischem Wohn</w:t>
      </w:r>
      <w:r>
        <w:t>raum auf dem Campusgelände in Garching zur Verfügung zu stellen.</w:t>
      </w:r>
    </w:p>
    <w:p w:rsidR="0090257F" w:rsidRDefault="0090257F">
      <w:pPr>
        <w:rPr>
          <w:rFonts w:cs="Arial"/>
          <w:b/>
          <w:sz w:val="22"/>
          <w:szCs w:val="22"/>
        </w:rPr>
      </w:pPr>
      <w:r>
        <w:br w:type="page"/>
      </w:r>
    </w:p>
    <w:p w:rsidR="006E4BC2" w:rsidRDefault="006E4BC2" w:rsidP="006E4BC2">
      <w:pPr>
        <w:pStyle w:val="LTUeberschrRessort"/>
      </w:pPr>
      <w:r>
        <w:t>Geschäftsbereich des Staatsministeriums für Wissenschaft und Kunst</w:t>
      </w:r>
      <w:r>
        <w:fldChar w:fldCharType="begin"/>
      </w:r>
      <w:r>
        <w:instrText xml:space="preserve"> TC </w:instrText>
      </w:r>
      <w:r w:rsidR="004A62EF">
        <w:instrText>„</w:instrText>
      </w:r>
      <w:bookmarkStart w:id="65" w:name="_Toc511290284"/>
      <w:r>
        <w:instrText>Geschäftsbereich des Staatsministeriums für Wissenschaft und Kunst</w:instrText>
      </w:r>
      <w:bookmarkEnd w:id="65"/>
      <w:r w:rsidR="004A62E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Abgeordneter</w:t>
            </w:r>
            <w:r w:rsidRPr="006E4BC2">
              <w:br/>
            </w:r>
            <w:r w:rsidRPr="006E4BC2">
              <w:rPr>
                <w:b/>
              </w:rPr>
              <w:t>Thomas</w:t>
            </w:r>
            <w:r w:rsidRPr="006E4BC2">
              <w:rPr>
                <w:b/>
              </w:rPr>
              <w:br/>
              <w:t>Mütze</w:t>
            </w:r>
            <w:r w:rsidRPr="006E4BC2">
              <w:rPr>
                <w:b/>
              </w:rPr>
              <w:br/>
            </w:r>
            <w:r w:rsidRPr="006E4BC2">
              <w:t>(BÜNDNIS 90/DIE GRÜNEN)</w:t>
            </w:r>
            <w:r>
              <w:fldChar w:fldCharType="begin"/>
            </w:r>
            <w:r>
              <w:instrText xml:space="preserve"> TC </w:instrText>
            </w:r>
            <w:r w:rsidR="004A62EF">
              <w:instrText>„</w:instrText>
            </w:r>
            <w:bookmarkStart w:id="66" w:name="_Toc511290285"/>
            <w:r>
              <w:instrText>Mütze, Thomas (BÜNDNIS 90/DIE GRÜNEN)</w:instrText>
            </w:r>
            <w:r>
              <w:br/>
              <w:instrText>Raumnot Staatliche Graphische Sammlung und Ludwig-Maximilians-Universität München</w:instrText>
            </w:r>
            <w:bookmarkEnd w:id="66"/>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Da die Staatliche Graphische Sammlung München, die aktuell in der Katharina-von-Bora-Straße in München untergebracht ist,</w:t>
            </w:r>
            <w:r w:rsidR="004A62EF">
              <w:t xml:space="preserve"> </w:t>
            </w:r>
            <w:r>
              <w:t>neben den Kupferstichkabinetten in Berlin und Dresden die bedeutendste Sammlung für Zeichnungen und Druckgrafik in Deutschland bewahrt,</w:t>
            </w:r>
            <w:r w:rsidR="004A62EF">
              <w:t xml:space="preserve"> </w:t>
            </w:r>
            <w:r>
              <w:t>wobei schon länger nach mehr Raum für die Präsentation gesucht wird, frage ich die Staatsregierung welche Pläne für einen Umzug der Staatlichen Graphischen Sammlung im Moment bestehen bzw. in Erwägung gezogen werden, welche Pläne für die Bauten der Ludwig-Maximilians-Universität an der Theresienstraße 37-41 in München bestehen und wie der innerstädtischen Raumnot beider Einrichtungen begegnet werden soll?</w:t>
            </w:r>
          </w:p>
          <w:p w:rsidR="006E4BC2" w:rsidRDefault="006E4BC2" w:rsidP="006E4BC2">
            <w:pPr>
              <w:pStyle w:val="LTAnfrageText"/>
            </w:pPr>
          </w:p>
        </w:tc>
      </w:tr>
    </w:tbl>
    <w:p w:rsidR="006E4BC2" w:rsidRDefault="006E4BC2" w:rsidP="006E4BC2">
      <w:pPr>
        <w:pStyle w:val="LTUeberschrAntwortRessort"/>
      </w:pPr>
      <w:r>
        <w:t>Antwort des Staatsministeriums für Wissenschaft und Kunst</w:t>
      </w:r>
    </w:p>
    <w:p w:rsidR="006E4BC2" w:rsidRDefault="006E4BC2" w:rsidP="006E4BC2">
      <w:pPr>
        <w:pStyle w:val="LTAntwortRessortText"/>
      </w:pPr>
      <w:r>
        <w:t>Die Möglichkeiten einer angemessenen Präsentation der Bestände der Staatlichen Graphischen Sammlung bzw. der Nachnutzung frei werdender Flächen an der Theresienstraße 37 bis 41 werden aktuell geprüft. Abschließende Entscheidungen sind noch nicht getroffen. Die Raumbedarfe der Einrichtungen werden in den Entscheidungsprozess miteinbezogen.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6E4BC2" w:rsidTr="006E4BC2">
        <w:tc>
          <w:tcPr>
            <w:tcW w:w="2050" w:type="dxa"/>
            <w:shd w:val="clear" w:color="auto" w:fill="auto"/>
          </w:tcPr>
          <w:p w:rsidR="006E4BC2" w:rsidRPr="006E4BC2" w:rsidRDefault="006E4BC2" w:rsidP="006E4BC2">
            <w:pPr>
              <w:pStyle w:val="LTNumAnfrageIni1"/>
            </w:pPr>
            <w:r w:rsidRPr="006E4BC2">
              <w:t>Abgeordnete</w:t>
            </w:r>
            <w:r w:rsidRPr="006E4BC2">
              <w:br/>
            </w:r>
            <w:r w:rsidRPr="006E4BC2">
              <w:rPr>
                <w:b/>
              </w:rPr>
              <w:t>Rosi</w:t>
            </w:r>
            <w:r w:rsidRPr="006E4BC2">
              <w:rPr>
                <w:b/>
              </w:rPr>
              <w:br/>
              <w:t>Steinberger</w:t>
            </w:r>
            <w:r w:rsidRPr="006E4BC2">
              <w:rPr>
                <w:b/>
              </w:rPr>
              <w:br/>
            </w:r>
            <w:r w:rsidRPr="006E4BC2">
              <w:t>(BÜNDNIS 90/DIE GRÜNEN)</w:t>
            </w:r>
            <w:r>
              <w:fldChar w:fldCharType="begin"/>
            </w:r>
            <w:r>
              <w:instrText xml:space="preserve"> TC </w:instrText>
            </w:r>
            <w:r w:rsidR="004A62EF">
              <w:instrText>„</w:instrText>
            </w:r>
            <w:bookmarkStart w:id="67" w:name="_Toc511290286"/>
            <w:r>
              <w:instrText>Steinberger, Rosi (BÜNDNIS 90/DIE GRÜNEN)</w:instrText>
            </w:r>
            <w:r>
              <w:br/>
              <w:instrText>Forschungsreaktor München: Fachkunde der Schichtleiter</w:instrText>
            </w:r>
            <w:bookmarkEnd w:id="67"/>
            <w:r>
              <w:instrText xml:space="preserve"> </w:instrText>
            </w:r>
            <w:r w:rsidR="004A62EF">
              <w:instrText>„</w:instrText>
            </w:r>
            <w:r>
              <w:instrText xml:space="preserve"> \l 2 </w:instrText>
            </w:r>
            <w:r>
              <w:fldChar w:fldCharType="end"/>
            </w:r>
          </w:p>
        </w:tc>
        <w:tc>
          <w:tcPr>
            <w:tcW w:w="7200" w:type="dxa"/>
            <w:shd w:val="clear" w:color="auto" w:fill="auto"/>
          </w:tcPr>
          <w:p w:rsidR="006E4BC2" w:rsidRDefault="006E4BC2" w:rsidP="006E4BC2">
            <w:pPr>
              <w:pStyle w:val="LTAnfrageText"/>
            </w:pPr>
            <w:r>
              <w:t>Ich frage die Staatsregierung, wie viele Schichtleiter gibt es am Forschungsreaktor München (FRM) II, wie viele davon erfüllen die in der Richtlinie für den Fachkundenachweis von Forschungsreaktorpersonal unter Punkt 2.1.3.1.a) genannten Voraussetzungen (konkret: abgeschlossenes Studium bzw. staatlich anerkannter Techniker bzw. Meister) nicht und wann wurden in den vergangenen fünf Jahren diese Schichtleiterstellen öffentlich ausgeschrieben?</w:t>
            </w:r>
          </w:p>
          <w:p w:rsidR="006E4BC2" w:rsidRDefault="006E4BC2" w:rsidP="006E4BC2">
            <w:pPr>
              <w:pStyle w:val="LTAnfrageText"/>
            </w:pPr>
          </w:p>
        </w:tc>
      </w:tr>
    </w:tbl>
    <w:p w:rsidR="006E4BC2" w:rsidRDefault="006E4BC2" w:rsidP="006E4BC2">
      <w:pPr>
        <w:pStyle w:val="LTUeberschrAntwortRessort"/>
      </w:pPr>
      <w:r>
        <w:t>Antwort des Staatsministeriums für Wissenschaft und Kunst</w:t>
      </w:r>
    </w:p>
    <w:p w:rsidR="006E4BC2" w:rsidRDefault="006E4BC2" w:rsidP="006E4BC2">
      <w:pPr>
        <w:pStyle w:val="LTAntwortRessortText"/>
      </w:pPr>
      <w:r>
        <w:t xml:space="preserve">Am FRM II sind derzeit neun Schichtleiter vorhanden. </w:t>
      </w:r>
    </w:p>
    <w:p w:rsidR="006E4BC2" w:rsidRDefault="006E4BC2" w:rsidP="006E4BC2">
      <w:pPr>
        <w:pStyle w:val="LTAntwortRessortText"/>
      </w:pPr>
      <w:r>
        <w:t>Sechs der genannten Schichtleiter haben als ursprüngliche Berufsausbildung eine einschlägige Techniker- oder Meisterqualifikation im Sinne von 2.1.3.1 a) der Richtlinie für den Fachkundenachweis von Forschungsreakt</w:t>
      </w:r>
      <w:r w:rsidR="0090257F">
        <w:t>orpersonal. Die drei verbleiben</w:t>
      </w:r>
      <w:r>
        <w:t>den Schichtleiter, die bereits seit 1982 bzw. 1985 und 1988 am Forschungsreaktor München (FRM alt) tätig waren, haben die nach der genannten Richtlinie erforderlichen Kenntnisse durch eine langjährige Tätigkeit in v</w:t>
      </w:r>
      <w:r w:rsidR="0090257F">
        <w:t>ergleichbarer Position (Reaktor</w:t>
      </w:r>
      <w:r>
        <w:t xml:space="preserve">fahrer und Schichtleiter am FRM alt) sowie die Mitarbeit bei der Inbetriebnahme des FRM II nachgewiesen (vgl. 2.1.5 der Richtlinie für den Fachkundenachweis von Forschungsreaktorpersonal). </w:t>
      </w:r>
    </w:p>
    <w:p w:rsidR="006E4BC2" w:rsidRDefault="006E4BC2" w:rsidP="0088407F">
      <w:pPr>
        <w:pStyle w:val="LTAntwortRessortText"/>
      </w:pPr>
      <w:r>
        <w:t>In den letzten fünf Jahren wurden keine Schichtleiterstellen öffentlich ausgeschrieben. Der zuletzt eingestellte Schichtleiter ist bereits seit 2000 am FRM II beschäftigt.</w:t>
      </w:r>
    </w:p>
    <w:sectPr w:rsidR="006E4BC2" w:rsidSect="001579D6">
      <w:headerReference w:type="even" r:id="rId28"/>
      <w:headerReference w:type="default" r:id="rId29"/>
      <w:footerReference w:type="default" r:id="rId30"/>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419" w:rsidRDefault="00294419">
      <w:r>
        <w:separator/>
      </w:r>
    </w:p>
  </w:endnote>
  <w:endnote w:type="continuationSeparator" w:id="0">
    <w:p w:rsidR="00294419" w:rsidRDefault="0029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5C" w:rsidRDefault="00B0505C" w:rsidP="009C32BE">
    <w:pPr>
      <w:pStyle w:val="Fuzeile"/>
      <w:tabs>
        <w:tab w:val="clear" w:pos="4536"/>
        <w:tab w:val="clear" w:pos="9072"/>
      </w:tabs>
      <w:ind w:left="-312" w:right="-624"/>
      <w:jc w:val="both"/>
      <w:rPr>
        <w:rFonts w:cs="Arial"/>
        <w:sz w:val="12"/>
        <w:szCs w:val="12"/>
      </w:rPr>
    </w:pPr>
    <w:r>
      <w:rPr>
        <w:rFonts w:cs="Arial"/>
        <w:sz w:val="12"/>
        <w:szCs w:val="12"/>
      </w:rPr>
      <w:t>* Ergänzende Antwort des Staatsministeriums für Ernährung, Landwirtschaft und Forsten zur Anfrage zum Plenum des Abgeordneten Florian von Brunn</w:t>
    </w:r>
  </w:p>
  <w:p w:rsidR="00B0505C" w:rsidRDefault="00B0505C" w:rsidP="009C32BE">
    <w:pPr>
      <w:pStyle w:val="Fuzeile"/>
      <w:tabs>
        <w:tab w:val="clear" w:pos="4536"/>
        <w:tab w:val="clear" w:pos="9072"/>
      </w:tabs>
      <w:ind w:left="-312" w:right="-624"/>
      <w:jc w:val="both"/>
      <w:rPr>
        <w:rFonts w:cs="Arial"/>
        <w:sz w:val="12"/>
        <w:szCs w:val="12"/>
      </w:rPr>
    </w:pPr>
  </w:p>
  <w:p w:rsidR="00294419" w:rsidRPr="009C32BE" w:rsidRDefault="00294419"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19" w:rsidRDefault="002944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19" w:rsidRPr="00311533" w:rsidRDefault="00294419" w:rsidP="00311533">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419" w:rsidRDefault="00294419">
      <w:r>
        <w:separator/>
      </w:r>
    </w:p>
  </w:footnote>
  <w:footnote w:type="continuationSeparator" w:id="0">
    <w:p w:rsidR="00294419" w:rsidRDefault="0029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19" w:rsidRDefault="00294419"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3E303A">
        <w:t>17</w:t>
      </w:r>
    </w:fldSimple>
    <w:r w:rsidRPr="00CA6785">
      <w:t>/</w:t>
    </w:r>
    <w:r>
      <w:rPr>
        <w:b/>
      </w:rPr>
      <w:fldChar w:fldCharType="begin"/>
    </w:r>
    <w:r>
      <w:rPr>
        <w:b/>
      </w:rPr>
      <w:instrText xml:space="preserve"> DOCVARIABLE  "Drsnr" \* MERGEFORMAT </w:instrText>
    </w:r>
    <w:r>
      <w:rPr>
        <w:b/>
      </w:rPr>
      <w:fldChar w:fldCharType="separate"/>
    </w:r>
    <w:r w:rsidR="003E303A">
      <w:rPr>
        <w:b/>
      </w:rPr>
      <w:t>21674</w:t>
    </w:r>
    <w:r>
      <w:rPr>
        <w:b/>
      </w:rPr>
      <w:fldChar w:fldCharType="end"/>
    </w:r>
    <w:r>
      <w:tab/>
    </w:r>
    <w:r>
      <w:tab/>
    </w:r>
    <w:r w:rsidRPr="009A2D8C">
      <w:t>Bayerischer Landtag</w:t>
    </w:r>
    <w:r>
      <w:t xml:space="preserve"> -</w:t>
    </w:r>
    <w:fldSimple w:instr=" DOCVARIABLE  &quot;Wp&quot; \* MERGEFORMAT ">
      <w:r w:rsidR="003E303A">
        <w:t>17</w:t>
      </w:r>
    </w:fldSimple>
    <w:r>
      <w:t>. Wahlperiode</w:t>
    </w:r>
  </w:p>
  <w:p w:rsidR="00294419" w:rsidRDefault="00294419"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19" w:rsidRDefault="00294419"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fldSimple w:instr=" DOCVARIABLE  &quot;Wp&quot; \* MERGEFORMAT ">
      <w:r w:rsidR="003E303A">
        <w:t>17</w:t>
      </w:r>
    </w:fldSimple>
    <w:r>
      <w:t>. Wahlperiode</w:t>
    </w:r>
    <w:r>
      <w:tab/>
    </w:r>
    <w:r>
      <w:tab/>
    </w:r>
    <w:r w:rsidRPr="009A2D8C">
      <w:rPr>
        <w:b/>
      </w:rPr>
      <w:t>Drucksache</w:t>
    </w:r>
    <w:r>
      <w:rPr>
        <w:b/>
      </w:rPr>
      <w:t xml:space="preserve"> </w:t>
    </w:r>
    <w:fldSimple w:instr=" DOCVARIABLE  &quot;Wp&quot; \* MERGEFORMAT ">
      <w:r w:rsidR="003E303A">
        <w:t>17</w:t>
      </w:r>
    </w:fldSimple>
    <w:r w:rsidRPr="00CA6785">
      <w:t>/</w:t>
    </w:r>
    <w:r>
      <w:rPr>
        <w:b/>
      </w:rPr>
      <w:fldChar w:fldCharType="begin"/>
    </w:r>
    <w:r>
      <w:rPr>
        <w:b/>
      </w:rPr>
      <w:instrText xml:space="preserve"> DOCVARIABLE  "Drsnr" \* MERGEFORMAT </w:instrText>
    </w:r>
    <w:r>
      <w:rPr>
        <w:b/>
      </w:rPr>
      <w:fldChar w:fldCharType="separate"/>
    </w:r>
    <w:r w:rsidR="003E303A">
      <w:rPr>
        <w:b/>
      </w:rPr>
      <w:t>21674</w:t>
    </w:r>
    <w:r>
      <w:rPr>
        <w:b/>
      </w:rPr>
      <w:fldChar w:fldCharType="end"/>
    </w:r>
  </w:p>
  <w:p w:rsidR="00294419" w:rsidRPr="00C127DA" w:rsidRDefault="00294419" w:rsidP="00C127D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19" w:rsidRDefault="00294419"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3E303A" w:rsidRPr="003E303A">
      <w:rPr>
        <w:bCs/>
        <w:sz w:val="22"/>
        <w:szCs w:val="22"/>
      </w:rPr>
      <w:t>17</w:t>
    </w:r>
    <w:r w:rsidRPr="00AE68A8">
      <w:rPr>
        <w:sz w:val="22"/>
        <w:szCs w:val="22"/>
      </w:rPr>
      <w:fldChar w:fldCharType="end"/>
    </w:r>
    <w:r w:rsidRPr="00AE68A8">
      <w:rPr>
        <w:sz w:val="22"/>
        <w:szCs w:val="22"/>
      </w:rPr>
      <w:t>. Wahlperiode</w:t>
    </w:r>
    <w:r>
      <w:rPr>
        <w:sz w:val="22"/>
        <w:szCs w:val="22"/>
      </w:rPr>
      <w:tab/>
    </w:r>
    <w:r w:rsidRPr="00B0505C">
      <w:rPr>
        <w:szCs w:val="20"/>
      </w:rPr>
      <w:fldChar w:fldCharType="begin"/>
    </w:r>
    <w:r w:rsidRPr="00B0505C">
      <w:rPr>
        <w:szCs w:val="20"/>
      </w:rPr>
      <w:instrText xml:space="preserve"> DOCVARIABLE  Eingangsdatum  \* MERGEFORMAT </w:instrText>
    </w:r>
    <w:r w:rsidRPr="00B0505C">
      <w:rPr>
        <w:szCs w:val="20"/>
      </w:rPr>
      <w:fldChar w:fldCharType="separate"/>
    </w:r>
    <w:r w:rsidR="003E303A">
      <w:rPr>
        <w:szCs w:val="20"/>
      </w:rPr>
      <w:t>12.04.2018</w:t>
    </w:r>
    <w:r w:rsidRPr="00B0505C">
      <w:rPr>
        <w:szCs w:val="20"/>
      </w:rPr>
      <w:fldChar w:fldCharType="end"/>
    </w:r>
    <w:r w:rsidR="00B0505C" w:rsidRPr="00B0505C">
      <w:rPr>
        <w:rFonts w:cs="Arial"/>
        <w:szCs w:val="20"/>
      </w:rPr>
      <w:t>│</w:t>
    </w:r>
    <w:r w:rsidR="00B0505C" w:rsidRPr="00B0505C">
      <w:rPr>
        <w:szCs w:val="20"/>
      </w:rPr>
      <w:t>ergänzt am 02.05.2018</w:t>
    </w:r>
    <w:r w:rsidR="00B0505C">
      <w:rPr>
        <w:szCs w:val="20"/>
      </w:rPr>
      <w:t>*</w:t>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3E303A" w:rsidRPr="003E303A">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3E303A" w:rsidRPr="003E303A">
      <w:rPr>
        <w:b/>
        <w:bCs/>
        <w:sz w:val="42"/>
        <w:szCs w:val="42"/>
      </w:rPr>
      <w:t>21674</w:t>
    </w:r>
    <w:r w:rsidRPr="00853926">
      <w:rPr>
        <w:b/>
        <w:sz w:val="42"/>
        <w:szCs w:val="42"/>
      </w:rPr>
      <w:fldChar w:fldCharType="end"/>
    </w:r>
  </w:p>
  <w:p w:rsidR="00294419" w:rsidRPr="00812558" w:rsidRDefault="00294419" w:rsidP="00C127DA">
    <w:pPr>
      <w:spacing w:before="240"/>
      <w:jc w:val="center"/>
      <w:rPr>
        <w:color w:val="FF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19" w:rsidRDefault="00294419"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E303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E303A">
      <w:rPr>
        <w:b/>
        <w:szCs w:val="20"/>
      </w:rPr>
      <w:t>21674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E303A">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850C7">
      <w:rPr>
        <w:rStyle w:val="Seitenzahl"/>
        <w:noProof/>
        <w:szCs w:val="20"/>
      </w:rPr>
      <w:t>IV</w:t>
    </w:r>
    <w:r w:rsidRPr="00DE5B17">
      <w:rPr>
        <w:rStyle w:val="Seitenzahl"/>
        <w:szCs w:val="20"/>
      </w:rPr>
      <w:fldChar w:fldCharType="end"/>
    </w:r>
  </w:p>
  <w:p w:rsidR="00294419" w:rsidRPr="00861320" w:rsidRDefault="00294419"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19" w:rsidRPr="00A44F63" w:rsidRDefault="00294419"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850C7">
      <w:rPr>
        <w:rStyle w:val="Seitenzahl"/>
        <w:noProof/>
        <w:szCs w:val="20"/>
      </w:rPr>
      <w:t>III</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E303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E303A">
      <w:rPr>
        <w:b/>
        <w:szCs w:val="20"/>
      </w:rPr>
      <w:t>21674</w:t>
    </w:r>
    <w:r w:rsidRPr="00A44F63">
      <w:rPr>
        <w:b/>
        <w:szCs w:val="20"/>
      </w:rPr>
      <w:fldChar w:fldCharType="end"/>
    </w:r>
  </w:p>
  <w:p w:rsidR="00294419" w:rsidRPr="004B2185" w:rsidRDefault="00294419" w:rsidP="008A671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19" w:rsidRPr="00A44F63" w:rsidRDefault="00294419"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850C7">
      <w:rPr>
        <w:rStyle w:val="Seitenzahl"/>
        <w:noProof/>
        <w:szCs w:val="20"/>
      </w:rPr>
      <w:t>14</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E303A">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E303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E303A">
      <w:rPr>
        <w:b/>
        <w:szCs w:val="20"/>
      </w:rPr>
      <w:t>21674</w:t>
    </w:r>
    <w:r w:rsidRPr="00A44F63">
      <w:rPr>
        <w:b/>
        <w:szCs w:val="20"/>
      </w:rPr>
      <w:fldChar w:fldCharType="end"/>
    </w:r>
  </w:p>
  <w:p w:rsidR="00294419" w:rsidRPr="00861320" w:rsidRDefault="00294419" w:rsidP="006E5B9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19" w:rsidRPr="00DE5B17" w:rsidRDefault="00294419"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E303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E303A">
      <w:rPr>
        <w:b/>
        <w:szCs w:val="20"/>
      </w:rPr>
      <w:t>21674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E303A">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850C7">
      <w:rPr>
        <w:rStyle w:val="Seitenzahl"/>
        <w:noProof/>
        <w:szCs w:val="20"/>
      </w:rPr>
      <w:t>15</w:t>
    </w:r>
    <w:r w:rsidRPr="00DE5B17">
      <w:rPr>
        <w:rStyle w:val="Seitenzahl"/>
        <w:szCs w:val="20"/>
      </w:rPr>
      <w:fldChar w:fldCharType="end"/>
    </w:r>
  </w:p>
  <w:p w:rsidR="00294419" w:rsidRPr="00601929" w:rsidRDefault="00294419"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4EB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E69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6F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CCD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C46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1405C"/>
    <w:multiLevelType w:val="hybridMultilevel"/>
    <w:tmpl w:val="B9B8388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1B1C7CCE">
      <w:start w:val="1"/>
      <w:numFmt w:val="bullet"/>
      <w:lvlText w:val=""/>
      <w:lvlJc w:val="left"/>
      <w:pPr>
        <w:ind w:left="2500" w:hanging="360"/>
      </w:pPr>
      <w:rPr>
        <w:rFonts w:ascii="Symbol" w:hAnsi="Symbo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09C66CF"/>
    <w:multiLevelType w:val="hybridMultilevel"/>
    <w:tmpl w:val="BC664074"/>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1B1C7CCE">
      <w:start w:val="1"/>
      <w:numFmt w:val="bullet"/>
      <w:lvlText w:val=""/>
      <w:lvlJc w:val="left"/>
      <w:pPr>
        <w:ind w:left="2500" w:hanging="360"/>
      </w:pPr>
      <w:rPr>
        <w:rFonts w:ascii="Symbol" w:hAnsi="Symbo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6D05126"/>
    <w:multiLevelType w:val="hybridMultilevel"/>
    <w:tmpl w:val="C17EB30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471CF"/>
    <w:multiLevelType w:val="hybridMultilevel"/>
    <w:tmpl w:val="A07C4BF2"/>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9703F1"/>
    <w:multiLevelType w:val="hybridMultilevel"/>
    <w:tmpl w:val="DDEC3D04"/>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1B1C7CCE">
      <w:start w:val="1"/>
      <w:numFmt w:val="bullet"/>
      <w:lvlText w:val=""/>
      <w:lvlJc w:val="left"/>
      <w:pPr>
        <w:ind w:left="2500" w:hanging="360"/>
      </w:pPr>
      <w:rPr>
        <w:rFonts w:ascii="Symbol" w:hAnsi="Symbo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291304AA"/>
    <w:multiLevelType w:val="hybridMultilevel"/>
    <w:tmpl w:val="18FA731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1B1C7CCE">
      <w:start w:val="1"/>
      <w:numFmt w:val="bullet"/>
      <w:lvlText w:val=""/>
      <w:lvlJc w:val="left"/>
      <w:pPr>
        <w:ind w:left="2500" w:hanging="360"/>
      </w:pPr>
      <w:rPr>
        <w:rFonts w:ascii="Symbol" w:hAnsi="Symbo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CFF6C7C"/>
    <w:multiLevelType w:val="hybridMultilevel"/>
    <w:tmpl w:val="47A85CCE"/>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2FF6276C"/>
    <w:multiLevelType w:val="hybridMultilevel"/>
    <w:tmpl w:val="0862001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333833A9"/>
    <w:multiLevelType w:val="hybridMultilevel"/>
    <w:tmpl w:val="4E30E75E"/>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38333CC6"/>
    <w:multiLevelType w:val="hybridMultilevel"/>
    <w:tmpl w:val="4F14191E"/>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1B1C7CCE">
      <w:start w:val="1"/>
      <w:numFmt w:val="bullet"/>
      <w:lvlText w:val=""/>
      <w:lvlJc w:val="left"/>
      <w:pPr>
        <w:ind w:left="2500" w:hanging="360"/>
      </w:pPr>
      <w:rPr>
        <w:rFonts w:ascii="Symbol" w:hAnsi="Symbo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3D0821CF"/>
    <w:multiLevelType w:val="hybridMultilevel"/>
    <w:tmpl w:val="943AFBC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1B1C7CCE">
      <w:start w:val="1"/>
      <w:numFmt w:val="bullet"/>
      <w:lvlText w:val=""/>
      <w:lvlJc w:val="left"/>
      <w:pPr>
        <w:ind w:left="2500" w:hanging="360"/>
      </w:pPr>
      <w:rPr>
        <w:rFonts w:ascii="Symbol" w:hAnsi="Symbo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41C306A4"/>
    <w:multiLevelType w:val="hybridMultilevel"/>
    <w:tmpl w:val="FCD86D52"/>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1B1C7CCE">
      <w:start w:val="1"/>
      <w:numFmt w:val="bullet"/>
      <w:lvlText w:val=""/>
      <w:lvlJc w:val="left"/>
      <w:pPr>
        <w:ind w:left="2500" w:hanging="360"/>
      </w:pPr>
      <w:rPr>
        <w:rFonts w:ascii="Symbol" w:hAnsi="Symbo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6520EB"/>
    <w:multiLevelType w:val="hybridMultilevel"/>
    <w:tmpl w:val="2746113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1B1C7CCE">
      <w:start w:val="1"/>
      <w:numFmt w:val="bullet"/>
      <w:lvlText w:val=""/>
      <w:lvlJc w:val="left"/>
      <w:pPr>
        <w:ind w:left="2500" w:hanging="360"/>
      </w:pPr>
      <w:rPr>
        <w:rFonts w:ascii="Symbol" w:hAnsi="Symbo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547D0EE6"/>
    <w:multiLevelType w:val="hybridMultilevel"/>
    <w:tmpl w:val="C8BA12EE"/>
    <w:lvl w:ilvl="0" w:tplc="1B1C7CCE">
      <w:start w:val="1"/>
      <w:numFmt w:val="bullet"/>
      <w:lvlText w:val=""/>
      <w:lvlJc w:val="left"/>
      <w:pPr>
        <w:ind w:left="1060" w:hanging="360"/>
      </w:pPr>
      <w:rPr>
        <w:rFonts w:ascii="Symbol" w:hAnsi="Symbol" w:hint="default"/>
      </w:rPr>
    </w:lvl>
    <w:lvl w:ilvl="1" w:tplc="A19E910C">
      <w:numFmt w:val="bullet"/>
      <w:lvlText w:val="-"/>
      <w:lvlJc w:val="left"/>
      <w:pPr>
        <w:ind w:left="1792" w:hanging="372"/>
      </w:pPr>
      <w:rPr>
        <w:rFonts w:ascii="Arial" w:eastAsia="Times New Roman" w:hAnsi="Arial" w:cs="Arial" w:hint="default"/>
      </w:rPr>
    </w:lvl>
    <w:lvl w:ilvl="2" w:tplc="826E2898">
      <w:numFmt w:val="bullet"/>
      <w:lvlText w:val="•"/>
      <w:lvlJc w:val="left"/>
      <w:pPr>
        <w:ind w:left="2512" w:hanging="372"/>
      </w:pPr>
      <w:rPr>
        <w:rFonts w:ascii="Arial" w:eastAsia="Times New Roman" w:hAnsi="Arial" w:cs="Aria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696677C"/>
    <w:multiLevelType w:val="hybridMultilevel"/>
    <w:tmpl w:val="872AD3B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F">
      <w:start w:val="1"/>
      <w:numFmt w:val="decimal"/>
      <w:lvlText w:val="%3."/>
      <w:lvlJc w:val="left"/>
      <w:pPr>
        <w:ind w:left="2500" w:hanging="360"/>
      </w:pPr>
      <w:rPr>
        <w:rFont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3"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4FF2257"/>
    <w:multiLevelType w:val="hybridMultilevel"/>
    <w:tmpl w:val="58260D52"/>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5"/>
  </w:num>
  <w:num w:numId="2">
    <w:abstractNumId w:val="16"/>
  </w:num>
  <w:num w:numId="3">
    <w:abstractNumId w:val="30"/>
  </w:num>
  <w:num w:numId="4">
    <w:abstractNumId w:val="33"/>
  </w:num>
  <w:num w:numId="5">
    <w:abstractNumId w:val="31"/>
  </w:num>
  <w:num w:numId="6">
    <w:abstractNumId w:val="27"/>
  </w:num>
  <w:num w:numId="7">
    <w:abstractNumId w:val="13"/>
  </w:num>
  <w:num w:numId="8">
    <w:abstractNumId w:val="15"/>
  </w:num>
  <w:num w:numId="9">
    <w:abstractNumId w:val="34"/>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 w:numId="25">
    <w:abstractNumId w:val="20"/>
  </w:num>
  <w:num w:numId="26">
    <w:abstractNumId w:val="14"/>
  </w:num>
  <w:num w:numId="27">
    <w:abstractNumId w:val="22"/>
  </w:num>
  <w:num w:numId="28">
    <w:abstractNumId w:val="18"/>
  </w:num>
  <w:num w:numId="29">
    <w:abstractNumId w:val="17"/>
  </w:num>
  <w:num w:numId="30">
    <w:abstractNumId w:val="36"/>
  </w:num>
  <w:num w:numId="31">
    <w:abstractNumId w:val="25"/>
  </w:num>
  <w:num w:numId="32">
    <w:abstractNumId w:val="24"/>
  </w:num>
  <w:num w:numId="33">
    <w:abstractNumId w:val="21"/>
  </w:num>
  <w:num w:numId="34">
    <w:abstractNumId w:val="23"/>
  </w:num>
  <w:num w:numId="35">
    <w:abstractNumId w:val="28"/>
  </w:num>
  <w:num w:numId="36">
    <w:abstractNumId w:val="12"/>
  </w:num>
  <w:num w:numId="37">
    <w:abstractNumId w:val="10"/>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CY0ciuxRBaTZLUUdwFUIolZ9CdmkWlGpcTSVz5Wo3Lb+0+Bvij74K90KJwfUS+S88tFdUAt/zC0QtRzB+b9Tg==" w:salt="wEbMQq8new1NVjx/+s40wg=="/>
  <w:defaultTabStop w:val="709"/>
  <w:autoHyphenation/>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21674"/>
    <w:docVar w:name="Eingangsdatum" w:val="12.04.2018"/>
    <w:docVar w:name="Wochendatum" w:val="9. April 2018"/>
    <w:docVar w:name="Wp" w:val="17"/>
  </w:docVars>
  <w:rsids>
    <w:rsidRoot w:val="006E4BC2"/>
    <w:rsid w:val="00002517"/>
    <w:rsid w:val="00006292"/>
    <w:rsid w:val="000371B5"/>
    <w:rsid w:val="00043B70"/>
    <w:rsid w:val="0004798E"/>
    <w:rsid w:val="000614E0"/>
    <w:rsid w:val="00061EB3"/>
    <w:rsid w:val="000673D7"/>
    <w:rsid w:val="000711EB"/>
    <w:rsid w:val="000779F7"/>
    <w:rsid w:val="00083D54"/>
    <w:rsid w:val="00084459"/>
    <w:rsid w:val="000A1AC9"/>
    <w:rsid w:val="000B764D"/>
    <w:rsid w:val="000C480A"/>
    <w:rsid w:val="000C71A5"/>
    <w:rsid w:val="000C72A9"/>
    <w:rsid w:val="000C7D5A"/>
    <w:rsid w:val="000E73CC"/>
    <w:rsid w:val="000F109F"/>
    <w:rsid w:val="000F60E3"/>
    <w:rsid w:val="0010075D"/>
    <w:rsid w:val="001008E7"/>
    <w:rsid w:val="00125DC4"/>
    <w:rsid w:val="00135D97"/>
    <w:rsid w:val="00136D38"/>
    <w:rsid w:val="00154F5F"/>
    <w:rsid w:val="001576CA"/>
    <w:rsid w:val="001579D6"/>
    <w:rsid w:val="00163927"/>
    <w:rsid w:val="001676F2"/>
    <w:rsid w:val="00171CDA"/>
    <w:rsid w:val="00187E64"/>
    <w:rsid w:val="00196271"/>
    <w:rsid w:val="001E3461"/>
    <w:rsid w:val="001F240A"/>
    <w:rsid w:val="00200FE9"/>
    <w:rsid w:val="00214DD0"/>
    <w:rsid w:val="00215CAA"/>
    <w:rsid w:val="00215E2D"/>
    <w:rsid w:val="00226E30"/>
    <w:rsid w:val="00231278"/>
    <w:rsid w:val="0023365B"/>
    <w:rsid w:val="002375B2"/>
    <w:rsid w:val="00237CA1"/>
    <w:rsid w:val="00246DE7"/>
    <w:rsid w:val="0025054C"/>
    <w:rsid w:val="00255E6B"/>
    <w:rsid w:val="00276106"/>
    <w:rsid w:val="00283D88"/>
    <w:rsid w:val="0028470E"/>
    <w:rsid w:val="00284AA1"/>
    <w:rsid w:val="00294419"/>
    <w:rsid w:val="002B27E5"/>
    <w:rsid w:val="002C1A1D"/>
    <w:rsid w:val="002C4514"/>
    <w:rsid w:val="002D53C0"/>
    <w:rsid w:val="002D5E77"/>
    <w:rsid w:val="00311533"/>
    <w:rsid w:val="0031185F"/>
    <w:rsid w:val="003220C1"/>
    <w:rsid w:val="003317ED"/>
    <w:rsid w:val="003343E3"/>
    <w:rsid w:val="00354E4E"/>
    <w:rsid w:val="003571B7"/>
    <w:rsid w:val="0036081C"/>
    <w:rsid w:val="00372C63"/>
    <w:rsid w:val="003738F2"/>
    <w:rsid w:val="00383C95"/>
    <w:rsid w:val="00384BCC"/>
    <w:rsid w:val="003865DE"/>
    <w:rsid w:val="00390B65"/>
    <w:rsid w:val="003A0B46"/>
    <w:rsid w:val="003A587A"/>
    <w:rsid w:val="003A6DDF"/>
    <w:rsid w:val="003B08A7"/>
    <w:rsid w:val="003B10EA"/>
    <w:rsid w:val="003B21D3"/>
    <w:rsid w:val="003B4646"/>
    <w:rsid w:val="003B7D59"/>
    <w:rsid w:val="003C4151"/>
    <w:rsid w:val="003D1E3B"/>
    <w:rsid w:val="003E107C"/>
    <w:rsid w:val="003E2DEE"/>
    <w:rsid w:val="003E303A"/>
    <w:rsid w:val="003E36C6"/>
    <w:rsid w:val="003E4621"/>
    <w:rsid w:val="003E7E4B"/>
    <w:rsid w:val="003F467B"/>
    <w:rsid w:val="00403974"/>
    <w:rsid w:val="004040A9"/>
    <w:rsid w:val="004104B6"/>
    <w:rsid w:val="004148C6"/>
    <w:rsid w:val="0042337B"/>
    <w:rsid w:val="00431F16"/>
    <w:rsid w:val="004473A4"/>
    <w:rsid w:val="0045402F"/>
    <w:rsid w:val="004647E7"/>
    <w:rsid w:val="00465F83"/>
    <w:rsid w:val="00476B56"/>
    <w:rsid w:val="004873B7"/>
    <w:rsid w:val="004A0B31"/>
    <w:rsid w:val="004A62EF"/>
    <w:rsid w:val="004B184E"/>
    <w:rsid w:val="004B30F1"/>
    <w:rsid w:val="004B5A87"/>
    <w:rsid w:val="004C1BA3"/>
    <w:rsid w:val="004D4829"/>
    <w:rsid w:val="004E1031"/>
    <w:rsid w:val="004E6DDE"/>
    <w:rsid w:val="004E7DE5"/>
    <w:rsid w:val="004F2494"/>
    <w:rsid w:val="004F6984"/>
    <w:rsid w:val="0050378A"/>
    <w:rsid w:val="00503F3C"/>
    <w:rsid w:val="005040C2"/>
    <w:rsid w:val="005311BE"/>
    <w:rsid w:val="0053309B"/>
    <w:rsid w:val="00544156"/>
    <w:rsid w:val="005517B2"/>
    <w:rsid w:val="0057046C"/>
    <w:rsid w:val="0057191B"/>
    <w:rsid w:val="00572482"/>
    <w:rsid w:val="00573AA0"/>
    <w:rsid w:val="00581720"/>
    <w:rsid w:val="005833DD"/>
    <w:rsid w:val="005834A1"/>
    <w:rsid w:val="00593818"/>
    <w:rsid w:val="005A0EEC"/>
    <w:rsid w:val="005A592D"/>
    <w:rsid w:val="005A7511"/>
    <w:rsid w:val="005A79EC"/>
    <w:rsid w:val="005C01B8"/>
    <w:rsid w:val="005C5701"/>
    <w:rsid w:val="005D0F29"/>
    <w:rsid w:val="005D3C42"/>
    <w:rsid w:val="005E1112"/>
    <w:rsid w:val="005F371F"/>
    <w:rsid w:val="00601929"/>
    <w:rsid w:val="006035CA"/>
    <w:rsid w:val="006076A5"/>
    <w:rsid w:val="00610EFD"/>
    <w:rsid w:val="0062036D"/>
    <w:rsid w:val="00620B1D"/>
    <w:rsid w:val="00632DAF"/>
    <w:rsid w:val="0064541B"/>
    <w:rsid w:val="00651968"/>
    <w:rsid w:val="00653E6D"/>
    <w:rsid w:val="006764A8"/>
    <w:rsid w:val="006850C7"/>
    <w:rsid w:val="00693C0C"/>
    <w:rsid w:val="006B1709"/>
    <w:rsid w:val="006B7AE2"/>
    <w:rsid w:val="006C4DB6"/>
    <w:rsid w:val="006C5C31"/>
    <w:rsid w:val="006D0575"/>
    <w:rsid w:val="006D0E7E"/>
    <w:rsid w:val="006D2E83"/>
    <w:rsid w:val="006E0274"/>
    <w:rsid w:val="006E4BC2"/>
    <w:rsid w:val="006E5B9D"/>
    <w:rsid w:val="006F0AB3"/>
    <w:rsid w:val="007061D4"/>
    <w:rsid w:val="00714C18"/>
    <w:rsid w:val="00717184"/>
    <w:rsid w:val="00727957"/>
    <w:rsid w:val="0075012C"/>
    <w:rsid w:val="0075769E"/>
    <w:rsid w:val="00761779"/>
    <w:rsid w:val="007649D6"/>
    <w:rsid w:val="00764C64"/>
    <w:rsid w:val="0077709E"/>
    <w:rsid w:val="00781338"/>
    <w:rsid w:val="00781FB1"/>
    <w:rsid w:val="00783B0B"/>
    <w:rsid w:val="007868AE"/>
    <w:rsid w:val="007913D6"/>
    <w:rsid w:val="007C0176"/>
    <w:rsid w:val="007E1A78"/>
    <w:rsid w:val="007F507C"/>
    <w:rsid w:val="008062A0"/>
    <w:rsid w:val="00816C6F"/>
    <w:rsid w:val="00817D06"/>
    <w:rsid w:val="0082494C"/>
    <w:rsid w:val="00844005"/>
    <w:rsid w:val="00846D02"/>
    <w:rsid w:val="008540E3"/>
    <w:rsid w:val="00857AF2"/>
    <w:rsid w:val="008606C1"/>
    <w:rsid w:val="00863A28"/>
    <w:rsid w:val="00871411"/>
    <w:rsid w:val="00880170"/>
    <w:rsid w:val="008803A9"/>
    <w:rsid w:val="00881163"/>
    <w:rsid w:val="0088407F"/>
    <w:rsid w:val="008930C0"/>
    <w:rsid w:val="00897172"/>
    <w:rsid w:val="008A4188"/>
    <w:rsid w:val="008A671A"/>
    <w:rsid w:val="008C6176"/>
    <w:rsid w:val="008D2301"/>
    <w:rsid w:val="008E2258"/>
    <w:rsid w:val="008E3C99"/>
    <w:rsid w:val="008E54A2"/>
    <w:rsid w:val="008E7B3B"/>
    <w:rsid w:val="008F0A3E"/>
    <w:rsid w:val="008F1B15"/>
    <w:rsid w:val="0090257F"/>
    <w:rsid w:val="0091136E"/>
    <w:rsid w:val="00911F24"/>
    <w:rsid w:val="00912A01"/>
    <w:rsid w:val="009149D4"/>
    <w:rsid w:val="00922290"/>
    <w:rsid w:val="009229F8"/>
    <w:rsid w:val="009234BF"/>
    <w:rsid w:val="0092602C"/>
    <w:rsid w:val="009310B8"/>
    <w:rsid w:val="00932D27"/>
    <w:rsid w:val="0095379B"/>
    <w:rsid w:val="00962732"/>
    <w:rsid w:val="00966E35"/>
    <w:rsid w:val="009707DE"/>
    <w:rsid w:val="00972E0D"/>
    <w:rsid w:val="00977682"/>
    <w:rsid w:val="0098407B"/>
    <w:rsid w:val="00984DE4"/>
    <w:rsid w:val="009924CE"/>
    <w:rsid w:val="00995D8F"/>
    <w:rsid w:val="009A2D8C"/>
    <w:rsid w:val="009A5A06"/>
    <w:rsid w:val="009A715F"/>
    <w:rsid w:val="009B3DA8"/>
    <w:rsid w:val="009B5E8F"/>
    <w:rsid w:val="009B7205"/>
    <w:rsid w:val="009C1AC7"/>
    <w:rsid w:val="009C32BE"/>
    <w:rsid w:val="009C6D74"/>
    <w:rsid w:val="009D5962"/>
    <w:rsid w:val="009E41B6"/>
    <w:rsid w:val="009E6DDB"/>
    <w:rsid w:val="009F23AC"/>
    <w:rsid w:val="009F6B94"/>
    <w:rsid w:val="00A13CBD"/>
    <w:rsid w:val="00A17038"/>
    <w:rsid w:val="00A17043"/>
    <w:rsid w:val="00A2276D"/>
    <w:rsid w:val="00A25D7C"/>
    <w:rsid w:val="00A265DC"/>
    <w:rsid w:val="00A3195E"/>
    <w:rsid w:val="00A3336A"/>
    <w:rsid w:val="00A368B7"/>
    <w:rsid w:val="00A42EAA"/>
    <w:rsid w:val="00A44F63"/>
    <w:rsid w:val="00A47020"/>
    <w:rsid w:val="00A5482B"/>
    <w:rsid w:val="00A603C5"/>
    <w:rsid w:val="00A61DBC"/>
    <w:rsid w:val="00A626E0"/>
    <w:rsid w:val="00A76155"/>
    <w:rsid w:val="00A76D72"/>
    <w:rsid w:val="00A84172"/>
    <w:rsid w:val="00A86A35"/>
    <w:rsid w:val="00AA3478"/>
    <w:rsid w:val="00AA7233"/>
    <w:rsid w:val="00AB21B2"/>
    <w:rsid w:val="00AC4FC6"/>
    <w:rsid w:val="00AE1029"/>
    <w:rsid w:val="00B0332D"/>
    <w:rsid w:val="00B0505C"/>
    <w:rsid w:val="00B246BA"/>
    <w:rsid w:val="00B3698E"/>
    <w:rsid w:val="00B45132"/>
    <w:rsid w:val="00B53363"/>
    <w:rsid w:val="00B54730"/>
    <w:rsid w:val="00B57DE6"/>
    <w:rsid w:val="00B66963"/>
    <w:rsid w:val="00B753A4"/>
    <w:rsid w:val="00B82BE0"/>
    <w:rsid w:val="00B8718B"/>
    <w:rsid w:val="00B902FE"/>
    <w:rsid w:val="00B91015"/>
    <w:rsid w:val="00B9456C"/>
    <w:rsid w:val="00BA3ACA"/>
    <w:rsid w:val="00BA7AAC"/>
    <w:rsid w:val="00BB0DE7"/>
    <w:rsid w:val="00BB117A"/>
    <w:rsid w:val="00BB3E7A"/>
    <w:rsid w:val="00BB6019"/>
    <w:rsid w:val="00BC1C8F"/>
    <w:rsid w:val="00BC4D4B"/>
    <w:rsid w:val="00BD0BB0"/>
    <w:rsid w:val="00BD7DB0"/>
    <w:rsid w:val="00BE0A75"/>
    <w:rsid w:val="00BF5F49"/>
    <w:rsid w:val="00BF715A"/>
    <w:rsid w:val="00C00603"/>
    <w:rsid w:val="00C1124A"/>
    <w:rsid w:val="00C127DA"/>
    <w:rsid w:val="00C20D25"/>
    <w:rsid w:val="00C54C38"/>
    <w:rsid w:val="00C64946"/>
    <w:rsid w:val="00C67283"/>
    <w:rsid w:val="00C83A7D"/>
    <w:rsid w:val="00C841E1"/>
    <w:rsid w:val="00C84F6F"/>
    <w:rsid w:val="00CA1CC1"/>
    <w:rsid w:val="00CA46E4"/>
    <w:rsid w:val="00CA7252"/>
    <w:rsid w:val="00CB1499"/>
    <w:rsid w:val="00CC20C5"/>
    <w:rsid w:val="00CC43A0"/>
    <w:rsid w:val="00CC6B36"/>
    <w:rsid w:val="00CC77D8"/>
    <w:rsid w:val="00CC7D0D"/>
    <w:rsid w:val="00CD4A37"/>
    <w:rsid w:val="00CE2154"/>
    <w:rsid w:val="00CE5E4F"/>
    <w:rsid w:val="00CF21A0"/>
    <w:rsid w:val="00CF22FB"/>
    <w:rsid w:val="00CF5AA4"/>
    <w:rsid w:val="00CF6105"/>
    <w:rsid w:val="00CF77F6"/>
    <w:rsid w:val="00D0623A"/>
    <w:rsid w:val="00D07F06"/>
    <w:rsid w:val="00D23E89"/>
    <w:rsid w:val="00D33D48"/>
    <w:rsid w:val="00D3404D"/>
    <w:rsid w:val="00D45EB8"/>
    <w:rsid w:val="00D83DC5"/>
    <w:rsid w:val="00D959E0"/>
    <w:rsid w:val="00DA1063"/>
    <w:rsid w:val="00DA74F1"/>
    <w:rsid w:val="00DB29C5"/>
    <w:rsid w:val="00DB697A"/>
    <w:rsid w:val="00DC6F57"/>
    <w:rsid w:val="00DD48D5"/>
    <w:rsid w:val="00DE5B17"/>
    <w:rsid w:val="00DF61B1"/>
    <w:rsid w:val="00E046A2"/>
    <w:rsid w:val="00E175A9"/>
    <w:rsid w:val="00E2144E"/>
    <w:rsid w:val="00E2431C"/>
    <w:rsid w:val="00E27A82"/>
    <w:rsid w:val="00E3270E"/>
    <w:rsid w:val="00E35A22"/>
    <w:rsid w:val="00E6572C"/>
    <w:rsid w:val="00E94A2C"/>
    <w:rsid w:val="00EB2D68"/>
    <w:rsid w:val="00EB6C16"/>
    <w:rsid w:val="00EB6CA8"/>
    <w:rsid w:val="00EC2C1B"/>
    <w:rsid w:val="00ED18D8"/>
    <w:rsid w:val="00ED4839"/>
    <w:rsid w:val="00EE4F2F"/>
    <w:rsid w:val="00EF116E"/>
    <w:rsid w:val="00EF398E"/>
    <w:rsid w:val="00EF67A7"/>
    <w:rsid w:val="00EF6F9A"/>
    <w:rsid w:val="00F0047B"/>
    <w:rsid w:val="00F03B2C"/>
    <w:rsid w:val="00F130E0"/>
    <w:rsid w:val="00F32CFF"/>
    <w:rsid w:val="00F45099"/>
    <w:rsid w:val="00F72600"/>
    <w:rsid w:val="00F769C0"/>
    <w:rsid w:val="00F76B51"/>
    <w:rsid w:val="00FA64C1"/>
    <w:rsid w:val="00FB269D"/>
    <w:rsid w:val="00FB64A8"/>
    <w:rsid w:val="00FC6AB5"/>
    <w:rsid w:val="00FE0BE9"/>
    <w:rsid w:val="00FF421F"/>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B63FA7C-884D-456C-AC5C-9CE02DEA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EE4F2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E4F2F"/>
    <w:pPr>
      <w:widowControl w:val="0"/>
    </w:pPr>
    <w:rPr>
      <w:rFonts w:asciiTheme="minorHAnsi" w:eastAsiaTheme="minorHAnsi" w:hAnsiTheme="minorHAnsi" w:cstheme="minorBidi"/>
      <w:sz w:val="22"/>
      <w:szCs w:val="22"/>
      <w:lang w:val="en-US" w:eastAsia="en-US"/>
    </w:rPr>
  </w:style>
  <w:style w:type="character" w:styleId="BesuchterLink">
    <w:name w:val="FollowedHyperlink"/>
    <w:basedOn w:val="Absatz-Standardschriftart"/>
    <w:semiHidden/>
    <w:unhideWhenUsed/>
    <w:rsid w:val="00EB2D68"/>
    <w:rPr>
      <w:color w:val="800080" w:themeColor="followedHyperlink"/>
      <w:u w:val="single"/>
    </w:rPr>
  </w:style>
  <w:style w:type="character" w:customStyle="1" w:styleId="st">
    <w:name w:val="st"/>
    <w:basedOn w:val="Absatz-Standardschriftart"/>
    <w:rsid w:val="00BF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yperlink" Target="http://www.bayern.landtag.de/www/ElanTextAblage_WP17/Drucksachen/Basisdrucksachen/0000014000/0000014487_Wild_Anlage.pdf" TargetMode="External"/><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yperlink" Target="http://www.isb.bayern.de/schulartspezifisches/materialien/nachteilsausgleich-notenschutz/" TargetMode="External"/><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http://www.isb.bayern.de/schulartspezifisches/materialien/inklusion-an-schulen/" TargetMode="External"/><Relationship Id="rId20" Type="http://schemas.openxmlformats.org/officeDocument/2006/relationships/hyperlink" Target="http://www.bayern.landtag.de/www/ElanTextAblage_WP17/Drucksachen/Basisdrucksachen/0000014000/0000014487_Weikert_Anlage.pdf"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erfassungsschutz.bayern.de" TargetMode="External"/><Relationship Id="rId23" Type="http://schemas.openxmlformats.org/officeDocument/2006/relationships/image" Target="media/image5.png"/><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jugendschutzprogramm.d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stammtisch-nandlstadt.de" TargetMode="External"/><Relationship Id="rId22" Type="http://schemas.openxmlformats.org/officeDocument/2006/relationships/image" Target="media/image4.png"/><Relationship Id="rId27" Type="http://schemas.openxmlformats.org/officeDocument/2006/relationships/image" Target="media/image9.emf"/><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21667</Words>
  <Characters>136509</Characters>
  <Application>Microsoft Office Word</Application>
  <DocSecurity>8</DocSecurity>
  <Lines>1137</Lines>
  <Paragraphs>315</Paragraphs>
  <ScaleCrop>false</ScaleCrop>
  <HeadingPairs>
    <vt:vector size="2" baseType="variant">
      <vt:variant>
        <vt:lpstr>Titel</vt:lpstr>
      </vt:variant>
      <vt:variant>
        <vt:i4>1</vt:i4>
      </vt:variant>
    </vt:vector>
  </HeadingPairs>
  <TitlesOfParts>
    <vt:vector size="1" baseType="lpstr">
      <vt:lpstr>Drucksache 17/21674</vt:lpstr>
    </vt:vector>
  </TitlesOfParts>
  <Company>LfStaD</Company>
  <LinksUpToDate>false</LinksUpToDate>
  <CharactersWithSpaces>157861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17/21674</dc:title>
  <dc:creator>Ströhlein, Gabriele (LTA)</dc:creator>
  <cp:lastModifiedBy>Ströhlein, Gabriele (LTA)</cp:lastModifiedBy>
  <cp:revision>2</cp:revision>
  <cp:lastPrinted>2018-05-02T13:15:00Z</cp:lastPrinted>
  <dcterms:created xsi:type="dcterms:W3CDTF">2018-05-02T13:18:00Z</dcterms:created>
  <dcterms:modified xsi:type="dcterms:W3CDTF">2018-05-02T13:18:00Z</dcterms:modified>
</cp:coreProperties>
</file>