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3D3AC3" w:rsidP="00717184">
      <w:pPr>
        <w:spacing w:before="360"/>
        <w:ind w:left="360"/>
        <w:rPr>
          <w:b/>
        </w:rPr>
      </w:pPr>
      <w:r>
        <w:rPr>
          <w:b/>
        </w:rPr>
        <w:t xml:space="preserve">(Plenarsitzung </w:t>
      </w:r>
      <w:r w:rsidR="00717184" w:rsidRPr="00717184">
        <w:rPr>
          <w:b/>
        </w:rPr>
        <w:t xml:space="preserve">vom </w:t>
      </w:r>
      <w:r w:rsidR="000B764D">
        <w:rPr>
          <w:b/>
        </w:rPr>
        <w:fldChar w:fldCharType="begin"/>
      </w:r>
      <w:r w:rsidR="000B764D">
        <w:rPr>
          <w:b/>
        </w:rPr>
        <w:instrText xml:space="preserve"> DOCVARIABLE  Wochendatum  \* MERGEFORMAT </w:instrText>
      </w:r>
      <w:r w:rsidR="000B764D">
        <w:rPr>
          <w:b/>
        </w:rPr>
        <w:fldChar w:fldCharType="separate"/>
      </w:r>
      <w:r w:rsidR="00F57B96">
        <w:rPr>
          <w:b/>
        </w:rPr>
        <w:t>12. März 2018</w:t>
      </w:r>
      <w:r w:rsidR="000B764D">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B95CCD" w:rsidRPr="005833DD">
        <w:tc>
          <w:tcPr>
            <w:tcW w:w="2500" w:type="pct"/>
            <w:tcBorders>
              <w:right w:val="single" w:sz="4" w:space="0" w:color="auto"/>
            </w:tcBorders>
          </w:tcPr>
          <w:p w:rsidR="00B95CCD" w:rsidRDefault="00B95CCD" w:rsidP="00B95CCD">
            <w:pPr>
              <w:pStyle w:val="LTVerzeichnisDerFragendenLinks"/>
            </w:pPr>
            <w:r>
              <w:t>Adelt, Klaus (SPD)</w:t>
            </w:r>
            <w:r>
              <w:tab/>
              <w:t>24</w:t>
            </w:r>
          </w:p>
        </w:tc>
        <w:tc>
          <w:tcPr>
            <w:tcW w:w="2500" w:type="pct"/>
            <w:tcBorders>
              <w:left w:val="single" w:sz="4" w:space="0" w:color="auto"/>
            </w:tcBorders>
          </w:tcPr>
          <w:p w:rsidR="00B95CCD" w:rsidRPr="005833DD" w:rsidRDefault="00B95CCD" w:rsidP="00105D40">
            <w:pPr>
              <w:pStyle w:val="LTVerzeichnisDerFragendenLinks"/>
            </w:pPr>
            <w:r w:rsidRPr="00105D40">
              <w:rPr>
                <w:spacing w:val="-6"/>
              </w:rPr>
              <w:t>Osgyan, Verena (BÜNDNIS 90/DIE GRÜNEN)</w:t>
            </w:r>
            <w:r w:rsidRPr="00105D40">
              <w:rPr>
                <w:spacing w:val="-6"/>
              </w:rPr>
              <w:tab/>
              <w:t>19</w:t>
            </w:r>
          </w:p>
        </w:tc>
      </w:tr>
      <w:tr w:rsidR="00B95CCD" w:rsidRPr="005833DD">
        <w:tc>
          <w:tcPr>
            <w:tcW w:w="2500" w:type="pct"/>
            <w:tcBorders>
              <w:right w:val="single" w:sz="4" w:space="0" w:color="auto"/>
            </w:tcBorders>
          </w:tcPr>
          <w:p w:rsidR="00B95CCD" w:rsidRDefault="00B95CCD" w:rsidP="00B95CCD">
            <w:pPr>
              <w:pStyle w:val="LTVerzeichnisDerFragendenLinks"/>
            </w:pPr>
            <w:r>
              <w:t>Aiwanger, Hubert (FREIE WÄHLER)</w:t>
            </w:r>
            <w:r>
              <w:tab/>
              <w:t>25</w:t>
            </w:r>
          </w:p>
        </w:tc>
        <w:tc>
          <w:tcPr>
            <w:tcW w:w="2500" w:type="pct"/>
            <w:tcBorders>
              <w:left w:val="single" w:sz="4" w:space="0" w:color="auto"/>
            </w:tcBorders>
          </w:tcPr>
          <w:p w:rsidR="00B95CCD" w:rsidRPr="005833DD" w:rsidRDefault="00B95CCD" w:rsidP="00B95CCD">
            <w:pPr>
              <w:pStyle w:val="LTVerzeichnisDerFragendenRechts"/>
            </w:pPr>
            <w:r>
              <w:t>Petersen, Kathi (SPD)</w:t>
            </w:r>
            <w:r>
              <w:tab/>
              <w:t>20</w:t>
            </w:r>
          </w:p>
        </w:tc>
      </w:tr>
      <w:tr w:rsidR="00B95CCD" w:rsidRPr="005833DD">
        <w:tc>
          <w:tcPr>
            <w:tcW w:w="2500" w:type="pct"/>
            <w:tcBorders>
              <w:right w:val="single" w:sz="4" w:space="0" w:color="auto"/>
            </w:tcBorders>
          </w:tcPr>
          <w:p w:rsidR="00B95CCD" w:rsidRDefault="00B95CCD" w:rsidP="00B95CCD">
            <w:pPr>
              <w:pStyle w:val="LTVerzeichnisDerFragendenLinks"/>
            </w:pPr>
            <w:r>
              <w:t>Aures, Inge (SPD)</w:t>
            </w:r>
            <w:r>
              <w:tab/>
              <w:t>17</w:t>
            </w:r>
          </w:p>
        </w:tc>
        <w:tc>
          <w:tcPr>
            <w:tcW w:w="2500" w:type="pct"/>
            <w:tcBorders>
              <w:left w:val="single" w:sz="4" w:space="0" w:color="auto"/>
            </w:tcBorders>
          </w:tcPr>
          <w:p w:rsidR="00B95CCD" w:rsidRPr="005833DD" w:rsidRDefault="00B95CCD" w:rsidP="00B95CCD">
            <w:pPr>
              <w:pStyle w:val="LTVerzeichnisDerFragendenRechts"/>
            </w:pPr>
            <w:r>
              <w:t>Prof. Dr. Piazolo, Michael (FREIE WÄHLER)</w:t>
            </w:r>
            <w:r>
              <w:tab/>
              <w:t>21</w:t>
            </w:r>
          </w:p>
        </w:tc>
      </w:tr>
      <w:tr w:rsidR="00B95CCD" w:rsidRPr="005833DD">
        <w:tc>
          <w:tcPr>
            <w:tcW w:w="2500" w:type="pct"/>
            <w:tcBorders>
              <w:right w:val="single" w:sz="4" w:space="0" w:color="auto"/>
            </w:tcBorders>
          </w:tcPr>
          <w:p w:rsidR="00B95CCD" w:rsidRPr="00105D40" w:rsidRDefault="00B95CCD" w:rsidP="00B95CCD">
            <w:pPr>
              <w:pStyle w:val="LTVerzeichnisDerFragendenLinks"/>
              <w:rPr>
                <w:spacing w:val="-14"/>
              </w:rPr>
            </w:pPr>
            <w:r w:rsidRPr="00105D40">
              <w:rPr>
                <w:spacing w:val="-14"/>
              </w:rPr>
              <w:t>Prof. (Univ. Lima) Dr. Bauer, Peter (FREIE WÄHLER)</w:t>
            </w:r>
            <w:r w:rsidRPr="00105D40">
              <w:rPr>
                <w:spacing w:val="-14"/>
              </w:rPr>
              <w:tab/>
              <w:t>27</w:t>
            </w:r>
          </w:p>
        </w:tc>
        <w:tc>
          <w:tcPr>
            <w:tcW w:w="2500" w:type="pct"/>
            <w:tcBorders>
              <w:left w:val="single" w:sz="4" w:space="0" w:color="auto"/>
            </w:tcBorders>
          </w:tcPr>
          <w:p w:rsidR="00B95CCD" w:rsidRPr="005833DD" w:rsidRDefault="00B95CCD" w:rsidP="00B95CCD">
            <w:pPr>
              <w:pStyle w:val="LTVerzeichnisDerFragendenRechts"/>
            </w:pPr>
            <w:r>
              <w:t>Rinderspacher, Markus (SPD)</w:t>
            </w:r>
            <w:r>
              <w:tab/>
              <w:t>9</w:t>
            </w:r>
          </w:p>
        </w:tc>
      </w:tr>
      <w:tr w:rsidR="00B95CCD" w:rsidRPr="005833DD">
        <w:tc>
          <w:tcPr>
            <w:tcW w:w="2500" w:type="pct"/>
            <w:tcBorders>
              <w:right w:val="single" w:sz="4" w:space="0" w:color="auto"/>
            </w:tcBorders>
          </w:tcPr>
          <w:p w:rsidR="00B95CCD" w:rsidRDefault="00B95CCD" w:rsidP="00B95CCD">
            <w:pPr>
              <w:pStyle w:val="LTVerzeichnisDerFragendenLinks"/>
            </w:pPr>
            <w:r>
              <w:t>Biedefeld, Susann (SPD)</w:t>
            </w:r>
            <w:r>
              <w:tab/>
              <w:t>1</w:t>
            </w:r>
          </w:p>
        </w:tc>
        <w:tc>
          <w:tcPr>
            <w:tcW w:w="2500" w:type="pct"/>
            <w:tcBorders>
              <w:left w:val="single" w:sz="4" w:space="0" w:color="auto"/>
            </w:tcBorders>
          </w:tcPr>
          <w:p w:rsidR="00B95CCD" w:rsidRPr="005833DD" w:rsidRDefault="00B95CCD" w:rsidP="00B95CCD">
            <w:pPr>
              <w:pStyle w:val="LTVerzeichnisDerFragendenRechts"/>
            </w:pPr>
            <w:r>
              <w:t>Ritter, Florian (SPD)</w:t>
            </w:r>
            <w:r>
              <w:tab/>
              <w:t>10</w:t>
            </w:r>
          </w:p>
        </w:tc>
      </w:tr>
      <w:tr w:rsidR="00B95CCD" w:rsidRPr="005833DD">
        <w:tc>
          <w:tcPr>
            <w:tcW w:w="2500" w:type="pct"/>
            <w:tcBorders>
              <w:right w:val="single" w:sz="4" w:space="0" w:color="auto"/>
            </w:tcBorders>
          </w:tcPr>
          <w:p w:rsidR="00B95CCD" w:rsidRDefault="00105D40" w:rsidP="00B95CCD">
            <w:pPr>
              <w:pStyle w:val="LTVerzeichnisDerFragendenLinks"/>
            </w:pPr>
            <w:r>
              <w:t>von B</w:t>
            </w:r>
            <w:r w:rsidR="00B95CCD">
              <w:t>runn, Florian (SPD)</w:t>
            </w:r>
            <w:r w:rsidR="00B95CCD">
              <w:tab/>
              <w:t>16</w:t>
            </w:r>
          </w:p>
        </w:tc>
        <w:tc>
          <w:tcPr>
            <w:tcW w:w="2500" w:type="pct"/>
            <w:tcBorders>
              <w:left w:val="single" w:sz="4" w:space="0" w:color="auto"/>
            </w:tcBorders>
          </w:tcPr>
          <w:p w:rsidR="00B95CCD" w:rsidRPr="00105D40" w:rsidRDefault="00B95CCD" w:rsidP="00105D40">
            <w:pPr>
              <w:pStyle w:val="LTVerzeichnisDerFragendenLinks"/>
              <w:rPr>
                <w:spacing w:val="-6"/>
              </w:rPr>
            </w:pPr>
            <w:r w:rsidRPr="00105D40">
              <w:rPr>
                <w:spacing w:val="-6"/>
              </w:rPr>
              <w:t>Dr. Runge, Martin (BÜNDNIS 90/DIE GRÜNEN)</w:t>
            </w:r>
            <w:r w:rsidRPr="00105D40">
              <w:rPr>
                <w:spacing w:val="-6"/>
              </w:rPr>
              <w:tab/>
              <w:t>11</w:t>
            </w:r>
          </w:p>
        </w:tc>
      </w:tr>
      <w:tr w:rsidR="00B95CCD" w:rsidRPr="005833DD">
        <w:tc>
          <w:tcPr>
            <w:tcW w:w="2500" w:type="pct"/>
            <w:tcBorders>
              <w:right w:val="single" w:sz="4" w:space="0" w:color="auto"/>
            </w:tcBorders>
          </w:tcPr>
          <w:p w:rsidR="00B95CCD" w:rsidRDefault="00B95CCD" w:rsidP="00B95CCD">
            <w:pPr>
              <w:pStyle w:val="LTVerzeichnisDerFragendenLinks"/>
            </w:pPr>
            <w:r>
              <w:t>Celina, Kerstin (BÜNDNIS 90/DIE GRÜNEN)</w:t>
            </w:r>
            <w:r>
              <w:tab/>
              <w:t>2</w:t>
            </w:r>
          </w:p>
        </w:tc>
        <w:tc>
          <w:tcPr>
            <w:tcW w:w="2500" w:type="pct"/>
            <w:tcBorders>
              <w:left w:val="single" w:sz="4" w:space="0" w:color="auto"/>
            </w:tcBorders>
          </w:tcPr>
          <w:p w:rsidR="00B95CCD" w:rsidRPr="005833DD" w:rsidRDefault="00B95CCD" w:rsidP="00B95CCD">
            <w:pPr>
              <w:pStyle w:val="LTVerzeichnisDerFragendenRechts"/>
            </w:pPr>
            <w:r>
              <w:t>Sengl, Gisela (BÜNDNIS 90/DIE GRÜNEN)</w:t>
            </w:r>
            <w:r>
              <w:tab/>
              <w:t>30</w:t>
            </w:r>
          </w:p>
        </w:tc>
      </w:tr>
      <w:tr w:rsidR="00B95CCD" w:rsidRPr="005833DD">
        <w:tc>
          <w:tcPr>
            <w:tcW w:w="2500" w:type="pct"/>
            <w:tcBorders>
              <w:right w:val="single" w:sz="4" w:space="0" w:color="auto"/>
            </w:tcBorders>
          </w:tcPr>
          <w:p w:rsidR="00B95CCD" w:rsidRDefault="00B95CCD" w:rsidP="00B95CCD">
            <w:pPr>
              <w:pStyle w:val="LTVerzeichnisDerFragendenLinks"/>
            </w:pPr>
            <w:r>
              <w:t>Dr. Fahn, Hans Jürgen (FREIE WÄHLER)</w:t>
            </w:r>
            <w:r>
              <w:tab/>
              <w:t>3</w:t>
            </w:r>
          </w:p>
        </w:tc>
        <w:tc>
          <w:tcPr>
            <w:tcW w:w="2500" w:type="pct"/>
            <w:tcBorders>
              <w:left w:val="single" w:sz="4" w:space="0" w:color="auto"/>
            </w:tcBorders>
          </w:tcPr>
          <w:p w:rsidR="00B95CCD" w:rsidRPr="005833DD" w:rsidRDefault="00B95CCD" w:rsidP="00B95CCD">
            <w:pPr>
              <w:pStyle w:val="LTVerzeichnisDerFragendenRechts"/>
            </w:pPr>
            <w:r>
              <w:t>Sonnenholzner, Kathrin (SPD)</w:t>
            </w:r>
            <w:r>
              <w:tab/>
              <w:t>35</w:t>
            </w:r>
          </w:p>
        </w:tc>
      </w:tr>
      <w:tr w:rsidR="00B95CCD" w:rsidRPr="005833DD">
        <w:tc>
          <w:tcPr>
            <w:tcW w:w="2500" w:type="pct"/>
            <w:tcBorders>
              <w:right w:val="single" w:sz="4" w:space="0" w:color="auto"/>
            </w:tcBorders>
          </w:tcPr>
          <w:p w:rsidR="00B95CCD" w:rsidRDefault="00B95CCD" w:rsidP="00B95CCD">
            <w:pPr>
              <w:pStyle w:val="LTVerzeichnisDerFragendenLinks"/>
            </w:pPr>
            <w:r>
              <w:t>Güll, Martin (SPD)</w:t>
            </w:r>
            <w:r>
              <w:tab/>
              <w:t>4</w:t>
            </w:r>
          </w:p>
        </w:tc>
        <w:tc>
          <w:tcPr>
            <w:tcW w:w="2500" w:type="pct"/>
            <w:tcBorders>
              <w:left w:val="single" w:sz="4" w:space="0" w:color="auto"/>
            </w:tcBorders>
          </w:tcPr>
          <w:p w:rsidR="00B95CCD" w:rsidRPr="005833DD" w:rsidRDefault="009942B9" w:rsidP="00B95CCD">
            <w:pPr>
              <w:pStyle w:val="LTVerzeichnisDerFragendenRechts"/>
            </w:pPr>
            <w:r>
              <w:t>Stamm, Claudia (f</w:t>
            </w:r>
            <w:r w:rsidR="00B95CCD">
              <w:t>raktionslos)</w:t>
            </w:r>
            <w:r w:rsidR="00B95CCD">
              <w:tab/>
              <w:t>12</w:t>
            </w:r>
          </w:p>
        </w:tc>
      </w:tr>
      <w:tr w:rsidR="00B95CCD" w:rsidRPr="005833DD">
        <w:tc>
          <w:tcPr>
            <w:tcW w:w="2500" w:type="pct"/>
            <w:tcBorders>
              <w:right w:val="single" w:sz="4" w:space="0" w:color="auto"/>
            </w:tcBorders>
          </w:tcPr>
          <w:p w:rsidR="00B95CCD" w:rsidRDefault="00B95CCD" w:rsidP="00B95CCD">
            <w:pPr>
              <w:pStyle w:val="LTVerzeichnisDerFragendenLinks"/>
            </w:pPr>
            <w:r>
              <w:t>Dr. Herz, Leopold (FREIE WÄHLER)</w:t>
            </w:r>
            <w:r>
              <w:tab/>
              <w:t>5</w:t>
            </w:r>
          </w:p>
        </w:tc>
        <w:tc>
          <w:tcPr>
            <w:tcW w:w="2500" w:type="pct"/>
            <w:tcBorders>
              <w:left w:val="single" w:sz="4" w:space="0" w:color="auto"/>
            </w:tcBorders>
          </w:tcPr>
          <w:p w:rsidR="00B95CCD" w:rsidRPr="005833DD" w:rsidRDefault="00B95CCD" w:rsidP="00B95CCD">
            <w:pPr>
              <w:pStyle w:val="LTVerzeichnisDerFragendenRechts"/>
            </w:pPr>
            <w:r>
              <w:t>Streibl, Florian (FREIE WÄHLER)</w:t>
            </w:r>
            <w:r>
              <w:tab/>
              <w:t>26</w:t>
            </w:r>
          </w:p>
        </w:tc>
      </w:tr>
      <w:tr w:rsidR="00B95CCD" w:rsidRPr="005833DD">
        <w:tc>
          <w:tcPr>
            <w:tcW w:w="2500" w:type="pct"/>
            <w:tcBorders>
              <w:right w:val="single" w:sz="4" w:space="0" w:color="auto"/>
            </w:tcBorders>
          </w:tcPr>
          <w:p w:rsidR="00B95CCD" w:rsidRDefault="00B95CCD" w:rsidP="00B95CCD">
            <w:pPr>
              <w:pStyle w:val="LTVerzeichnisDerFragendenLinks"/>
            </w:pPr>
            <w:r>
              <w:t>Kamm, Christine (BÜNDNIS 90/DIE GRÜNEN)</w:t>
            </w:r>
            <w:r>
              <w:tab/>
              <w:t>6</w:t>
            </w:r>
          </w:p>
        </w:tc>
        <w:tc>
          <w:tcPr>
            <w:tcW w:w="2500" w:type="pct"/>
            <w:tcBorders>
              <w:left w:val="single" w:sz="4" w:space="0" w:color="auto"/>
            </w:tcBorders>
          </w:tcPr>
          <w:p w:rsidR="00B95CCD" w:rsidRPr="005833DD" w:rsidRDefault="00B95CCD" w:rsidP="00B95CCD">
            <w:pPr>
              <w:pStyle w:val="LTVerzeichnisDerFragendenRechts"/>
            </w:pPr>
            <w:r>
              <w:t>Strobl, Reinhold (SPD)</w:t>
            </w:r>
            <w:r>
              <w:tab/>
              <w:t>31</w:t>
            </w:r>
          </w:p>
        </w:tc>
      </w:tr>
      <w:tr w:rsidR="00B95CCD" w:rsidRPr="005833DD">
        <w:tc>
          <w:tcPr>
            <w:tcW w:w="2500" w:type="pct"/>
            <w:tcBorders>
              <w:right w:val="single" w:sz="4" w:space="0" w:color="auto"/>
            </w:tcBorders>
          </w:tcPr>
          <w:p w:rsidR="00B95CCD" w:rsidRDefault="00B95CCD" w:rsidP="00B95CCD">
            <w:pPr>
              <w:pStyle w:val="LTVerzeichnisDerFragendenLinks"/>
            </w:pPr>
            <w:r>
              <w:t>Knoblauch, Günther (SPD)</w:t>
            </w:r>
            <w:r>
              <w:tab/>
              <w:t>7</w:t>
            </w:r>
          </w:p>
        </w:tc>
        <w:tc>
          <w:tcPr>
            <w:tcW w:w="2500" w:type="pct"/>
            <w:tcBorders>
              <w:left w:val="single" w:sz="4" w:space="0" w:color="auto"/>
            </w:tcBorders>
          </w:tcPr>
          <w:p w:rsidR="00B95CCD" w:rsidRPr="00105D40" w:rsidRDefault="00B95CCD" w:rsidP="00105D40">
            <w:pPr>
              <w:pStyle w:val="LTVerzeichnisDerFragendenLinks"/>
              <w:rPr>
                <w:spacing w:val="-6"/>
              </w:rPr>
            </w:pPr>
            <w:r w:rsidRPr="00105D40">
              <w:rPr>
                <w:spacing w:val="-6"/>
              </w:rPr>
              <w:t>Stümpfig, Martin (BÜNDNIS 90/DIE GRÜNEN)</w:t>
            </w:r>
            <w:r w:rsidRPr="00105D40">
              <w:rPr>
                <w:spacing w:val="-6"/>
              </w:rPr>
              <w:tab/>
              <w:t>22</w:t>
            </w:r>
          </w:p>
        </w:tc>
      </w:tr>
      <w:tr w:rsidR="00B95CCD" w:rsidRPr="005833DD">
        <w:tc>
          <w:tcPr>
            <w:tcW w:w="2500" w:type="pct"/>
            <w:tcBorders>
              <w:right w:val="single" w:sz="4" w:space="0" w:color="auto"/>
            </w:tcBorders>
          </w:tcPr>
          <w:p w:rsidR="00B95CCD" w:rsidRDefault="00B95CCD" w:rsidP="00B95CCD">
            <w:pPr>
              <w:pStyle w:val="LTVerzeichnisDerFragendenLinks"/>
            </w:pPr>
            <w:r>
              <w:t>Kraus, Nikolaus (FREIE WÄHLER)</w:t>
            </w:r>
            <w:r>
              <w:tab/>
              <w:t>28</w:t>
            </w:r>
          </w:p>
        </w:tc>
        <w:tc>
          <w:tcPr>
            <w:tcW w:w="2500" w:type="pct"/>
            <w:tcBorders>
              <w:left w:val="single" w:sz="4" w:space="0" w:color="auto"/>
            </w:tcBorders>
          </w:tcPr>
          <w:p w:rsidR="00B95CCD" w:rsidRPr="005833DD" w:rsidRDefault="00B95CCD" w:rsidP="00B95CCD">
            <w:pPr>
              <w:pStyle w:val="LTVerzeichnisDerFragendenRechts"/>
            </w:pPr>
            <w:r>
              <w:t>Waldmann, Ruth (SPD)</w:t>
            </w:r>
            <w:r>
              <w:tab/>
              <w:t>23</w:t>
            </w:r>
          </w:p>
        </w:tc>
      </w:tr>
      <w:tr w:rsidR="00B95CCD" w:rsidRPr="005833DD">
        <w:tc>
          <w:tcPr>
            <w:tcW w:w="2500" w:type="pct"/>
            <w:tcBorders>
              <w:right w:val="single" w:sz="4" w:space="0" w:color="auto"/>
            </w:tcBorders>
          </w:tcPr>
          <w:p w:rsidR="00B95CCD" w:rsidRDefault="00B95CCD" w:rsidP="00B95CCD">
            <w:pPr>
              <w:pStyle w:val="LTVerzeichnisDerFragendenLinks"/>
            </w:pPr>
            <w:r>
              <w:t>Leiner, Ulrich (BÜNDNIS 90/DIE GRÜNEN)</w:t>
            </w:r>
            <w:r>
              <w:tab/>
              <w:t>34</w:t>
            </w:r>
          </w:p>
        </w:tc>
        <w:tc>
          <w:tcPr>
            <w:tcW w:w="2500" w:type="pct"/>
            <w:tcBorders>
              <w:left w:val="single" w:sz="4" w:space="0" w:color="auto"/>
            </w:tcBorders>
          </w:tcPr>
          <w:p w:rsidR="00B95CCD" w:rsidRPr="005833DD" w:rsidRDefault="00B95CCD" w:rsidP="00B95CCD">
            <w:pPr>
              <w:pStyle w:val="LTVerzeichnisDerFragendenRechts"/>
            </w:pPr>
            <w:r>
              <w:t>Weikert, Angelika (SPD)</w:t>
            </w:r>
            <w:r>
              <w:tab/>
              <w:t>13</w:t>
            </w:r>
          </w:p>
        </w:tc>
      </w:tr>
      <w:tr w:rsidR="00B95CCD" w:rsidRPr="005833DD">
        <w:tc>
          <w:tcPr>
            <w:tcW w:w="2500" w:type="pct"/>
            <w:tcBorders>
              <w:right w:val="single" w:sz="4" w:space="0" w:color="auto"/>
            </w:tcBorders>
          </w:tcPr>
          <w:p w:rsidR="00B95CCD" w:rsidRPr="00105D40" w:rsidRDefault="00B95CCD" w:rsidP="00B95CCD">
            <w:pPr>
              <w:pStyle w:val="LTVerzeichnisDerFragendenLinks"/>
              <w:rPr>
                <w:spacing w:val="-10"/>
              </w:rPr>
            </w:pPr>
            <w:r w:rsidRPr="00105D40">
              <w:rPr>
                <w:spacing w:val="-10"/>
              </w:rPr>
              <w:t>Dr. Magerl, Christian (BÜNDNIS 90/DIE GRÜNEN)</w:t>
            </w:r>
            <w:r w:rsidRPr="00105D40">
              <w:rPr>
                <w:spacing w:val="-10"/>
              </w:rPr>
              <w:tab/>
              <w:t>29</w:t>
            </w:r>
          </w:p>
        </w:tc>
        <w:tc>
          <w:tcPr>
            <w:tcW w:w="2500" w:type="pct"/>
            <w:tcBorders>
              <w:left w:val="single" w:sz="4" w:space="0" w:color="auto"/>
            </w:tcBorders>
          </w:tcPr>
          <w:p w:rsidR="00B95CCD" w:rsidRPr="005833DD" w:rsidRDefault="00B95CCD" w:rsidP="00B95CCD">
            <w:pPr>
              <w:pStyle w:val="LTVerzeichnisDerFragendenRechts"/>
            </w:pPr>
            <w:r>
              <w:t>Woerlein, Herbert (SPD)</w:t>
            </w:r>
            <w:r>
              <w:tab/>
              <w:t>32</w:t>
            </w:r>
          </w:p>
        </w:tc>
      </w:tr>
      <w:tr w:rsidR="00B95CCD" w:rsidRPr="005833DD">
        <w:tc>
          <w:tcPr>
            <w:tcW w:w="2500" w:type="pct"/>
            <w:tcBorders>
              <w:right w:val="single" w:sz="4" w:space="0" w:color="auto"/>
            </w:tcBorders>
          </w:tcPr>
          <w:p w:rsidR="00B95CCD" w:rsidRDefault="00B95CCD" w:rsidP="00B95CCD">
            <w:pPr>
              <w:pStyle w:val="LTVerzeichnisDerFragendenLinks"/>
            </w:pPr>
            <w:r>
              <w:t>Meyer, Peter (FREIE WÄHLER)</w:t>
            </w:r>
            <w:r>
              <w:tab/>
              <w:t>18</w:t>
            </w:r>
          </w:p>
        </w:tc>
        <w:tc>
          <w:tcPr>
            <w:tcW w:w="2500" w:type="pct"/>
            <w:tcBorders>
              <w:left w:val="single" w:sz="4" w:space="0" w:color="auto"/>
            </w:tcBorders>
          </w:tcPr>
          <w:p w:rsidR="00B95CCD" w:rsidRPr="005833DD" w:rsidRDefault="00B95CCD" w:rsidP="00B95CCD">
            <w:pPr>
              <w:pStyle w:val="LTVerzeichnisDerFragendenRechts"/>
            </w:pPr>
            <w:r>
              <w:t>Zacharias, Isabell (SPD)</w:t>
            </w:r>
            <w:r>
              <w:tab/>
              <w:t>14</w:t>
            </w:r>
          </w:p>
        </w:tc>
      </w:tr>
      <w:tr w:rsidR="00B95CCD" w:rsidRPr="005833DD">
        <w:tc>
          <w:tcPr>
            <w:tcW w:w="2500" w:type="pct"/>
            <w:tcBorders>
              <w:right w:val="single" w:sz="4" w:space="0" w:color="auto"/>
            </w:tcBorders>
          </w:tcPr>
          <w:p w:rsidR="00B95CCD" w:rsidRDefault="00B95CCD" w:rsidP="00B95CCD">
            <w:pPr>
              <w:pStyle w:val="LTVerzeichnisDerFragendenLinks"/>
            </w:pPr>
            <w:r>
              <w:t>Mistol, Jürgen (BÜNDNIS 90/DIE GRÜNEN)</w:t>
            </w:r>
            <w:r>
              <w:tab/>
              <w:t>8</w:t>
            </w:r>
          </w:p>
        </w:tc>
        <w:tc>
          <w:tcPr>
            <w:tcW w:w="2500" w:type="pct"/>
            <w:tcBorders>
              <w:left w:val="single" w:sz="4" w:space="0" w:color="auto"/>
            </w:tcBorders>
          </w:tcPr>
          <w:p w:rsidR="00B95CCD" w:rsidRPr="005833DD" w:rsidRDefault="00B95CCD" w:rsidP="00B95CCD">
            <w:pPr>
              <w:pStyle w:val="LTVerzeichnisDerFragendenRechts"/>
            </w:pPr>
            <w:r>
              <w:t>Zierer, Benno (FREIE WÄHLER)</w:t>
            </w:r>
            <w:r>
              <w:tab/>
              <w:t>15</w:t>
            </w:r>
          </w:p>
        </w:tc>
      </w:tr>
      <w:tr w:rsidR="00A42EAA" w:rsidRPr="005833DD">
        <w:tc>
          <w:tcPr>
            <w:tcW w:w="2500" w:type="pct"/>
            <w:tcBorders>
              <w:right w:val="single" w:sz="4" w:space="0" w:color="auto"/>
            </w:tcBorders>
          </w:tcPr>
          <w:p w:rsidR="00A42EAA" w:rsidRPr="00105D40" w:rsidRDefault="00B95CCD" w:rsidP="00B95CCD">
            <w:pPr>
              <w:pStyle w:val="LTVerzeichnisDerFragendenLinks"/>
              <w:rPr>
                <w:spacing w:val="-6"/>
              </w:rPr>
            </w:pPr>
            <w:r w:rsidRPr="00105D40">
              <w:rPr>
                <w:spacing w:val="-6"/>
              </w:rPr>
              <w:t>Mütze, Thomas (BÜNDNIS 90/DIE GRÜNEN)</w:t>
            </w:r>
            <w:r w:rsidRPr="00105D40">
              <w:rPr>
                <w:spacing w:val="-6"/>
              </w:rPr>
              <w:tab/>
              <w:t>33</w:t>
            </w:r>
          </w:p>
        </w:tc>
        <w:tc>
          <w:tcPr>
            <w:tcW w:w="2500" w:type="pct"/>
            <w:tcBorders>
              <w:left w:val="single" w:sz="4" w:space="0" w:color="auto"/>
            </w:tcBorders>
          </w:tcPr>
          <w:p w:rsidR="00A42EAA" w:rsidRPr="005833DD" w:rsidRDefault="00A42EAA" w:rsidP="0077709E">
            <w:pPr>
              <w:tabs>
                <w:tab w:val="right" w:pos="4427"/>
              </w:tabs>
              <w:rPr>
                <w:i/>
              </w:rPr>
            </w:pPr>
          </w:p>
        </w:tc>
      </w:tr>
    </w:tbl>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B95CCD"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508873838" w:history="1">
        <w:r w:rsidR="00B95CCD" w:rsidRPr="00B217BB">
          <w:rPr>
            <w:rStyle w:val="Hyperlink"/>
            <w:noProof/>
          </w:rPr>
          <w:t>Geschäftsbereich des Staatsministeriums des Innern, für Bau und Verkehr</w:t>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39" w:history="1">
        <w:r w:rsidR="00B95CCD" w:rsidRPr="00B217BB">
          <w:rPr>
            <w:rStyle w:val="Hyperlink"/>
          </w:rPr>
          <w:t>Biedefeld, Susann (SPD)</w:t>
        </w:r>
        <w:r w:rsidR="00B95CCD" w:rsidRPr="00B217BB">
          <w:rPr>
            <w:rStyle w:val="Hyperlink"/>
          </w:rPr>
          <w:br/>
          <w:t>Fördermittel für Feuerwehren</w:t>
        </w:r>
        <w:r w:rsidR="00B95CCD">
          <w:rPr>
            <w:webHidden/>
          </w:rPr>
          <w:tab/>
        </w:r>
        <w:r w:rsidR="00B95CCD">
          <w:rPr>
            <w:webHidden/>
          </w:rPr>
          <w:fldChar w:fldCharType="begin"/>
        </w:r>
        <w:r w:rsidR="00B95CCD">
          <w:rPr>
            <w:webHidden/>
          </w:rPr>
          <w:instrText xml:space="preserve"> PAGEREF _Toc508873839 \h </w:instrText>
        </w:r>
        <w:r w:rsidR="00B95CCD">
          <w:rPr>
            <w:webHidden/>
          </w:rPr>
        </w:r>
        <w:r w:rsidR="00B95CCD">
          <w:rPr>
            <w:webHidden/>
          </w:rPr>
          <w:fldChar w:fldCharType="separate"/>
        </w:r>
        <w:r w:rsidR="00F57B96">
          <w:rPr>
            <w:webHidden/>
          </w:rPr>
          <w:t>1</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40" w:history="1">
        <w:r w:rsidR="00B95CCD" w:rsidRPr="00B217BB">
          <w:rPr>
            <w:rStyle w:val="Hyperlink"/>
          </w:rPr>
          <w:t>Celina, Kerstin (BÜNDNIS 90/DIE GRÜNEN)</w:t>
        </w:r>
        <w:r w:rsidR="00B95CCD" w:rsidRPr="00B217BB">
          <w:rPr>
            <w:rStyle w:val="Hyperlink"/>
          </w:rPr>
          <w:br/>
          <w:t>Geplantes Design-Hotel in Volkach</w:t>
        </w:r>
        <w:r w:rsidR="00B95CCD">
          <w:rPr>
            <w:webHidden/>
          </w:rPr>
          <w:tab/>
        </w:r>
        <w:r w:rsidR="00B95CCD">
          <w:rPr>
            <w:webHidden/>
          </w:rPr>
          <w:fldChar w:fldCharType="begin"/>
        </w:r>
        <w:r w:rsidR="00B95CCD">
          <w:rPr>
            <w:webHidden/>
          </w:rPr>
          <w:instrText xml:space="preserve"> PAGEREF _Toc508873840 \h </w:instrText>
        </w:r>
        <w:r w:rsidR="00B95CCD">
          <w:rPr>
            <w:webHidden/>
          </w:rPr>
        </w:r>
        <w:r w:rsidR="00B95CCD">
          <w:rPr>
            <w:webHidden/>
          </w:rPr>
          <w:fldChar w:fldCharType="separate"/>
        </w:r>
        <w:r w:rsidR="00F57B96">
          <w:rPr>
            <w:webHidden/>
          </w:rPr>
          <w:t>2</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41" w:history="1">
        <w:r w:rsidR="00B95CCD" w:rsidRPr="00B217BB">
          <w:rPr>
            <w:rStyle w:val="Hyperlink"/>
          </w:rPr>
          <w:t>Dr. Fahn, Hans Jürgen (FREIE WÄHLER)</w:t>
        </w:r>
        <w:r w:rsidR="00B95CCD" w:rsidRPr="00B217BB">
          <w:rPr>
            <w:rStyle w:val="Hyperlink"/>
          </w:rPr>
          <w:br/>
          <w:t>Ziel- und Quellverkehr in Stadtpro</w:t>
        </w:r>
        <w:r w:rsidR="00105D40">
          <w:rPr>
            <w:rStyle w:val="Hyperlink"/>
          </w:rPr>
          <w:softHyphen/>
        </w:r>
        <w:r w:rsidR="00B95CCD" w:rsidRPr="00B217BB">
          <w:rPr>
            <w:rStyle w:val="Hyperlink"/>
          </w:rPr>
          <w:t>zelten</w:t>
        </w:r>
        <w:r w:rsidR="00B95CCD">
          <w:rPr>
            <w:webHidden/>
          </w:rPr>
          <w:tab/>
        </w:r>
        <w:r w:rsidR="00B95CCD">
          <w:rPr>
            <w:webHidden/>
          </w:rPr>
          <w:fldChar w:fldCharType="begin"/>
        </w:r>
        <w:r w:rsidR="00B95CCD">
          <w:rPr>
            <w:webHidden/>
          </w:rPr>
          <w:instrText xml:space="preserve"> PAGEREF _Toc508873841 \h </w:instrText>
        </w:r>
        <w:r w:rsidR="00B95CCD">
          <w:rPr>
            <w:webHidden/>
          </w:rPr>
        </w:r>
        <w:r w:rsidR="00B95CCD">
          <w:rPr>
            <w:webHidden/>
          </w:rPr>
          <w:fldChar w:fldCharType="separate"/>
        </w:r>
        <w:r w:rsidR="00F57B96">
          <w:rPr>
            <w:webHidden/>
          </w:rPr>
          <w:t>2</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42" w:history="1">
        <w:r w:rsidR="00B95CCD" w:rsidRPr="00B217BB">
          <w:rPr>
            <w:rStyle w:val="Hyperlink"/>
          </w:rPr>
          <w:t>Güll, Martin (SPD)</w:t>
        </w:r>
        <w:r w:rsidR="00B95CCD" w:rsidRPr="00B217BB">
          <w:rPr>
            <w:rStyle w:val="Hyperlink"/>
          </w:rPr>
          <w:br/>
          <w:t>Neubau der Polizeiinspektion Dachau</w:t>
        </w:r>
        <w:r w:rsidR="00B95CCD">
          <w:rPr>
            <w:webHidden/>
          </w:rPr>
          <w:tab/>
        </w:r>
        <w:r w:rsidR="00B95CCD">
          <w:rPr>
            <w:webHidden/>
          </w:rPr>
          <w:fldChar w:fldCharType="begin"/>
        </w:r>
        <w:r w:rsidR="00B95CCD">
          <w:rPr>
            <w:webHidden/>
          </w:rPr>
          <w:instrText xml:space="preserve"> PAGEREF _Toc508873842 \h </w:instrText>
        </w:r>
        <w:r w:rsidR="00B95CCD">
          <w:rPr>
            <w:webHidden/>
          </w:rPr>
        </w:r>
        <w:r w:rsidR="00B95CCD">
          <w:rPr>
            <w:webHidden/>
          </w:rPr>
          <w:fldChar w:fldCharType="separate"/>
        </w:r>
        <w:r w:rsidR="00F57B96">
          <w:rPr>
            <w:webHidden/>
          </w:rPr>
          <w:t>3</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43" w:history="1">
        <w:r w:rsidR="00B95CCD" w:rsidRPr="00B217BB">
          <w:rPr>
            <w:rStyle w:val="Hyperlink"/>
          </w:rPr>
          <w:t>Dr. Herz, Leopold (FREIE WÄHLER)</w:t>
        </w:r>
        <w:r w:rsidR="00B95CCD" w:rsidRPr="00B217BB">
          <w:rPr>
            <w:rStyle w:val="Hyperlink"/>
          </w:rPr>
          <w:br/>
          <w:t>Besoldung von Bürgermeisterinnen und Bürgermeistern</w:t>
        </w:r>
        <w:r w:rsidR="00B95CCD">
          <w:rPr>
            <w:webHidden/>
          </w:rPr>
          <w:tab/>
        </w:r>
        <w:r w:rsidR="00B95CCD">
          <w:rPr>
            <w:webHidden/>
          </w:rPr>
          <w:fldChar w:fldCharType="begin"/>
        </w:r>
        <w:r w:rsidR="00B95CCD">
          <w:rPr>
            <w:webHidden/>
          </w:rPr>
          <w:instrText xml:space="preserve"> PAGEREF _Toc508873843 \h </w:instrText>
        </w:r>
        <w:r w:rsidR="00B95CCD">
          <w:rPr>
            <w:webHidden/>
          </w:rPr>
        </w:r>
        <w:r w:rsidR="00B95CCD">
          <w:rPr>
            <w:webHidden/>
          </w:rPr>
          <w:fldChar w:fldCharType="separate"/>
        </w:r>
        <w:r w:rsidR="00F57B96">
          <w:rPr>
            <w:webHidden/>
          </w:rPr>
          <w:t>4</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44" w:history="1">
        <w:r w:rsidR="00B95CCD" w:rsidRPr="00B217BB">
          <w:rPr>
            <w:rStyle w:val="Hyperlink"/>
          </w:rPr>
          <w:t>Kamm, Christine (BÜNDNIS 90/DIE GRÜNEN)</w:t>
        </w:r>
        <w:r w:rsidR="00B95CCD" w:rsidRPr="00B217BB">
          <w:rPr>
            <w:rStyle w:val="Hyperlink"/>
          </w:rPr>
          <w:br/>
          <w:t>Abschiebung aus einer Förderschule für Kinder und Jugendliche</w:t>
        </w:r>
        <w:r w:rsidR="00B95CCD">
          <w:rPr>
            <w:webHidden/>
          </w:rPr>
          <w:tab/>
        </w:r>
        <w:r w:rsidR="00B95CCD">
          <w:rPr>
            <w:webHidden/>
          </w:rPr>
          <w:fldChar w:fldCharType="begin"/>
        </w:r>
        <w:r w:rsidR="00B95CCD">
          <w:rPr>
            <w:webHidden/>
          </w:rPr>
          <w:instrText xml:space="preserve"> PAGEREF _Toc508873844 \h </w:instrText>
        </w:r>
        <w:r w:rsidR="00B95CCD">
          <w:rPr>
            <w:webHidden/>
          </w:rPr>
        </w:r>
        <w:r w:rsidR="00B95CCD">
          <w:rPr>
            <w:webHidden/>
          </w:rPr>
          <w:fldChar w:fldCharType="separate"/>
        </w:r>
        <w:r w:rsidR="00F57B96">
          <w:rPr>
            <w:webHidden/>
          </w:rPr>
          <w:t>4</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45" w:history="1">
        <w:r w:rsidR="00B95CCD" w:rsidRPr="00B217BB">
          <w:rPr>
            <w:rStyle w:val="Hyperlink"/>
          </w:rPr>
          <w:t>Knoblauch, Günther (SPD)</w:t>
        </w:r>
        <w:r w:rsidR="00B95CCD" w:rsidRPr="00B217BB">
          <w:rPr>
            <w:rStyle w:val="Hyperlink"/>
          </w:rPr>
          <w:br/>
          <w:t>Ausbau der Bundesstraße 20: Teil</w:t>
        </w:r>
        <w:r w:rsidR="00105D40">
          <w:rPr>
            <w:rStyle w:val="Hyperlink"/>
          </w:rPr>
          <w:softHyphen/>
        </w:r>
        <w:r w:rsidR="00B95CCD" w:rsidRPr="00B217BB">
          <w:rPr>
            <w:rStyle w:val="Hyperlink"/>
          </w:rPr>
          <w:t>stück zwischen den Weilern Moos und Knappen (Gemeindegebiet Stadt Titt</w:t>
        </w:r>
        <w:r w:rsidR="00105D40">
          <w:rPr>
            <w:rStyle w:val="Hyperlink"/>
          </w:rPr>
          <w:softHyphen/>
        </w:r>
        <w:r w:rsidR="00B95CCD" w:rsidRPr="00B217BB">
          <w:rPr>
            <w:rStyle w:val="Hyperlink"/>
          </w:rPr>
          <w:t>moning, Lkrs. Traunstein)</w:t>
        </w:r>
        <w:r w:rsidR="00B95CCD">
          <w:rPr>
            <w:webHidden/>
          </w:rPr>
          <w:tab/>
        </w:r>
        <w:r w:rsidR="00B95CCD">
          <w:rPr>
            <w:webHidden/>
          </w:rPr>
          <w:fldChar w:fldCharType="begin"/>
        </w:r>
        <w:r w:rsidR="00B95CCD">
          <w:rPr>
            <w:webHidden/>
          </w:rPr>
          <w:instrText xml:space="preserve"> PAGEREF _Toc508873845 \h </w:instrText>
        </w:r>
        <w:r w:rsidR="00B95CCD">
          <w:rPr>
            <w:webHidden/>
          </w:rPr>
        </w:r>
        <w:r w:rsidR="00B95CCD">
          <w:rPr>
            <w:webHidden/>
          </w:rPr>
          <w:fldChar w:fldCharType="separate"/>
        </w:r>
        <w:r w:rsidR="00F57B96">
          <w:rPr>
            <w:webHidden/>
          </w:rPr>
          <w:t>5</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46" w:history="1">
        <w:r w:rsidR="00B95CCD" w:rsidRPr="00B217BB">
          <w:rPr>
            <w:rStyle w:val="Hyperlink"/>
          </w:rPr>
          <w:t>Mistol, Jürgen (BÜNDNIS 90/DIE GRÜNEN)</w:t>
        </w:r>
        <w:r w:rsidR="00B95CCD" w:rsidRPr="00B217BB">
          <w:rPr>
            <w:rStyle w:val="Hyperlink"/>
          </w:rPr>
          <w:br/>
          <w:t>Digitalfunkgeräte im Freistaat Bayern</w:t>
        </w:r>
        <w:r w:rsidR="00B95CCD">
          <w:rPr>
            <w:webHidden/>
          </w:rPr>
          <w:tab/>
        </w:r>
        <w:r w:rsidR="00B95CCD">
          <w:rPr>
            <w:webHidden/>
          </w:rPr>
          <w:fldChar w:fldCharType="begin"/>
        </w:r>
        <w:r w:rsidR="00B95CCD">
          <w:rPr>
            <w:webHidden/>
          </w:rPr>
          <w:instrText xml:space="preserve"> PAGEREF _Toc508873846 \h </w:instrText>
        </w:r>
        <w:r w:rsidR="00B95CCD">
          <w:rPr>
            <w:webHidden/>
          </w:rPr>
        </w:r>
        <w:r w:rsidR="00B95CCD">
          <w:rPr>
            <w:webHidden/>
          </w:rPr>
          <w:fldChar w:fldCharType="separate"/>
        </w:r>
        <w:r w:rsidR="00F57B96">
          <w:rPr>
            <w:webHidden/>
          </w:rPr>
          <w:t>6</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47" w:history="1">
        <w:r w:rsidR="00B95CCD" w:rsidRPr="00B217BB">
          <w:rPr>
            <w:rStyle w:val="Hyperlink"/>
          </w:rPr>
          <w:t>Rinderspacher, Markus (SPD)</w:t>
        </w:r>
        <w:r w:rsidR="00B95CCD" w:rsidRPr="00B217BB">
          <w:rPr>
            <w:rStyle w:val="Hyperlink"/>
          </w:rPr>
          <w:br/>
          <w:t>Straftaten im Bereich der Sprenstoff</w:t>
        </w:r>
        <w:r w:rsidR="00105D40">
          <w:rPr>
            <w:rStyle w:val="Hyperlink"/>
          </w:rPr>
          <w:softHyphen/>
        </w:r>
        <w:r w:rsidR="00B95CCD" w:rsidRPr="00B217BB">
          <w:rPr>
            <w:rStyle w:val="Hyperlink"/>
          </w:rPr>
          <w:t>kriminalität</w:t>
        </w:r>
        <w:r w:rsidR="00B95CCD">
          <w:rPr>
            <w:webHidden/>
          </w:rPr>
          <w:tab/>
        </w:r>
        <w:r w:rsidR="00B95CCD">
          <w:rPr>
            <w:webHidden/>
          </w:rPr>
          <w:fldChar w:fldCharType="begin"/>
        </w:r>
        <w:r w:rsidR="00B95CCD">
          <w:rPr>
            <w:webHidden/>
          </w:rPr>
          <w:instrText xml:space="preserve"> PAGEREF _Toc508873847 \h </w:instrText>
        </w:r>
        <w:r w:rsidR="00B95CCD">
          <w:rPr>
            <w:webHidden/>
          </w:rPr>
        </w:r>
        <w:r w:rsidR="00B95CCD">
          <w:rPr>
            <w:webHidden/>
          </w:rPr>
          <w:fldChar w:fldCharType="separate"/>
        </w:r>
        <w:r w:rsidR="00F57B96">
          <w:rPr>
            <w:webHidden/>
          </w:rPr>
          <w:t>6</w:t>
        </w:r>
        <w:r w:rsidR="00B95CCD">
          <w:rPr>
            <w:webHidden/>
          </w:rPr>
          <w:fldChar w:fldCharType="end"/>
        </w:r>
      </w:hyperlink>
    </w:p>
    <w:p w:rsidR="00B95CCD" w:rsidRDefault="00F7008C">
      <w:pPr>
        <w:pStyle w:val="Verzeichnis2"/>
        <w:tabs>
          <w:tab w:val="right" w:leader="dot" w:pos="4383"/>
        </w:tabs>
        <w:rPr>
          <w:rStyle w:val="Hyperlink"/>
        </w:rPr>
      </w:pPr>
      <w:hyperlink w:anchor="_Toc508873848" w:history="1">
        <w:r w:rsidR="00B95CCD" w:rsidRPr="00B217BB">
          <w:rPr>
            <w:rStyle w:val="Hyperlink"/>
          </w:rPr>
          <w:t>Ritter, Florian (SPD)</w:t>
        </w:r>
        <w:r w:rsidR="00B95CCD" w:rsidRPr="00B217BB">
          <w:rPr>
            <w:rStyle w:val="Hyperlink"/>
          </w:rPr>
          <w:br/>
          <w:t>Zusammenarbeit der bayerischen Be</w:t>
        </w:r>
        <w:r w:rsidR="00105D40">
          <w:rPr>
            <w:rStyle w:val="Hyperlink"/>
          </w:rPr>
          <w:softHyphen/>
        </w:r>
        <w:r w:rsidR="00B95CCD" w:rsidRPr="00B217BB">
          <w:rPr>
            <w:rStyle w:val="Hyperlink"/>
          </w:rPr>
          <w:t>hörden mit dem Bundesamt für Ver</w:t>
        </w:r>
        <w:r w:rsidR="00105D40">
          <w:rPr>
            <w:rStyle w:val="Hyperlink"/>
          </w:rPr>
          <w:softHyphen/>
        </w:r>
        <w:r w:rsidR="00B95CCD" w:rsidRPr="00B217BB">
          <w:rPr>
            <w:rStyle w:val="Hyperlink"/>
          </w:rPr>
          <w:t>fassungs</w:t>
        </w:r>
        <w:r w:rsidR="00105D40">
          <w:rPr>
            <w:rStyle w:val="Hyperlink"/>
          </w:rPr>
          <w:softHyphen/>
        </w:r>
        <w:r w:rsidR="00B95CCD" w:rsidRPr="00B217BB">
          <w:rPr>
            <w:rStyle w:val="Hyperlink"/>
          </w:rPr>
          <w:t>schutz und Terrorismus</w:t>
        </w:r>
        <w:r w:rsidR="00105D40">
          <w:rPr>
            <w:rStyle w:val="Hyperlink"/>
          </w:rPr>
          <w:softHyphen/>
        </w:r>
        <w:r w:rsidR="00B95CCD" w:rsidRPr="00B217BB">
          <w:rPr>
            <w:rStyle w:val="Hyperlink"/>
          </w:rPr>
          <w:t>bekämpfung</w:t>
        </w:r>
        <w:r w:rsidR="00B95CCD">
          <w:rPr>
            <w:webHidden/>
          </w:rPr>
          <w:tab/>
        </w:r>
        <w:r w:rsidR="00B95CCD">
          <w:rPr>
            <w:webHidden/>
          </w:rPr>
          <w:fldChar w:fldCharType="begin"/>
        </w:r>
        <w:r w:rsidR="00B95CCD">
          <w:rPr>
            <w:webHidden/>
          </w:rPr>
          <w:instrText xml:space="preserve"> PAGEREF _Toc508873848 \h </w:instrText>
        </w:r>
        <w:r w:rsidR="00B95CCD">
          <w:rPr>
            <w:webHidden/>
          </w:rPr>
        </w:r>
        <w:r w:rsidR="00B95CCD">
          <w:rPr>
            <w:webHidden/>
          </w:rPr>
          <w:fldChar w:fldCharType="separate"/>
        </w:r>
        <w:r w:rsidR="00F57B96">
          <w:rPr>
            <w:webHidden/>
          </w:rPr>
          <w:t>7</w:t>
        </w:r>
        <w:r w:rsidR="00B95CCD">
          <w:rPr>
            <w:webHidden/>
          </w:rPr>
          <w:fldChar w:fldCharType="end"/>
        </w:r>
      </w:hyperlink>
    </w:p>
    <w:p w:rsidR="00105D40" w:rsidRDefault="00105D40" w:rsidP="00105D40">
      <w:pPr>
        <w:rPr>
          <w:rFonts w:eastAsiaTheme="minorEastAsia"/>
          <w:noProof/>
        </w:rPr>
      </w:pPr>
    </w:p>
    <w:p w:rsidR="00105D40" w:rsidRPr="00105D40" w:rsidRDefault="00105D40" w:rsidP="00105D40">
      <w:pPr>
        <w:rPr>
          <w:rFonts w:eastAsiaTheme="minorEastAsia"/>
          <w:noProof/>
        </w:rPr>
      </w:pPr>
    </w:p>
    <w:p w:rsidR="00B95CCD" w:rsidRDefault="00F7008C">
      <w:pPr>
        <w:pStyle w:val="Verzeichnis2"/>
        <w:tabs>
          <w:tab w:val="right" w:leader="dot" w:pos="4383"/>
        </w:tabs>
        <w:rPr>
          <w:rFonts w:asciiTheme="minorHAnsi" w:eastAsiaTheme="minorEastAsia" w:hAnsiTheme="minorHAnsi" w:cstheme="minorBidi"/>
          <w:sz w:val="22"/>
        </w:rPr>
      </w:pPr>
      <w:hyperlink w:anchor="_Toc508873849" w:history="1">
        <w:r w:rsidR="00B95CCD" w:rsidRPr="00B217BB">
          <w:rPr>
            <w:rStyle w:val="Hyperlink"/>
          </w:rPr>
          <w:t>Dr. Runge, Martin (BÜNDNIS 90/DIE GRÜNEN)</w:t>
        </w:r>
        <w:r w:rsidR="00B95CCD" w:rsidRPr="00B217BB">
          <w:rPr>
            <w:rStyle w:val="Hyperlink"/>
          </w:rPr>
          <w:br/>
          <w:t>B1-Zertifizierung bei Geduldeten im Rahmen der Ausbildungsgenehmigung</w:t>
        </w:r>
        <w:r w:rsidR="00B95CCD">
          <w:rPr>
            <w:webHidden/>
          </w:rPr>
          <w:tab/>
        </w:r>
        <w:r w:rsidR="00B95CCD">
          <w:rPr>
            <w:webHidden/>
          </w:rPr>
          <w:fldChar w:fldCharType="begin"/>
        </w:r>
        <w:r w:rsidR="00B95CCD">
          <w:rPr>
            <w:webHidden/>
          </w:rPr>
          <w:instrText xml:space="preserve"> PAGEREF _Toc508873849 \h </w:instrText>
        </w:r>
        <w:r w:rsidR="00B95CCD">
          <w:rPr>
            <w:webHidden/>
          </w:rPr>
        </w:r>
        <w:r w:rsidR="00B95CCD">
          <w:rPr>
            <w:webHidden/>
          </w:rPr>
          <w:fldChar w:fldCharType="separate"/>
        </w:r>
        <w:r w:rsidR="00F57B96">
          <w:rPr>
            <w:webHidden/>
          </w:rPr>
          <w:t>8</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50" w:history="1">
        <w:r w:rsidR="009942B9">
          <w:rPr>
            <w:rStyle w:val="Hyperlink"/>
          </w:rPr>
          <w:t>Stamm, Claudia (f</w:t>
        </w:r>
        <w:r w:rsidR="00B95CCD" w:rsidRPr="00B217BB">
          <w:rPr>
            <w:rStyle w:val="Hyperlink"/>
          </w:rPr>
          <w:t>raktionslos)</w:t>
        </w:r>
        <w:r w:rsidR="00B95CCD" w:rsidRPr="00B217BB">
          <w:rPr>
            <w:rStyle w:val="Hyperlink"/>
          </w:rPr>
          <w:br/>
          <w:t>Kirchenasyl in Bayern</w:t>
        </w:r>
        <w:r w:rsidR="00B95CCD">
          <w:rPr>
            <w:webHidden/>
          </w:rPr>
          <w:tab/>
        </w:r>
        <w:r w:rsidR="00B95CCD">
          <w:rPr>
            <w:webHidden/>
          </w:rPr>
          <w:fldChar w:fldCharType="begin"/>
        </w:r>
        <w:r w:rsidR="00B95CCD">
          <w:rPr>
            <w:webHidden/>
          </w:rPr>
          <w:instrText xml:space="preserve"> PAGEREF _Toc508873850 \h </w:instrText>
        </w:r>
        <w:r w:rsidR="00B95CCD">
          <w:rPr>
            <w:webHidden/>
          </w:rPr>
        </w:r>
        <w:r w:rsidR="00B95CCD">
          <w:rPr>
            <w:webHidden/>
          </w:rPr>
          <w:fldChar w:fldCharType="separate"/>
        </w:r>
        <w:r w:rsidR="00F57B96">
          <w:rPr>
            <w:webHidden/>
          </w:rPr>
          <w:t>9</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51" w:history="1">
        <w:r w:rsidR="00B95CCD" w:rsidRPr="00B217BB">
          <w:rPr>
            <w:rStyle w:val="Hyperlink"/>
          </w:rPr>
          <w:t>Weikert, Angelika (SPD)</w:t>
        </w:r>
        <w:r w:rsidR="00B95CCD" w:rsidRPr="00B217BB">
          <w:rPr>
            <w:rStyle w:val="Hyperlink"/>
          </w:rPr>
          <w:br/>
          <w:t>Nachzug von Zweitfrauen im Zuge des Familiennachzugs zu Flüchtlingen</w:t>
        </w:r>
        <w:r w:rsidR="00B95CCD">
          <w:rPr>
            <w:webHidden/>
          </w:rPr>
          <w:tab/>
        </w:r>
        <w:r w:rsidR="00B95CCD">
          <w:rPr>
            <w:webHidden/>
          </w:rPr>
          <w:fldChar w:fldCharType="begin"/>
        </w:r>
        <w:r w:rsidR="00B95CCD">
          <w:rPr>
            <w:webHidden/>
          </w:rPr>
          <w:instrText xml:space="preserve"> PAGEREF _Toc508873851 \h </w:instrText>
        </w:r>
        <w:r w:rsidR="00B95CCD">
          <w:rPr>
            <w:webHidden/>
          </w:rPr>
        </w:r>
        <w:r w:rsidR="00B95CCD">
          <w:rPr>
            <w:webHidden/>
          </w:rPr>
          <w:fldChar w:fldCharType="separate"/>
        </w:r>
        <w:r w:rsidR="00F57B96">
          <w:rPr>
            <w:webHidden/>
          </w:rPr>
          <w:t>9</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52" w:history="1">
        <w:r w:rsidR="00B95CCD" w:rsidRPr="00B217BB">
          <w:rPr>
            <w:rStyle w:val="Hyperlink"/>
          </w:rPr>
          <w:t>Zacharias, Isabell (SPD)</w:t>
        </w:r>
        <w:r w:rsidR="00B95CCD" w:rsidRPr="00B217BB">
          <w:rPr>
            <w:rStyle w:val="Hyperlink"/>
          </w:rPr>
          <w:br/>
          <w:t>Sanierungsarbeiten A 92</w:t>
        </w:r>
        <w:r w:rsidR="00B95CCD">
          <w:rPr>
            <w:webHidden/>
          </w:rPr>
          <w:tab/>
        </w:r>
        <w:r w:rsidR="00B95CCD">
          <w:rPr>
            <w:webHidden/>
          </w:rPr>
          <w:fldChar w:fldCharType="begin"/>
        </w:r>
        <w:r w:rsidR="00B95CCD">
          <w:rPr>
            <w:webHidden/>
          </w:rPr>
          <w:instrText xml:space="preserve"> PAGEREF _Toc508873852 \h </w:instrText>
        </w:r>
        <w:r w:rsidR="00B95CCD">
          <w:rPr>
            <w:webHidden/>
          </w:rPr>
        </w:r>
        <w:r w:rsidR="00B95CCD">
          <w:rPr>
            <w:webHidden/>
          </w:rPr>
          <w:fldChar w:fldCharType="separate"/>
        </w:r>
        <w:r w:rsidR="00F57B96">
          <w:rPr>
            <w:webHidden/>
          </w:rPr>
          <w:t>10</w:t>
        </w:r>
        <w:r w:rsidR="00B95CCD">
          <w:rPr>
            <w:webHidden/>
          </w:rPr>
          <w:fldChar w:fldCharType="end"/>
        </w:r>
      </w:hyperlink>
    </w:p>
    <w:p w:rsidR="00B95CCD" w:rsidRDefault="00F7008C">
      <w:pPr>
        <w:pStyle w:val="Verzeichnis2"/>
        <w:tabs>
          <w:tab w:val="right" w:leader="dot" w:pos="4383"/>
        </w:tabs>
        <w:rPr>
          <w:rStyle w:val="Hyperlink"/>
        </w:rPr>
      </w:pPr>
      <w:hyperlink w:anchor="_Toc508873853" w:history="1">
        <w:r w:rsidR="00B95CCD" w:rsidRPr="00B217BB">
          <w:rPr>
            <w:rStyle w:val="Hyperlink"/>
          </w:rPr>
          <w:t>Zierer, Benno (FREIE WÄHLER)</w:t>
        </w:r>
        <w:r w:rsidR="00B95CCD" w:rsidRPr="00B217BB">
          <w:rPr>
            <w:rStyle w:val="Hyperlink"/>
          </w:rPr>
          <w:br/>
          <w:t>Sprengstoffsuchgeräte am Flughafen München</w:t>
        </w:r>
        <w:r w:rsidR="00B95CCD">
          <w:rPr>
            <w:webHidden/>
          </w:rPr>
          <w:tab/>
        </w:r>
        <w:r w:rsidR="00B95CCD">
          <w:rPr>
            <w:webHidden/>
          </w:rPr>
          <w:fldChar w:fldCharType="begin"/>
        </w:r>
        <w:r w:rsidR="00B95CCD">
          <w:rPr>
            <w:webHidden/>
          </w:rPr>
          <w:instrText xml:space="preserve"> PAGEREF _Toc508873853 \h </w:instrText>
        </w:r>
        <w:r w:rsidR="00B95CCD">
          <w:rPr>
            <w:webHidden/>
          </w:rPr>
        </w:r>
        <w:r w:rsidR="00B95CCD">
          <w:rPr>
            <w:webHidden/>
          </w:rPr>
          <w:fldChar w:fldCharType="separate"/>
        </w:r>
        <w:r w:rsidR="00F57B96">
          <w:rPr>
            <w:webHidden/>
          </w:rPr>
          <w:t>11</w:t>
        </w:r>
        <w:r w:rsidR="00B95CCD">
          <w:rPr>
            <w:webHidden/>
          </w:rPr>
          <w:fldChar w:fldCharType="end"/>
        </w:r>
      </w:hyperlink>
    </w:p>
    <w:p w:rsidR="00105D40" w:rsidRPr="00105D40" w:rsidRDefault="00105D40" w:rsidP="00105D40">
      <w:pPr>
        <w:rPr>
          <w:rFonts w:eastAsiaTheme="minorEastAsia"/>
          <w:noProof/>
        </w:rPr>
      </w:pPr>
    </w:p>
    <w:p w:rsidR="00B95CCD" w:rsidRDefault="00F7008C">
      <w:pPr>
        <w:pStyle w:val="Verzeichnis1"/>
        <w:tabs>
          <w:tab w:val="right" w:leader="dot" w:pos="4383"/>
        </w:tabs>
        <w:rPr>
          <w:rFonts w:asciiTheme="minorHAnsi" w:eastAsiaTheme="minorEastAsia" w:hAnsiTheme="minorHAnsi" w:cstheme="minorBidi"/>
          <w:b w:val="0"/>
          <w:noProof/>
        </w:rPr>
      </w:pPr>
      <w:hyperlink w:anchor="_Toc508873854" w:history="1">
        <w:r w:rsidR="00B95CCD" w:rsidRPr="00B217BB">
          <w:rPr>
            <w:rStyle w:val="Hyperlink"/>
            <w:noProof/>
          </w:rPr>
          <w:t>Geschäftsbereich des Staatsministeriums der Justiz</w:t>
        </w:r>
      </w:hyperlink>
    </w:p>
    <w:p w:rsidR="00B95CCD" w:rsidRDefault="00F7008C">
      <w:pPr>
        <w:pStyle w:val="Verzeichnis2"/>
        <w:tabs>
          <w:tab w:val="right" w:leader="dot" w:pos="4383"/>
        </w:tabs>
        <w:rPr>
          <w:rStyle w:val="Hyperlink"/>
        </w:rPr>
      </w:pPr>
      <w:hyperlink w:anchor="_Toc508873855" w:history="1">
        <w:r w:rsidR="009942B9">
          <w:rPr>
            <w:rStyle w:val="Hyperlink"/>
          </w:rPr>
          <w:t>von B</w:t>
        </w:r>
        <w:r w:rsidR="00B95CCD" w:rsidRPr="00B217BB">
          <w:rPr>
            <w:rStyle w:val="Hyperlink"/>
          </w:rPr>
          <w:t>runn, Florian (SPD)</w:t>
        </w:r>
        <w:r w:rsidR="00B95CCD" w:rsidRPr="00B217BB">
          <w:rPr>
            <w:rStyle w:val="Hyperlink"/>
          </w:rPr>
          <w:br/>
          <w:t>Mietpreisbremse: Wie wichtig ist der Staatsregierung der Schutz von Mieterinnen und Mietern?</w:t>
        </w:r>
        <w:r w:rsidR="00B95CCD">
          <w:rPr>
            <w:webHidden/>
          </w:rPr>
          <w:tab/>
        </w:r>
        <w:r w:rsidR="00B95CCD">
          <w:rPr>
            <w:webHidden/>
          </w:rPr>
          <w:fldChar w:fldCharType="begin"/>
        </w:r>
        <w:r w:rsidR="00B95CCD">
          <w:rPr>
            <w:webHidden/>
          </w:rPr>
          <w:instrText xml:space="preserve"> PAGEREF _Toc508873855 \h </w:instrText>
        </w:r>
        <w:r w:rsidR="00B95CCD">
          <w:rPr>
            <w:webHidden/>
          </w:rPr>
        </w:r>
        <w:r w:rsidR="00B95CCD">
          <w:rPr>
            <w:webHidden/>
          </w:rPr>
          <w:fldChar w:fldCharType="separate"/>
        </w:r>
        <w:r w:rsidR="00F57B96">
          <w:rPr>
            <w:webHidden/>
          </w:rPr>
          <w:t>12</w:t>
        </w:r>
        <w:r w:rsidR="00B95CCD">
          <w:rPr>
            <w:webHidden/>
          </w:rPr>
          <w:fldChar w:fldCharType="end"/>
        </w:r>
      </w:hyperlink>
    </w:p>
    <w:p w:rsidR="00105D40" w:rsidRPr="00105D40" w:rsidRDefault="00105D40" w:rsidP="00105D40">
      <w:pPr>
        <w:rPr>
          <w:rFonts w:eastAsiaTheme="minorEastAsia"/>
          <w:noProof/>
        </w:rPr>
      </w:pPr>
    </w:p>
    <w:p w:rsidR="00B95CCD" w:rsidRDefault="00F7008C">
      <w:pPr>
        <w:pStyle w:val="Verzeichnis1"/>
        <w:tabs>
          <w:tab w:val="right" w:leader="dot" w:pos="4383"/>
        </w:tabs>
        <w:rPr>
          <w:rFonts w:asciiTheme="minorHAnsi" w:eastAsiaTheme="minorEastAsia" w:hAnsiTheme="minorHAnsi" w:cstheme="minorBidi"/>
          <w:b w:val="0"/>
          <w:noProof/>
        </w:rPr>
      </w:pPr>
      <w:hyperlink w:anchor="_Toc508873856" w:history="1">
        <w:r w:rsidR="00B95CCD" w:rsidRPr="00B217BB">
          <w:rPr>
            <w:rStyle w:val="Hyperlink"/>
            <w:noProof/>
          </w:rPr>
          <w:t>Geschäftsbereich des Staatsministeriums für Bildung und Kultus, Wissenschaft und Kunst</w:t>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57" w:history="1">
        <w:r w:rsidR="00B95CCD" w:rsidRPr="00B217BB">
          <w:rPr>
            <w:rStyle w:val="Hyperlink"/>
          </w:rPr>
          <w:t>Aures, Inge (SPD)</w:t>
        </w:r>
        <w:r w:rsidR="00B95CCD" w:rsidRPr="00B217BB">
          <w:rPr>
            <w:rStyle w:val="Hyperlink"/>
          </w:rPr>
          <w:br/>
          <w:t>Schulgeld an Berufsfachschulen für Sozialpflege</w:t>
        </w:r>
        <w:r w:rsidR="00B95CCD">
          <w:rPr>
            <w:webHidden/>
          </w:rPr>
          <w:tab/>
        </w:r>
        <w:r w:rsidR="00B95CCD">
          <w:rPr>
            <w:webHidden/>
          </w:rPr>
          <w:fldChar w:fldCharType="begin"/>
        </w:r>
        <w:r w:rsidR="00B95CCD">
          <w:rPr>
            <w:webHidden/>
          </w:rPr>
          <w:instrText xml:space="preserve"> PAGEREF _Toc508873857 \h </w:instrText>
        </w:r>
        <w:r w:rsidR="00B95CCD">
          <w:rPr>
            <w:webHidden/>
          </w:rPr>
        </w:r>
        <w:r w:rsidR="00B95CCD">
          <w:rPr>
            <w:webHidden/>
          </w:rPr>
          <w:fldChar w:fldCharType="separate"/>
        </w:r>
        <w:r w:rsidR="00F57B96">
          <w:rPr>
            <w:webHidden/>
          </w:rPr>
          <w:t>13</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58" w:history="1">
        <w:r w:rsidR="00B95CCD" w:rsidRPr="00B217BB">
          <w:rPr>
            <w:rStyle w:val="Hyperlink"/>
          </w:rPr>
          <w:t>Meyer, Peter (FREIE WÄHLER)</w:t>
        </w:r>
        <w:r w:rsidR="00B95CCD" w:rsidRPr="00B217BB">
          <w:rPr>
            <w:rStyle w:val="Hyperlink"/>
          </w:rPr>
          <w:br/>
          <w:t>Internetzugang an Bayerns Schulen</w:t>
        </w:r>
        <w:r w:rsidR="00B95CCD">
          <w:rPr>
            <w:webHidden/>
          </w:rPr>
          <w:tab/>
        </w:r>
        <w:r w:rsidR="00B95CCD">
          <w:rPr>
            <w:webHidden/>
          </w:rPr>
          <w:fldChar w:fldCharType="begin"/>
        </w:r>
        <w:r w:rsidR="00B95CCD">
          <w:rPr>
            <w:webHidden/>
          </w:rPr>
          <w:instrText xml:space="preserve"> PAGEREF _Toc508873858 \h </w:instrText>
        </w:r>
        <w:r w:rsidR="00B95CCD">
          <w:rPr>
            <w:webHidden/>
          </w:rPr>
        </w:r>
        <w:r w:rsidR="00B95CCD">
          <w:rPr>
            <w:webHidden/>
          </w:rPr>
          <w:fldChar w:fldCharType="separate"/>
        </w:r>
        <w:r w:rsidR="00F57B96">
          <w:rPr>
            <w:webHidden/>
          </w:rPr>
          <w:t>13</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59" w:history="1">
        <w:r w:rsidR="00B95CCD" w:rsidRPr="00B217BB">
          <w:rPr>
            <w:rStyle w:val="Hyperlink"/>
          </w:rPr>
          <w:t>Osgyan, Verena (BÜNDNIS 90/DIE GRÜNEN)</w:t>
        </w:r>
        <w:r w:rsidR="00B95CCD" w:rsidRPr="00B217BB">
          <w:rPr>
            <w:rStyle w:val="Hyperlink"/>
          </w:rPr>
          <w:br/>
          <w:t>Open Access in der bayerischen Wissenschaftslandschaft</w:t>
        </w:r>
        <w:r w:rsidR="00B95CCD">
          <w:rPr>
            <w:webHidden/>
          </w:rPr>
          <w:tab/>
        </w:r>
        <w:r w:rsidR="00B95CCD">
          <w:rPr>
            <w:webHidden/>
          </w:rPr>
          <w:fldChar w:fldCharType="begin"/>
        </w:r>
        <w:r w:rsidR="00B95CCD">
          <w:rPr>
            <w:webHidden/>
          </w:rPr>
          <w:instrText xml:space="preserve"> PAGEREF _Toc508873859 \h </w:instrText>
        </w:r>
        <w:r w:rsidR="00B95CCD">
          <w:rPr>
            <w:webHidden/>
          </w:rPr>
        </w:r>
        <w:r w:rsidR="00B95CCD">
          <w:rPr>
            <w:webHidden/>
          </w:rPr>
          <w:fldChar w:fldCharType="separate"/>
        </w:r>
        <w:r w:rsidR="00F57B96">
          <w:rPr>
            <w:webHidden/>
          </w:rPr>
          <w:t>14</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60" w:history="1">
        <w:r w:rsidR="00B95CCD" w:rsidRPr="00B217BB">
          <w:rPr>
            <w:rStyle w:val="Hyperlink"/>
          </w:rPr>
          <w:t>Petersen, Kathi (SPD)</w:t>
        </w:r>
        <w:r w:rsidR="00B95CCD" w:rsidRPr="00B217BB">
          <w:rPr>
            <w:rStyle w:val="Hyperlink"/>
          </w:rPr>
          <w:br/>
          <w:t>Praxisbegleitstunden in der Kranken</w:t>
        </w:r>
        <w:r w:rsidR="00105D40">
          <w:rPr>
            <w:rStyle w:val="Hyperlink"/>
          </w:rPr>
          <w:softHyphen/>
        </w:r>
        <w:r w:rsidR="00B95CCD" w:rsidRPr="00B217BB">
          <w:rPr>
            <w:rStyle w:val="Hyperlink"/>
          </w:rPr>
          <w:t>pflegeausbildung</w:t>
        </w:r>
        <w:r w:rsidR="00B95CCD">
          <w:rPr>
            <w:webHidden/>
          </w:rPr>
          <w:tab/>
        </w:r>
        <w:r w:rsidR="00B95CCD">
          <w:rPr>
            <w:webHidden/>
          </w:rPr>
          <w:fldChar w:fldCharType="begin"/>
        </w:r>
        <w:r w:rsidR="00B95CCD">
          <w:rPr>
            <w:webHidden/>
          </w:rPr>
          <w:instrText xml:space="preserve"> PAGEREF _Toc508873860 \h </w:instrText>
        </w:r>
        <w:r w:rsidR="00B95CCD">
          <w:rPr>
            <w:webHidden/>
          </w:rPr>
        </w:r>
        <w:r w:rsidR="00B95CCD">
          <w:rPr>
            <w:webHidden/>
          </w:rPr>
          <w:fldChar w:fldCharType="separate"/>
        </w:r>
        <w:r w:rsidR="00F57B96">
          <w:rPr>
            <w:webHidden/>
          </w:rPr>
          <w:t>15</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61" w:history="1">
        <w:r w:rsidR="00B95CCD" w:rsidRPr="00B217BB">
          <w:rPr>
            <w:rStyle w:val="Hyperlink"/>
          </w:rPr>
          <w:t>Prof. Dr. Piazolo, Michael (FREIE WÄHLER)</w:t>
        </w:r>
        <w:r w:rsidR="00B95CCD" w:rsidRPr="00B217BB">
          <w:rPr>
            <w:rStyle w:val="Hyperlink"/>
          </w:rPr>
          <w:br/>
          <w:t>Online-Wahlen an Bayerns Hoch</w:t>
        </w:r>
        <w:r w:rsidR="00105D40">
          <w:rPr>
            <w:rStyle w:val="Hyperlink"/>
          </w:rPr>
          <w:softHyphen/>
        </w:r>
        <w:r w:rsidR="00B95CCD" w:rsidRPr="00B217BB">
          <w:rPr>
            <w:rStyle w:val="Hyperlink"/>
          </w:rPr>
          <w:t>schulen</w:t>
        </w:r>
        <w:r w:rsidR="00B95CCD">
          <w:rPr>
            <w:webHidden/>
          </w:rPr>
          <w:tab/>
        </w:r>
        <w:r w:rsidR="00B95CCD">
          <w:rPr>
            <w:webHidden/>
          </w:rPr>
          <w:fldChar w:fldCharType="begin"/>
        </w:r>
        <w:r w:rsidR="00B95CCD">
          <w:rPr>
            <w:webHidden/>
          </w:rPr>
          <w:instrText xml:space="preserve"> PAGEREF _Toc508873861 \h </w:instrText>
        </w:r>
        <w:r w:rsidR="00B95CCD">
          <w:rPr>
            <w:webHidden/>
          </w:rPr>
        </w:r>
        <w:r w:rsidR="00B95CCD">
          <w:rPr>
            <w:webHidden/>
          </w:rPr>
          <w:fldChar w:fldCharType="separate"/>
        </w:r>
        <w:r w:rsidR="00F57B96">
          <w:rPr>
            <w:webHidden/>
          </w:rPr>
          <w:t>16</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62" w:history="1">
        <w:r w:rsidR="00B95CCD" w:rsidRPr="00B217BB">
          <w:rPr>
            <w:rStyle w:val="Hyperlink"/>
          </w:rPr>
          <w:t>Stümpfig, Martin (BÜNDNIS 90/DIE GRÜNEN)</w:t>
        </w:r>
        <w:r w:rsidR="00B95CCD" w:rsidRPr="00B217BB">
          <w:rPr>
            <w:rStyle w:val="Hyperlink"/>
          </w:rPr>
          <w:br/>
          <w:t>Systembetreuung an Schulen</w:t>
        </w:r>
        <w:r w:rsidR="00B95CCD">
          <w:rPr>
            <w:webHidden/>
          </w:rPr>
          <w:tab/>
        </w:r>
        <w:r w:rsidR="00B95CCD">
          <w:rPr>
            <w:webHidden/>
          </w:rPr>
          <w:fldChar w:fldCharType="begin"/>
        </w:r>
        <w:r w:rsidR="00B95CCD">
          <w:rPr>
            <w:webHidden/>
          </w:rPr>
          <w:instrText xml:space="preserve"> PAGEREF _Toc508873862 \h </w:instrText>
        </w:r>
        <w:r w:rsidR="00B95CCD">
          <w:rPr>
            <w:webHidden/>
          </w:rPr>
        </w:r>
        <w:r w:rsidR="00B95CCD">
          <w:rPr>
            <w:webHidden/>
          </w:rPr>
          <w:fldChar w:fldCharType="separate"/>
        </w:r>
        <w:r w:rsidR="00F57B96">
          <w:rPr>
            <w:webHidden/>
          </w:rPr>
          <w:t>18</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63" w:history="1">
        <w:r w:rsidR="00B95CCD" w:rsidRPr="00B217BB">
          <w:rPr>
            <w:rStyle w:val="Hyperlink"/>
          </w:rPr>
          <w:t>Waldmann, Ruth (SPD)</w:t>
        </w:r>
        <w:r w:rsidR="00B95CCD" w:rsidRPr="00B217BB">
          <w:rPr>
            <w:rStyle w:val="Hyperlink"/>
          </w:rPr>
          <w:br/>
          <w:t>Verfassungstreueverfahren bei Lehr</w:t>
        </w:r>
        <w:r w:rsidR="00105D40">
          <w:rPr>
            <w:rStyle w:val="Hyperlink"/>
          </w:rPr>
          <w:softHyphen/>
        </w:r>
        <w:r w:rsidR="00B95CCD" w:rsidRPr="00B217BB">
          <w:rPr>
            <w:rStyle w:val="Hyperlink"/>
          </w:rPr>
          <w:t>amtskandidatinnen und -kanditaten</w:t>
        </w:r>
        <w:r w:rsidR="00B95CCD">
          <w:rPr>
            <w:webHidden/>
          </w:rPr>
          <w:tab/>
        </w:r>
        <w:r w:rsidR="00B95CCD">
          <w:rPr>
            <w:webHidden/>
          </w:rPr>
          <w:fldChar w:fldCharType="begin"/>
        </w:r>
        <w:r w:rsidR="00B95CCD">
          <w:rPr>
            <w:webHidden/>
          </w:rPr>
          <w:instrText xml:space="preserve"> PAGEREF _Toc508873863 \h </w:instrText>
        </w:r>
        <w:r w:rsidR="00B95CCD">
          <w:rPr>
            <w:webHidden/>
          </w:rPr>
        </w:r>
        <w:r w:rsidR="00B95CCD">
          <w:rPr>
            <w:webHidden/>
          </w:rPr>
          <w:fldChar w:fldCharType="separate"/>
        </w:r>
        <w:r w:rsidR="00F57B96">
          <w:rPr>
            <w:webHidden/>
          </w:rPr>
          <w:t>18</w:t>
        </w:r>
        <w:r w:rsidR="00B95CCD">
          <w:rPr>
            <w:webHidden/>
          </w:rPr>
          <w:fldChar w:fldCharType="end"/>
        </w:r>
      </w:hyperlink>
    </w:p>
    <w:p w:rsidR="00B95CCD" w:rsidRDefault="00F7008C">
      <w:pPr>
        <w:pStyle w:val="Verzeichnis1"/>
        <w:tabs>
          <w:tab w:val="right" w:leader="dot" w:pos="4383"/>
        </w:tabs>
        <w:rPr>
          <w:rFonts w:asciiTheme="minorHAnsi" w:eastAsiaTheme="minorEastAsia" w:hAnsiTheme="minorHAnsi" w:cstheme="minorBidi"/>
          <w:b w:val="0"/>
          <w:noProof/>
        </w:rPr>
      </w:pPr>
      <w:hyperlink w:anchor="_Toc508873864" w:history="1">
        <w:r w:rsidR="00B95CCD" w:rsidRPr="00B217BB">
          <w:rPr>
            <w:rStyle w:val="Hyperlink"/>
            <w:noProof/>
          </w:rPr>
          <w:t>Geschäftsbereich des Staatsministeriums der Finanzen, für Landesentwicklung und Heimat</w:t>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65" w:history="1">
        <w:r w:rsidR="00B95CCD" w:rsidRPr="00B217BB">
          <w:rPr>
            <w:rStyle w:val="Hyperlink"/>
          </w:rPr>
          <w:t>Adelt, Klaus (SPD)</w:t>
        </w:r>
        <w:r w:rsidR="00B95CCD" w:rsidRPr="00B217BB">
          <w:rPr>
            <w:rStyle w:val="Hyperlink"/>
          </w:rPr>
          <w:br/>
          <w:t>Fragen zum dritten Jahrestag zum Start</w:t>
        </w:r>
        <w:r w:rsidR="00105D40">
          <w:rPr>
            <w:rStyle w:val="Hyperlink"/>
          </w:rPr>
          <w:softHyphen/>
        </w:r>
        <w:r w:rsidR="00B95CCD" w:rsidRPr="00B217BB">
          <w:rPr>
            <w:rStyle w:val="Hyperlink"/>
          </w:rPr>
          <w:t>schuss der Behörden</w:t>
        </w:r>
        <w:r w:rsidR="00105D40">
          <w:rPr>
            <w:rStyle w:val="Hyperlink"/>
          </w:rPr>
          <w:softHyphen/>
        </w:r>
        <w:r w:rsidR="00B95CCD" w:rsidRPr="00B217BB">
          <w:rPr>
            <w:rStyle w:val="Hyperlink"/>
          </w:rPr>
          <w:t>ver</w:t>
        </w:r>
        <w:r w:rsidR="00105D40">
          <w:rPr>
            <w:rStyle w:val="Hyperlink"/>
          </w:rPr>
          <w:softHyphen/>
        </w:r>
        <w:r w:rsidR="00B95CCD" w:rsidRPr="00B217BB">
          <w:rPr>
            <w:rStyle w:val="Hyperlink"/>
          </w:rPr>
          <w:t>lagerungen in Bayern</w:t>
        </w:r>
        <w:r w:rsidR="00B95CCD">
          <w:rPr>
            <w:webHidden/>
          </w:rPr>
          <w:tab/>
        </w:r>
        <w:r w:rsidR="00B95CCD">
          <w:rPr>
            <w:webHidden/>
          </w:rPr>
          <w:fldChar w:fldCharType="begin"/>
        </w:r>
        <w:r w:rsidR="00B95CCD">
          <w:rPr>
            <w:webHidden/>
          </w:rPr>
          <w:instrText xml:space="preserve"> PAGEREF _Toc508873865 \h </w:instrText>
        </w:r>
        <w:r w:rsidR="00B95CCD">
          <w:rPr>
            <w:webHidden/>
          </w:rPr>
        </w:r>
        <w:r w:rsidR="00B95CCD">
          <w:rPr>
            <w:webHidden/>
          </w:rPr>
          <w:fldChar w:fldCharType="separate"/>
        </w:r>
        <w:r w:rsidR="00F57B96">
          <w:rPr>
            <w:webHidden/>
          </w:rPr>
          <w:t>20</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66" w:history="1">
        <w:r w:rsidR="00B95CCD" w:rsidRPr="00B217BB">
          <w:rPr>
            <w:rStyle w:val="Hyperlink"/>
          </w:rPr>
          <w:t>Aiwanger, Hubert (FREIE WÄHLER)</w:t>
        </w:r>
        <w:r w:rsidR="00B95CCD" w:rsidRPr="00B217BB">
          <w:rPr>
            <w:rStyle w:val="Hyperlink"/>
          </w:rPr>
          <w:br/>
          <w:t>Netzausbau in Bayern</w:t>
        </w:r>
        <w:r w:rsidR="00B95CCD">
          <w:rPr>
            <w:webHidden/>
          </w:rPr>
          <w:tab/>
        </w:r>
        <w:r w:rsidR="00B95CCD">
          <w:rPr>
            <w:webHidden/>
          </w:rPr>
          <w:fldChar w:fldCharType="begin"/>
        </w:r>
        <w:r w:rsidR="00B95CCD">
          <w:rPr>
            <w:webHidden/>
          </w:rPr>
          <w:instrText xml:space="preserve"> PAGEREF _Toc508873866 \h </w:instrText>
        </w:r>
        <w:r w:rsidR="00B95CCD">
          <w:rPr>
            <w:webHidden/>
          </w:rPr>
        </w:r>
        <w:r w:rsidR="00B95CCD">
          <w:rPr>
            <w:webHidden/>
          </w:rPr>
          <w:fldChar w:fldCharType="separate"/>
        </w:r>
        <w:r w:rsidR="00F57B96">
          <w:rPr>
            <w:webHidden/>
          </w:rPr>
          <w:t>20</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67" w:history="1">
        <w:r w:rsidR="00B95CCD" w:rsidRPr="00B217BB">
          <w:rPr>
            <w:rStyle w:val="Hyperlink"/>
          </w:rPr>
          <w:t>Streibl, Florian (FREIE WÄHLER)</w:t>
        </w:r>
        <w:r w:rsidR="00B95CCD" w:rsidRPr="00B217BB">
          <w:rPr>
            <w:rStyle w:val="Hyperlink"/>
          </w:rPr>
          <w:br/>
          <w:t>Beförderungen</w:t>
        </w:r>
        <w:r w:rsidR="00B95CCD">
          <w:rPr>
            <w:webHidden/>
          </w:rPr>
          <w:tab/>
        </w:r>
        <w:r w:rsidR="00B95CCD">
          <w:rPr>
            <w:webHidden/>
          </w:rPr>
          <w:fldChar w:fldCharType="begin"/>
        </w:r>
        <w:r w:rsidR="00B95CCD">
          <w:rPr>
            <w:webHidden/>
          </w:rPr>
          <w:instrText xml:space="preserve"> PAGEREF _Toc508873867 \h </w:instrText>
        </w:r>
        <w:r w:rsidR="00B95CCD">
          <w:rPr>
            <w:webHidden/>
          </w:rPr>
        </w:r>
        <w:r w:rsidR="00B95CCD">
          <w:rPr>
            <w:webHidden/>
          </w:rPr>
          <w:fldChar w:fldCharType="separate"/>
        </w:r>
        <w:r w:rsidR="00F57B96">
          <w:rPr>
            <w:webHidden/>
          </w:rPr>
          <w:t>21</w:t>
        </w:r>
        <w:r w:rsidR="00B95CCD">
          <w:rPr>
            <w:webHidden/>
          </w:rPr>
          <w:fldChar w:fldCharType="end"/>
        </w:r>
      </w:hyperlink>
    </w:p>
    <w:p w:rsidR="00B95CCD" w:rsidRDefault="00F7008C">
      <w:pPr>
        <w:pStyle w:val="Verzeichnis1"/>
        <w:tabs>
          <w:tab w:val="right" w:leader="dot" w:pos="4383"/>
        </w:tabs>
        <w:rPr>
          <w:rFonts w:asciiTheme="minorHAnsi" w:eastAsiaTheme="minorEastAsia" w:hAnsiTheme="minorHAnsi" w:cstheme="minorBidi"/>
          <w:b w:val="0"/>
          <w:noProof/>
        </w:rPr>
      </w:pPr>
      <w:hyperlink w:anchor="_Toc508873868" w:history="1">
        <w:r w:rsidR="00B95CCD" w:rsidRPr="00B217BB">
          <w:rPr>
            <w:rStyle w:val="Hyperlink"/>
            <w:noProof/>
          </w:rPr>
          <w:t>Geschäftsbereich des Staatsministeriums für Umwelt und Verbraucherschutz</w:t>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69" w:history="1">
        <w:r w:rsidR="00B95CCD" w:rsidRPr="00B217BB">
          <w:rPr>
            <w:rStyle w:val="Hyperlink"/>
          </w:rPr>
          <w:t>Prof. (Univ. Lima) Dr. Bauer, Peter (FREIE WÄHLER)</w:t>
        </w:r>
        <w:r w:rsidR="00B95CCD" w:rsidRPr="00B217BB">
          <w:rPr>
            <w:rStyle w:val="Hyperlink"/>
          </w:rPr>
          <w:br/>
          <w:t>Mülldeponie Cronheim</w:t>
        </w:r>
        <w:r w:rsidR="00B95CCD">
          <w:rPr>
            <w:webHidden/>
          </w:rPr>
          <w:tab/>
        </w:r>
        <w:r w:rsidR="00B95CCD">
          <w:rPr>
            <w:webHidden/>
          </w:rPr>
          <w:fldChar w:fldCharType="begin"/>
        </w:r>
        <w:r w:rsidR="00B95CCD">
          <w:rPr>
            <w:webHidden/>
          </w:rPr>
          <w:instrText xml:space="preserve"> PAGEREF _Toc508873869 \h </w:instrText>
        </w:r>
        <w:r w:rsidR="00B95CCD">
          <w:rPr>
            <w:webHidden/>
          </w:rPr>
        </w:r>
        <w:r w:rsidR="00B95CCD">
          <w:rPr>
            <w:webHidden/>
          </w:rPr>
          <w:fldChar w:fldCharType="separate"/>
        </w:r>
        <w:r w:rsidR="00F57B96">
          <w:rPr>
            <w:webHidden/>
          </w:rPr>
          <w:t>22</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70" w:history="1">
        <w:r w:rsidR="00B95CCD" w:rsidRPr="00B217BB">
          <w:rPr>
            <w:rStyle w:val="Hyperlink"/>
          </w:rPr>
          <w:t>Kraus, Nikolaus (FREIE WÄHLER)</w:t>
        </w:r>
        <w:r w:rsidR="00B95CCD" w:rsidRPr="00B217BB">
          <w:rPr>
            <w:rStyle w:val="Hyperlink"/>
          </w:rPr>
          <w:br/>
          <w:t>Drittes Wolfspaar in Bayern</w:t>
        </w:r>
        <w:r w:rsidR="00B95CCD">
          <w:rPr>
            <w:webHidden/>
          </w:rPr>
          <w:tab/>
        </w:r>
        <w:r w:rsidR="00B95CCD">
          <w:rPr>
            <w:webHidden/>
          </w:rPr>
          <w:fldChar w:fldCharType="begin"/>
        </w:r>
        <w:r w:rsidR="00B95CCD">
          <w:rPr>
            <w:webHidden/>
          </w:rPr>
          <w:instrText xml:space="preserve"> PAGEREF _Toc508873870 \h </w:instrText>
        </w:r>
        <w:r w:rsidR="00B95CCD">
          <w:rPr>
            <w:webHidden/>
          </w:rPr>
        </w:r>
        <w:r w:rsidR="00B95CCD">
          <w:rPr>
            <w:webHidden/>
          </w:rPr>
          <w:fldChar w:fldCharType="separate"/>
        </w:r>
        <w:r w:rsidR="00F57B96">
          <w:rPr>
            <w:webHidden/>
          </w:rPr>
          <w:t>22</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71" w:history="1">
        <w:r w:rsidR="00B95CCD" w:rsidRPr="00B217BB">
          <w:rPr>
            <w:rStyle w:val="Hyperlink"/>
          </w:rPr>
          <w:t>Dr. Magerl, Christian (BÜNDNIS 90/DIE GRÜNEN)</w:t>
        </w:r>
        <w:r w:rsidR="00B95CCD" w:rsidRPr="00B217BB">
          <w:rPr>
            <w:rStyle w:val="Hyperlink"/>
          </w:rPr>
          <w:br/>
          <w:t>Naturschutzwacht in Bayern</w:t>
        </w:r>
        <w:r w:rsidR="00B95CCD">
          <w:rPr>
            <w:webHidden/>
          </w:rPr>
          <w:tab/>
        </w:r>
        <w:r w:rsidR="00B95CCD">
          <w:rPr>
            <w:webHidden/>
          </w:rPr>
          <w:fldChar w:fldCharType="begin"/>
        </w:r>
        <w:r w:rsidR="00B95CCD">
          <w:rPr>
            <w:webHidden/>
          </w:rPr>
          <w:instrText xml:space="preserve"> PAGEREF _Toc508873871 \h </w:instrText>
        </w:r>
        <w:r w:rsidR="00B95CCD">
          <w:rPr>
            <w:webHidden/>
          </w:rPr>
        </w:r>
        <w:r w:rsidR="00B95CCD">
          <w:rPr>
            <w:webHidden/>
          </w:rPr>
          <w:fldChar w:fldCharType="separate"/>
        </w:r>
        <w:r w:rsidR="00F57B96">
          <w:rPr>
            <w:webHidden/>
          </w:rPr>
          <w:t>23</w:t>
        </w:r>
        <w:r w:rsidR="00B95CCD">
          <w:rPr>
            <w:webHidden/>
          </w:rPr>
          <w:fldChar w:fldCharType="end"/>
        </w:r>
      </w:hyperlink>
    </w:p>
    <w:p w:rsidR="00B95CCD" w:rsidRDefault="00F7008C">
      <w:pPr>
        <w:pStyle w:val="Verzeichnis1"/>
        <w:tabs>
          <w:tab w:val="right" w:leader="dot" w:pos="4383"/>
        </w:tabs>
        <w:rPr>
          <w:rFonts w:asciiTheme="minorHAnsi" w:eastAsiaTheme="minorEastAsia" w:hAnsiTheme="minorHAnsi" w:cstheme="minorBidi"/>
          <w:b w:val="0"/>
          <w:noProof/>
        </w:rPr>
      </w:pPr>
      <w:hyperlink w:anchor="_Toc508873872" w:history="1">
        <w:r w:rsidR="00B95CCD" w:rsidRPr="00B217BB">
          <w:rPr>
            <w:rStyle w:val="Hyperlink"/>
            <w:noProof/>
          </w:rPr>
          <w:t>Geschäftsbereich des Staatsministeriums für Ernährung, Landwirtschaft und Forsten</w:t>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73" w:history="1">
        <w:r w:rsidR="00B95CCD" w:rsidRPr="00B217BB">
          <w:rPr>
            <w:rStyle w:val="Hyperlink"/>
          </w:rPr>
          <w:t>Sengl, Gisela (BÜNDNIS 90/DIE GRÜNEN)</w:t>
        </w:r>
        <w:r w:rsidR="00B95CCD" w:rsidRPr="00B217BB">
          <w:rPr>
            <w:rStyle w:val="Hyperlink"/>
          </w:rPr>
          <w:br/>
          <w:t>Gelbschalen zur Ermittlung von Schädlingsbefall</w:t>
        </w:r>
        <w:r w:rsidR="00B95CCD">
          <w:rPr>
            <w:webHidden/>
          </w:rPr>
          <w:tab/>
        </w:r>
        <w:r w:rsidR="00B95CCD">
          <w:rPr>
            <w:webHidden/>
          </w:rPr>
          <w:fldChar w:fldCharType="begin"/>
        </w:r>
        <w:r w:rsidR="00B95CCD">
          <w:rPr>
            <w:webHidden/>
          </w:rPr>
          <w:instrText xml:space="preserve"> PAGEREF _Toc508873873 \h </w:instrText>
        </w:r>
        <w:r w:rsidR="00B95CCD">
          <w:rPr>
            <w:webHidden/>
          </w:rPr>
        </w:r>
        <w:r w:rsidR="00B95CCD">
          <w:rPr>
            <w:webHidden/>
          </w:rPr>
          <w:fldChar w:fldCharType="separate"/>
        </w:r>
        <w:r w:rsidR="00F57B96">
          <w:rPr>
            <w:webHidden/>
          </w:rPr>
          <w:t>24</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74" w:history="1">
        <w:r w:rsidR="00B95CCD" w:rsidRPr="00B217BB">
          <w:rPr>
            <w:rStyle w:val="Hyperlink"/>
          </w:rPr>
          <w:t>Strobl, Reinhold (SPD)</w:t>
        </w:r>
        <w:r w:rsidR="00B95CCD" w:rsidRPr="00B217BB">
          <w:rPr>
            <w:rStyle w:val="Hyperlink"/>
          </w:rPr>
          <w:br/>
          <w:t>Wasserberater</w:t>
        </w:r>
        <w:r w:rsidR="00B95CCD">
          <w:rPr>
            <w:webHidden/>
          </w:rPr>
          <w:tab/>
        </w:r>
        <w:r w:rsidR="00B95CCD">
          <w:rPr>
            <w:webHidden/>
          </w:rPr>
          <w:fldChar w:fldCharType="begin"/>
        </w:r>
        <w:r w:rsidR="00B95CCD">
          <w:rPr>
            <w:webHidden/>
          </w:rPr>
          <w:instrText xml:space="preserve"> PAGEREF _Toc508873874 \h </w:instrText>
        </w:r>
        <w:r w:rsidR="00B95CCD">
          <w:rPr>
            <w:webHidden/>
          </w:rPr>
        </w:r>
        <w:r w:rsidR="00B95CCD">
          <w:rPr>
            <w:webHidden/>
          </w:rPr>
          <w:fldChar w:fldCharType="separate"/>
        </w:r>
        <w:r w:rsidR="00F57B96">
          <w:rPr>
            <w:webHidden/>
          </w:rPr>
          <w:t>24</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75" w:history="1">
        <w:r w:rsidR="00B95CCD" w:rsidRPr="00B217BB">
          <w:rPr>
            <w:rStyle w:val="Hyperlink"/>
          </w:rPr>
          <w:t>Woerlein, Herbert (SPD)</w:t>
        </w:r>
        <w:r w:rsidR="00B95CCD" w:rsidRPr="00B217BB">
          <w:rPr>
            <w:rStyle w:val="Hyperlink"/>
          </w:rPr>
          <w:br/>
          <w:t>Fischotter in Bayern</w:t>
        </w:r>
        <w:r w:rsidR="00B95CCD">
          <w:rPr>
            <w:webHidden/>
          </w:rPr>
          <w:tab/>
        </w:r>
        <w:r w:rsidR="00B95CCD">
          <w:rPr>
            <w:webHidden/>
          </w:rPr>
          <w:fldChar w:fldCharType="begin"/>
        </w:r>
        <w:r w:rsidR="00B95CCD">
          <w:rPr>
            <w:webHidden/>
          </w:rPr>
          <w:instrText xml:space="preserve"> PAGEREF _Toc508873875 \h </w:instrText>
        </w:r>
        <w:r w:rsidR="00B95CCD">
          <w:rPr>
            <w:webHidden/>
          </w:rPr>
        </w:r>
        <w:r w:rsidR="00B95CCD">
          <w:rPr>
            <w:webHidden/>
          </w:rPr>
          <w:fldChar w:fldCharType="separate"/>
        </w:r>
        <w:r w:rsidR="00F57B96">
          <w:rPr>
            <w:webHidden/>
          </w:rPr>
          <w:t>25</w:t>
        </w:r>
        <w:r w:rsidR="00B95CCD">
          <w:rPr>
            <w:webHidden/>
          </w:rPr>
          <w:fldChar w:fldCharType="end"/>
        </w:r>
      </w:hyperlink>
    </w:p>
    <w:p w:rsidR="00B95CCD" w:rsidRDefault="00F7008C">
      <w:pPr>
        <w:pStyle w:val="Verzeichnis1"/>
        <w:tabs>
          <w:tab w:val="right" w:leader="dot" w:pos="4383"/>
        </w:tabs>
        <w:rPr>
          <w:rFonts w:asciiTheme="minorHAnsi" w:eastAsiaTheme="minorEastAsia" w:hAnsiTheme="minorHAnsi" w:cstheme="minorBidi"/>
          <w:b w:val="0"/>
          <w:noProof/>
        </w:rPr>
      </w:pPr>
      <w:hyperlink w:anchor="_Toc508873876" w:history="1">
        <w:r w:rsidR="00B95CCD" w:rsidRPr="00B217BB">
          <w:rPr>
            <w:rStyle w:val="Hyperlink"/>
            <w:noProof/>
          </w:rPr>
          <w:t>Geschäftsbereich des Staatsministeriums für Arbeit und Soziales, Familie und Integration</w:t>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77" w:history="1">
        <w:r w:rsidR="00B95CCD" w:rsidRPr="00B217BB">
          <w:rPr>
            <w:rStyle w:val="Hyperlink"/>
          </w:rPr>
          <w:t>Mütze, Thomas (BÜNDNIS 90/DIE GRÜNEN)</w:t>
        </w:r>
        <w:r w:rsidR="00B95CCD" w:rsidRPr="00B217BB">
          <w:rPr>
            <w:rStyle w:val="Hyperlink"/>
          </w:rPr>
          <w:br/>
          <w:t>Einheitliche Regelung für ver</w:t>
        </w:r>
        <w:r w:rsidR="00105D40">
          <w:rPr>
            <w:rStyle w:val="Hyperlink"/>
          </w:rPr>
          <w:softHyphen/>
        </w:r>
        <w:r w:rsidR="00B95CCD" w:rsidRPr="00B217BB">
          <w:rPr>
            <w:rStyle w:val="Hyperlink"/>
          </w:rPr>
          <w:t>kaufsoffene Sonntage</w:t>
        </w:r>
        <w:r w:rsidR="00B95CCD">
          <w:rPr>
            <w:webHidden/>
          </w:rPr>
          <w:tab/>
        </w:r>
        <w:r w:rsidR="00B95CCD">
          <w:rPr>
            <w:webHidden/>
          </w:rPr>
          <w:fldChar w:fldCharType="begin"/>
        </w:r>
        <w:r w:rsidR="00B95CCD">
          <w:rPr>
            <w:webHidden/>
          </w:rPr>
          <w:instrText xml:space="preserve"> PAGEREF _Toc508873877 \h </w:instrText>
        </w:r>
        <w:r w:rsidR="00B95CCD">
          <w:rPr>
            <w:webHidden/>
          </w:rPr>
        </w:r>
        <w:r w:rsidR="00B95CCD">
          <w:rPr>
            <w:webHidden/>
          </w:rPr>
          <w:fldChar w:fldCharType="separate"/>
        </w:r>
        <w:r w:rsidR="00F57B96">
          <w:rPr>
            <w:webHidden/>
          </w:rPr>
          <w:t>27</w:t>
        </w:r>
        <w:r w:rsidR="00B95CCD">
          <w:rPr>
            <w:webHidden/>
          </w:rPr>
          <w:fldChar w:fldCharType="end"/>
        </w:r>
      </w:hyperlink>
    </w:p>
    <w:p w:rsidR="00B95CCD" w:rsidRDefault="00F7008C">
      <w:pPr>
        <w:pStyle w:val="Verzeichnis1"/>
        <w:tabs>
          <w:tab w:val="right" w:leader="dot" w:pos="4383"/>
        </w:tabs>
        <w:rPr>
          <w:rFonts w:asciiTheme="minorHAnsi" w:eastAsiaTheme="minorEastAsia" w:hAnsiTheme="minorHAnsi" w:cstheme="minorBidi"/>
          <w:b w:val="0"/>
          <w:noProof/>
        </w:rPr>
      </w:pPr>
      <w:hyperlink w:anchor="_Toc508873878" w:history="1">
        <w:r w:rsidR="00B95CCD" w:rsidRPr="00B217BB">
          <w:rPr>
            <w:rStyle w:val="Hyperlink"/>
            <w:noProof/>
          </w:rPr>
          <w:t>Geschäftsbereich des Staatsministeriums für Gesundheit und Pflege</w:t>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79" w:history="1">
        <w:r w:rsidR="00B95CCD" w:rsidRPr="00B217BB">
          <w:rPr>
            <w:rStyle w:val="Hyperlink"/>
          </w:rPr>
          <w:t>Leiner, Ulrich (BÜNDNIS 90/DIE GRÜNEN)</w:t>
        </w:r>
        <w:r w:rsidR="00B95CCD" w:rsidRPr="00B217BB">
          <w:rPr>
            <w:rStyle w:val="Hyperlink"/>
          </w:rPr>
          <w:br/>
          <w:t>Vorhalten von Kurzzeitpflegeplätzen fördern</w:t>
        </w:r>
        <w:r w:rsidR="00B95CCD">
          <w:rPr>
            <w:webHidden/>
          </w:rPr>
          <w:tab/>
        </w:r>
        <w:r w:rsidR="00B95CCD">
          <w:rPr>
            <w:webHidden/>
          </w:rPr>
          <w:fldChar w:fldCharType="begin"/>
        </w:r>
        <w:r w:rsidR="00B95CCD">
          <w:rPr>
            <w:webHidden/>
          </w:rPr>
          <w:instrText xml:space="preserve"> PAGEREF _Toc508873879 \h </w:instrText>
        </w:r>
        <w:r w:rsidR="00B95CCD">
          <w:rPr>
            <w:webHidden/>
          </w:rPr>
        </w:r>
        <w:r w:rsidR="00B95CCD">
          <w:rPr>
            <w:webHidden/>
          </w:rPr>
          <w:fldChar w:fldCharType="separate"/>
        </w:r>
        <w:r w:rsidR="00F57B96">
          <w:rPr>
            <w:webHidden/>
          </w:rPr>
          <w:t>28</w:t>
        </w:r>
        <w:r w:rsidR="00B95CCD">
          <w:rPr>
            <w:webHidden/>
          </w:rPr>
          <w:fldChar w:fldCharType="end"/>
        </w:r>
      </w:hyperlink>
    </w:p>
    <w:p w:rsidR="00B95CCD" w:rsidRDefault="00F7008C">
      <w:pPr>
        <w:pStyle w:val="Verzeichnis2"/>
        <w:tabs>
          <w:tab w:val="right" w:leader="dot" w:pos="4383"/>
        </w:tabs>
        <w:rPr>
          <w:rFonts w:asciiTheme="minorHAnsi" w:eastAsiaTheme="minorEastAsia" w:hAnsiTheme="minorHAnsi" w:cstheme="minorBidi"/>
          <w:sz w:val="22"/>
        </w:rPr>
      </w:pPr>
      <w:hyperlink w:anchor="_Toc508873880" w:history="1">
        <w:r w:rsidR="00B95CCD" w:rsidRPr="00B217BB">
          <w:rPr>
            <w:rStyle w:val="Hyperlink"/>
          </w:rPr>
          <w:t>Sonnenholzner, Kathrin (SPD)</w:t>
        </w:r>
        <w:r w:rsidR="00B95CCD" w:rsidRPr="00B217BB">
          <w:rPr>
            <w:rStyle w:val="Hyperlink"/>
          </w:rPr>
          <w:br/>
          <w:t>Generalistische Pflegeausbildung</w:t>
        </w:r>
        <w:r w:rsidR="00B95CCD">
          <w:rPr>
            <w:webHidden/>
          </w:rPr>
          <w:tab/>
        </w:r>
        <w:r w:rsidR="00B95CCD">
          <w:rPr>
            <w:webHidden/>
          </w:rPr>
          <w:fldChar w:fldCharType="begin"/>
        </w:r>
        <w:r w:rsidR="00B95CCD">
          <w:rPr>
            <w:webHidden/>
          </w:rPr>
          <w:instrText xml:space="preserve"> PAGEREF _Toc508873880 \h </w:instrText>
        </w:r>
        <w:r w:rsidR="00B95CCD">
          <w:rPr>
            <w:webHidden/>
          </w:rPr>
        </w:r>
        <w:r w:rsidR="00B95CCD">
          <w:rPr>
            <w:webHidden/>
          </w:rPr>
          <w:fldChar w:fldCharType="separate"/>
        </w:r>
        <w:r w:rsidR="00F57B96">
          <w:rPr>
            <w:webHidden/>
          </w:rPr>
          <w:t>29</w:t>
        </w:r>
        <w:r w:rsidR="00B95CCD">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B95CCD" w:rsidP="00B95CCD">
      <w:pPr>
        <w:pStyle w:val="LTUeberschrRessort"/>
      </w:pPr>
      <w:r>
        <w:lastRenderedPageBreak/>
        <w:t>Geschäftsbereich des Staatsministeriums des Innern, für Bau und Verkehr</w:t>
      </w:r>
      <w:r>
        <w:fldChar w:fldCharType="begin"/>
      </w:r>
      <w:r>
        <w:instrText xml:space="preserve"> TC </w:instrText>
      </w:r>
      <w:r w:rsidR="00105D40">
        <w:instrText>„</w:instrText>
      </w:r>
      <w:bookmarkStart w:id="3" w:name="_Toc508873838"/>
      <w:r>
        <w:instrText>Geschäftsbereich des Staatsministeriums des Innern, für Bau und Verkehr</w:instrText>
      </w:r>
      <w:bookmarkEnd w:id="3"/>
      <w:r w:rsidR="00105D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Susann</w:t>
            </w:r>
            <w:r w:rsidRPr="00B95CCD">
              <w:rPr>
                <w:b/>
              </w:rPr>
              <w:br/>
              <w:t>Biedefeld</w:t>
            </w:r>
            <w:r w:rsidRPr="00B95CCD">
              <w:rPr>
                <w:b/>
              </w:rPr>
              <w:br/>
            </w:r>
            <w:r w:rsidRPr="00B95CCD">
              <w:t>(SPD)</w:t>
            </w:r>
            <w:r>
              <w:fldChar w:fldCharType="begin"/>
            </w:r>
            <w:r>
              <w:instrText xml:space="preserve"> TC </w:instrText>
            </w:r>
            <w:r w:rsidR="00105D40">
              <w:instrText>„</w:instrText>
            </w:r>
            <w:bookmarkStart w:id="4" w:name="_Toc508873839"/>
            <w:r>
              <w:instrText>Biedefeld, Susann (SPD)</w:instrText>
            </w:r>
            <w:r>
              <w:br/>
              <w:instrText>Fördermittel für Feuerwehren</w:instrText>
            </w:r>
            <w:bookmarkEnd w:id="4"/>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welche konkreten Fördertöpfe (Haushaltstitel) unterstützen Kommunen bei Umbaumaßnahmen (Umkleideräume, Sanitära</w:t>
            </w:r>
            <w:r>
              <w:t>n</w:t>
            </w:r>
            <w:r>
              <w:t>lagen etc.) von Feuerwehrhäusern, damit auch Frauen Feuerwehrdienst lei</w:t>
            </w:r>
            <w:r>
              <w:t>s</w:t>
            </w:r>
            <w:r>
              <w:t>ten können, aus welchen Fördertöpfen (Haushaltstitel) werden dringend no</w:t>
            </w:r>
            <w:r>
              <w:t>t</w:t>
            </w:r>
            <w:r>
              <w:t>wendige energetische Sanierungen und Umbauarbeiten (Dachausbau für Feuerwehrschulungsraum) von Dorfhäusern (Gemeinschaftshäusern der Ve</w:t>
            </w:r>
            <w:r>
              <w:t>r</w:t>
            </w:r>
            <w:r>
              <w:t>eine) bezuschusst und unter welchen konkreten Kriterien?</w:t>
            </w:r>
          </w:p>
          <w:p w:rsidR="00B95CCD" w:rsidRDefault="00B95CCD" w:rsidP="00B95CCD">
            <w:pPr>
              <w:pStyle w:val="LTAnfrageText"/>
            </w:pPr>
          </w:p>
        </w:tc>
      </w:tr>
    </w:tbl>
    <w:p w:rsidR="00B95CCD" w:rsidRDefault="00B95CCD" w:rsidP="009F18A5">
      <w:pPr>
        <w:pStyle w:val="LTUeberschrAntwortRessort"/>
        <w:spacing w:before="0"/>
      </w:pPr>
      <w:r>
        <w:t>Antwort des Staatsministeriums des Innern, für Bau und Verkehr</w:t>
      </w:r>
    </w:p>
    <w:p w:rsidR="00B95CCD" w:rsidRDefault="00B95CCD" w:rsidP="00B95CCD">
      <w:pPr>
        <w:pStyle w:val="LTAntwortRessortText"/>
      </w:pPr>
      <w:r>
        <w:t>Die Staatsregierung unterstützt die Gemeinden bei der Erfüllung ihrer Pflichtaufgabe, einen wir</w:t>
      </w:r>
      <w:r>
        <w:t>k</w:t>
      </w:r>
      <w:r>
        <w:t>samen abwehrenden Brandschutz und eine ausreichende technische Hilfeleistung siche</w:t>
      </w:r>
      <w:r w:rsidR="00C37001">
        <w:t>r</w:t>
      </w:r>
      <w:r>
        <w:t>zustellen und hierzu gemeindliche Feuerwehren aufzustellen, auszurüsten und zu unterhalten, u.</w:t>
      </w:r>
      <w:r w:rsidR="00C37001">
        <w:t> </w:t>
      </w:r>
      <w:r>
        <w:t>a. mit staa</w:t>
      </w:r>
      <w:r>
        <w:t>t</w:t>
      </w:r>
      <w:r>
        <w:t xml:space="preserve">lichen Zuwendungen für die Beschaffung von Feuerwehrfahrzeugen und -geräten sowie für den Bau von Feuerwehrgerätehäusern. Nach Nrn. 2.1 </w:t>
      </w:r>
      <w:r w:rsidR="00C37001">
        <w:t>und 2.2 der Richtlinien für Zu</w:t>
      </w:r>
      <w:r>
        <w:t>wendungen des Freistaat</w:t>
      </w:r>
      <w:r w:rsidR="003B54D2">
        <w:t>e</w:t>
      </w:r>
      <w:r>
        <w:t>s Bayern zur Förderung des kommunalen Feuerwehrwesen</w:t>
      </w:r>
      <w:r w:rsidR="00C37001">
        <w:t>s (Feuer</w:t>
      </w:r>
      <w:r>
        <w:t>wehr-Zuwend</w:t>
      </w:r>
      <w:r w:rsidR="003B54D2">
        <w:softHyphen/>
      </w:r>
      <w:r>
        <w:t>ungs</w:t>
      </w:r>
      <w:r w:rsidR="003B54D2">
        <w:softHyphen/>
      </w:r>
      <w:r>
        <w:t xml:space="preserve">richtlinien </w:t>
      </w:r>
      <w:r w:rsidR="00C37001">
        <w:t>–</w:t>
      </w:r>
      <w:r>
        <w:t xml:space="preserve"> FwZR) wird die Schaffung notwendiger Stellplätze durch</w:t>
      </w:r>
    </w:p>
    <w:p w:rsidR="00B95CCD" w:rsidRDefault="00B95CCD" w:rsidP="008D10ED">
      <w:pPr>
        <w:pStyle w:val="LTAntwortRessortText"/>
        <w:numPr>
          <w:ilvl w:val="0"/>
          <w:numId w:val="24"/>
        </w:numPr>
        <w:spacing w:before="120"/>
        <w:ind w:left="1054" w:hanging="357"/>
      </w:pPr>
      <w:r>
        <w:t>Neubau und Erweiterungen von Feuerwehrgerätehäusern und Feuerwachen,</w:t>
      </w:r>
    </w:p>
    <w:p w:rsidR="00B95CCD" w:rsidRDefault="00B95CCD" w:rsidP="008D10ED">
      <w:pPr>
        <w:pStyle w:val="LTAntwortRessortText"/>
        <w:numPr>
          <w:ilvl w:val="0"/>
          <w:numId w:val="24"/>
        </w:numPr>
        <w:spacing w:before="120"/>
        <w:ind w:left="1054" w:hanging="357"/>
      </w:pPr>
      <w:r>
        <w:t>Einrichtung von Feuerwehrgerätehäusern und Feuerwachen in ein zu diesem Zweck e</w:t>
      </w:r>
      <w:r>
        <w:t>r</w:t>
      </w:r>
      <w:r>
        <w:t>worbenes bzw. bereits im Eigentum der Gemeinde stehendes Gebäude sowie</w:t>
      </w:r>
    </w:p>
    <w:p w:rsidR="00B95CCD" w:rsidRDefault="00B95CCD" w:rsidP="008D10ED">
      <w:pPr>
        <w:pStyle w:val="LTAntwortRessortText"/>
        <w:numPr>
          <w:ilvl w:val="0"/>
          <w:numId w:val="24"/>
        </w:numPr>
        <w:spacing w:before="120"/>
        <w:ind w:left="1054" w:hanging="357"/>
      </w:pPr>
      <w:r>
        <w:t>Ersatz von baulich nicht den Unfallverhütungsvorschriften entsprechenden Stellplätzen durch neu errichtete Stellplätze</w:t>
      </w:r>
    </w:p>
    <w:p w:rsidR="00B95CCD" w:rsidRDefault="00B95CCD" w:rsidP="00551926">
      <w:pPr>
        <w:pStyle w:val="LTAntwortRessortText"/>
        <w:spacing w:before="120"/>
      </w:pPr>
      <w:r>
        <w:t>gefördert. Eine Förderung von bloßen Sanierungs- und U</w:t>
      </w:r>
      <w:r w:rsidR="00551926">
        <w:t>mbaumaßnahmen an Feuerwehrgerä-t</w:t>
      </w:r>
      <w:r>
        <w:t>ehäusern sehen die Feuerwehr-Zuwendungsrichtlinien nicht vor.</w:t>
      </w:r>
    </w:p>
    <w:p w:rsidR="00B95CCD" w:rsidRPr="00551926" w:rsidRDefault="00B95CCD" w:rsidP="00B95CCD">
      <w:pPr>
        <w:pStyle w:val="LTAntwortRessortText"/>
        <w:rPr>
          <w:spacing w:val="-2"/>
        </w:rPr>
      </w:pPr>
      <w:r w:rsidRPr="00551926">
        <w:rPr>
          <w:spacing w:val="-2"/>
        </w:rPr>
        <w:t xml:space="preserve">Die Förderung von Feuerwehrgerätehäusern erfolgt aus dem Einzelplan 03A, </w:t>
      </w:r>
      <w:r w:rsidR="00551926" w:rsidRPr="00551926">
        <w:rPr>
          <w:spacing w:val="-2"/>
        </w:rPr>
        <w:t>Kap. 03 23 Tit.</w:t>
      </w:r>
      <w:r w:rsidRPr="00551926">
        <w:rPr>
          <w:spacing w:val="-2"/>
        </w:rPr>
        <w:t xml:space="preserve"> 883</w:t>
      </w:r>
      <w:r w:rsidR="00551926" w:rsidRPr="00551926">
        <w:rPr>
          <w:spacing w:val="-2"/>
        </w:rPr>
        <w:t> </w:t>
      </w:r>
      <w:r w:rsidRPr="00551926">
        <w:rPr>
          <w:spacing w:val="-2"/>
        </w:rPr>
        <w:t>02 (Zuweisungen an Gemeinden und Gemeindeverbände zur Förderung von Feuerwehrgerätehäusern).</w:t>
      </w:r>
    </w:p>
    <w:p w:rsidR="00B95CCD" w:rsidRDefault="00B95CCD" w:rsidP="00B95CCD">
      <w:pPr>
        <w:pStyle w:val="LTAntwortRessortText"/>
      </w:pPr>
      <w:r>
        <w:t>Für die staatliche Feuerwehrförderung insgesamt (also für Feuerwehrgerätehäuser sowie Fahrze</w:t>
      </w:r>
      <w:r>
        <w:t>u</w:t>
      </w:r>
      <w:r>
        <w:t xml:space="preserve">ge und Geräte) wurden </w:t>
      </w:r>
      <w:r w:rsidR="003B54D2">
        <w:t xml:space="preserve">im Jahr </w:t>
      </w:r>
      <w:r>
        <w:t xml:space="preserve">2017 rund 51,6 Mio. </w:t>
      </w:r>
      <w:r w:rsidR="00105D40">
        <w:t>Euro</w:t>
      </w:r>
      <w:r>
        <w:t xml:space="preserve"> ausbezahlt. Dies sind über 18 Mio. </w:t>
      </w:r>
      <w:r w:rsidR="00105D40">
        <w:t>Euro</w:t>
      </w:r>
      <w:r>
        <w:t xml:space="preserve"> und damit etwa 54</w:t>
      </w:r>
      <w:r w:rsidR="00551926">
        <w:t xml:space="preserve"> </w:t>
      </w:r>
      <w:r w:rsidR="00105D40">
        <w:t>Prozent</w:t>
      </w:r>
      <w:r>
        <w:t xml:space="preserve"> mehr als im Vorjahr. Die erheblichen Verbesserungen bei der Feue</w:t>
      </w:r>
      <w:r>
        <w:t>r</w:t>
      </w:r>
      <w:r>
        <w:t>wehrförderung in den letzten Jahren werden jetzt immer stärker sichtbar.</w:t>
      </w:r>
    </w:p>
    <w:p w:rsidR="00B95CCD" w:rsidRDefault="00B95CCD" w:rsidP="00B95CCD">
      <w:pPr>
        <w:pStyle w:val="LTAntwortRessortText"/>
      </w:pPr>
      <w:r>
        <w:t>Die energetische Sanierung der genannten Anlagen fördert dagegen weder die Wohnraumförd</w:t>
      </w:r>
      <w:r>
        <w:t>e</w:t>
      </w:r>
      <w:r>
        <w:t xml:space="preserve">rung noch die Städtebauförderung. Das Kommunalinvestitionsprogramm </w:t>
      </w:r>
      <w:r w:rsidR="00551926">
        <w:t>(</w:t>
      </w:r>
      <w:r>
        <w:t>KIP</w:t>
      </w:r>
      <w:r w:rsidR="00551926">
        <w:t>)</w:t>
      </w:r>
      <w:r>
        <w:t xml:space="preserve"> hatte u.</w:t>
      </w:r>
      <w:r w:rsidR="00551926">
        <w:t> </w:t>
      </w:r>
      <w:r>
        <w:t>a. die ene</w:t>
      </w:r>
      <w:r>
        <w:t>r</w:t>
      </w:r>
      <w:r>
        <w:t xml:space="preserve">getische Sanierung kommunaler Gebäude zum Gegenstand. Der Bund hatte ein Sondervermögen </w:t>
      </w:r>
      <w:r w:rsidR="00105D40">
        <w:t>„</w:t>
      </w:r>
      <w:r>
        <w:t>Kommunalinvestitionsförderungsfonds</w:t>
      </w:r>
      <w:r w:rsidR="00105D40">
        <w:t>“</w:t>
      </w:r>
      <w:r>
        <w:t xml:space="preserve"> in Höhe von 3,5 </w:t>
      </w:r>
      <w:r w:rsidR="00551926">
        <w:t>Mrd.</w:t>
      </w:r>
      <w:r>
        <w:t xml:space="preserve"> Euro (Anteil Bayern 289,24 </w:t>
      </w:r>
      <w:r w:rsidR="00551926">
        <w:t>Mio.</w:t>
      </w:r>
      <w:r>
        <w:t xml:space="preserve"> E</w:t>
      </w:r>
      <w:r>
        <w:t>u</w:t>
      </w:r>
      <w:r>
        <w:t xml:space="preserve">ro) zur Förderung von Investitionen finanzschwacher Gemeinden und Gemeindeverbände in den Jahren 2015 bis 2018 eingerichtet. Das gegenwärtig laufende sog. Kommunalinvestitionsprogramm Schulinfrastruktur </w:t>
      </w:r>
      <w:r w:rsidR="00551926">
        <w:t>(</w:t>
      </w:r>
      <w:r>
        <w:t>KIP-S</w:t>
      </w:r>
      <w:r w:rsidR="00551926">
        <w:t>)</w:t>
      </w:r>
      <w:r>
        <w:t xml:space="preserve"> b</w:t>
      </w:r>
      <w:r w:rsidR="00551926">
        <w:t>efasst sich nur mit Schul</w:t>
      </w:r>
      <w:r>
        <w:t>gebäuden. Auch im Rahmen der Dorferneu</w:t>
      </w:r>
      <w:r>
        <w:t>e</w:t>
      </w:r>
      <w:r>
        <w:t>rung können Gebäude oder Teile davon, die den Zwecken der Feuerwehr dienen (Pflichtaufgabe der Gemeinden), nicht gefördert wer</w:t>
      </w:r>
      <w:r w:rsidR="003B54D2">
        <w:t>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lastRenderedPageBreak/>
              <w:t>Abgeordnete</w:t>
            </w:r>
            <w:r w:rsidRPr="00B95CCD">
              <w:br/>
            </w:r>
            <w:r w:rsidRPr="00B95CCD">
              <w:rPr>
                <w:b/>
              </w:rPr>
              <w:t>Kerstin</w:t>
            </w:r>
            <w:r w:rsidRPr="00B95CCD">
              <w:rPr>
                <w:b/>
              </w:rPr>
              <w:br/>
              <w:t>Celina</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5" w:name="_Toc508873840"/>
            <w:r>
              <w:instrText>Celina, Kerstin (BÜNDNIS 90/DIE GRÜNEN)</w:instrText>
            </w:r>
            <w:r>
              <w:br/>
              <w:instrText>Geplantes Design-Hotel in Volkach</w:instrText>
            </w:r>
            <w:bookmarkEnd w:id="5"/>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Nachdem das Landratsamt Kitzingen dem Neubau eines Hotels am Mainufer im Hochwasserbereich in Volkach mit dem Vorbescheid vom 26.09.2017 z</w:t>
            </w:r>
            <w:r>
              <w:t>u</w:t>
            </w:r>
            <w:r>
              <w:t>gestimmt hat, frage ich die Staatsregierung, auf welches Grundstück bzw. Grundstücke sich der Bauantrag, der Beschluss des Stadtrats Volkach am 18.09.2017 und der Vorbescheid beziehen (bitte mit Angabe der Flurnu</w:t>
            </w:r>
            <w:r>
              <w:t>m</w:t>
            </w:r>
            <w:r>
              <w:t>mern), ob die ausgewiesene Fläche für den Hotelbau unter Einbeziehung aller bestehenden Bauvorschriften, z. B. Abstandsflächen, Ausgleichsflächen für Hochwasser und Naturschutz, Parkplätzen und Zugangswegen, ausreichend ist und ob all diese Flächen auf der Volkacher Gemarkung bereitgestellt we</w:t>
            </w:r>
            <w:r>
              <w:t>r</w:t>
            </w:r>
            <w:r>
              <w:t>den müssen?</w:t>
            </w:r>
          </w:p>
          <w:p w:rsidR="00B95CCD" w:rsidRDefault="00B95CCD" w:rsidP="00B95CCD">
            <w:pPr>
              <w:pStyle w:val="LTAnfrageText"/>
            </w:pPr>
          </w:p>
        </w:tc>
      </w:tr>
    </w:tbl>
    <w:p w:rsidR="00B95CCD" w:rsidRDefault="00B95CCD" w:rsidP="009F18A5">
      <w:pPr>
        <w:pStyle w:val="LTUeberschrAntwortRessort"/>
        <w:spacing w:before="0"/>
      </w:pPr>
      <w:r>
        <w:t>Antwort des Staatsministeriums des Innern, für Bau und Verkehr</w:t>
      </w:r>
    </w:p>
    <w:p w:rsidR="00B95CCD" w:rsidRDefault="00B95CCD" w:rsidP="00B95CCD">
      <w:pPr>
        <w:pStyle w:val="LTAntwortRessortText"/>
      </w:pPr>
      <w:r>
        <w:t>In dem am 08.09.2017 bei der Verwaltungsgemeinschaft Volkach eingereichten Bauantrag und im Beschluss des Stadtrats der Stadt Volkach vom 18.09.2017 ist als Vorhabensgrundstück das Grundstück Fl.Nr. 1958/6 der Gemarkung Volkach angegeben. Aus den Antragsunterlagen geht j</w:t>
      </w:r>
      <w:r>
        <w:t>e</w:t>
      </w:r>
      <w:r>
        <w:t>doch hervor, dass das Vorhaben neben dem Grundstück Fl.Nr. 1958/6 auch auf einem Teilbereich des Grundstücks Fl.Nr. 2200 der Gemarkung Volkach angesiedelt werden soll.</w:t>
      </w:r>
    </w:p>
    <w:p w:rsidR="00B95CCD" w:rsidRDefault="00B95CCD" w:rsidP="00B95CCD">
      <w:pPr>
        <w:pStyle w:val="LTAntwortRessortText"/>
      </w:pPr>
      <w:r>
        <w:t>Dies hat der Bauherr im Verfahren gegenüber dem Landratsamt Kitzingen auch unter Vorlage eines entsprechenden Lageplans klargestellt. Im Vorbescheid vom 26.09.2017 werden beide Grundst</w:t>
      </w:r>
      <w:r>
        <w:t>ü</w:t>
      </w:r>
      <w:r>
        <w:t>cke genannt, unter Bezugnahme auf die eingereichten Unterlagen einschließlich des Lageplans.</w:t>
      </w:r>
    </w:p>
    <w:p w:rsidR="00B95CCD" w:rsidRDefault="00551926" w:rsidP="00B95CCD">
      <w:pPr>
        <w:pStyle w:val="LTAntwortRessortText"/>
      </w:pPr>
      <w:r>
        <w:t>H</w:t>
      </w:r>
      <w:r w:rsidR="00B95CCD">
        <w:t>insichtlich der für das Vorhaben darüber hinaus ggf. benötigten Flächen liegen der Staatsregi</w:t>
      </w:r>
      <w:r w:rsidR="00B95CCD">
        <w:t>e</w:t>
      </w:r>
      <w:r w:rsidR="00B95CCD">
        <w:t>rung keine Detailplanungen des Bauherrn vor. Es ist noch nicht bekannt, auf welchen Flächen der naturschutzrechtliche Ausgleich und die wasserrechtliche Retentionsfläche nachgewiesen werden sollen. Gleiches trifft für die Zugangswege und Parkflächen zu. Zu Letzteren hatte der Bauherr im Verfahren mitgeteilt, diese möglichst unterhalb des Stützengeschosses unterbringen zu wollen. Die Abstandsflächen würden aller Voraussicht nach auf den o.</w:t>
      </w:r>
      <w:r>
        <w:t> </w:t>
      </w:r>
      <w:r w:rsidR="00B95CCD">
        <w:t>g.</w:t>
      </w:r>
      <w:r>
        <w:t xml:space="preserve"> G</w:t>
      </w:r>
      <w:r w:rsidR="00B95CCD">
        <w:t>rundstücken Fl.Nrn. 1958/6 und Fl.Nr. 2200 und dem unmittelbar angrenzenden Grundstück</w:t>
      </w:r>
      <w:r>
        <w:t xml:space="preserve"> </w:t>
      </w:r>
      <w:r w:rsidR="00B95CCD">
        <w:t>Fl.Nr. 1958/7 der Gemarkung Volkach zum Liegen kommen. Der wasserrechtliche Ausgleich wird üblicherweise in derselben Stauhaltung (hier Staustufe Volkach mainaufwärts bis Staustufe Wipfeld) verlangt. Beim naturschutzrechtlichen Ausgleich ist zu differenzieren, nach welcher Rechtsgrundlage er zu leisten ist. Findet die natu</w:t>
      </w:r>
      <w:r w:rsidR="00B95CCD">
        <w:t>r</w:t>
      </w:r>
      <w:r w:rsidR="00B95CCD">
        <w:t>schutzrechtliche Eingriffsregelung Anwendung, kann die Kompensation auch an anderer Stelle i</w:t>
      </w:r>
      <w:r w:rsidR="00B95CCD">
        <w:t>n</w:t>
      </w:r>
      <w:r w:rsidR="00B95CCD">
        <w:t>nerhalb desselben Naturraums erfolgen. Sollten nach dem Artenschutzrecht Maßnahmen zur da</w:t>
      </w:r>
      <w:r w:rsidR="00B95CCD">
        <w:t>u</w:t>
      </w:r>
      <w:r w:rsidR="00B95CCD">
        <w:t>erhaften Sicherung der ökologischen Funktion notwendig sein, müssen diese am betroffenen B</w:t>
      </w:r>
      <w:r w:rsidR="00B95CCD">
        <w:t>e</w:t>
      </w:r>
      <w:r w:rsidR="00B95CCD">
        <w:t>stand der geschützten Arten ansetzen; sie weisen damit regelmäßig eine gewisse örtliche Nähe zum Ort des Eingriffs auf. Es bleibt abzuwarten, welche Flächen der Antragsteller für den Ausgleich benennt.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Dr. Hans Jü</w:t>
            </w:r>
            <w:r w:rsidRPr="00B95CCD">
              <w:rPr>
                <w:b/>
              </w:rPr>
              <w:t>r</w:t>
            </w:r>
            <w:r w:rsidRPr="00B95CCD">
              <w:rPr>
                <w:b/>
              </w:rPr>
              <w:t>gen</w:t>
            </w:r>
            <w:r w:rsidRPr="00B95CCD">
              <w:rPr>
                <w:b/>
              </w:rPr>
              <w:br/>
              <w:t>Fahn</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6" w:name="_Toc508873841"/>
            <w:r>
              <w:instrText>Dr. Fahn, Hans Jürgen (FREIE WÄHLER)</w:instrText>
            </w:r>
            <w:r>
              <w:br/>
              <w:instrText>Ziel- und Quellverkehr in Stadtprozelten</w:instrText>
            </w:r>
            <w:bookmarkEnd w:id="6"/>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9F18A5">
            <w:pPr>
              <w:pStyle w:val="LTAnfrageText"/>
            </w:pPr>
            <w:r>
              <w:t>Ich frage die Staatsregierung, wie hoch ist der innerörtliche Ziel- und Quellve</w:t>
            </w:r>
            <w:r>
              <w:t>r</w:t>
            </w:r>
            <w:r>
              <w:t>kehr in Stadtprozelten (bitte in absoluten Zahlen und in Prozentzahlen, unter Angabe der jeweiligen Zählstelle und der Zählzeiten), der im September 2016 durch das Staatliche Bauamt Aschaffenburg im Rahmen einer Verkehrsbefr</w:t>
            </w:r>
            <w:r>
              <w:t>a</w:t>
            </w:r>
            <w:r>
              <w:t>gung ermittelt wurde und welche Ergebnisse brachte eine diesbezügliche Ve</w:t>
            </w:r>
            <w:r>
              <w:t>r</w:t>
            </w:r>
            <w:r>
              <w:t>kehrskonferenz im Südspessart im Hinblick auf die Verkehrsströme in Stad</w:t>
            </w:r>
            <w:r>
              <w:t>t</w:t>
            </w:r>
            <w:r>
              <w:t>prozelten?</w:t>
            </w:r>
          </w:p>
        </w:tc>
      </w:tr>
    </w:tbl>
    <w:p w:rsidR="00B95CCD" w:rsidRDefault="00B95CCD" w:rsidP="00B95CCD">
      <w:pPr>
        <w:pStyle w:val="LTUeberschrAntwortRessort"/>
      </w:pPr>
      <w:r>
        <w:lastRenderedPageBreak/>
        <w:t>Antwort des Staatsministeriums des Innern, für Bau und Verkehr</w:t>
      </w:r>
    </w:p>
    <w:p w:rsidR="00B95CCD" w:rsidRDefault="00B95CCD" w:rsidP="00B95CCD">
      <w:pPr>
        <w:pStyle w:val="LTAntwortRessortText"/>
      </w:pPr>
      <w:r>
        <w:t xml:space="preserve">Das Staatliche Bauamt Aschaffenburg hat für den Südspessart eine Verkehrserhebung im Jahr 2016 durchgeführt. In der Verkehrserhebung liefern die Videozählstelle </w:t>
      </w:r>
      <w:r w:rsidR="00105D40">
        <w:t>„</w:t>
      </w:r>
      <w:r>
        <w:t>KP4</w:t>
      </w:r>
      <w:r w:rsidR="00105D40">
        <w:t>“</w:t>
      </w:r>
      <w:r>
        <w:t xml:space="preserve"> (Stadtmitte Stadtpr</w:t>
      </w:r>
      <w:r>
        <w:t>o</w:t>
      </w:r>
      <w:r>
        <w:t xml:space="preserve">zelten [Einmündung </w:t>
      </w:r>
      <w:r w:rsidR="00105D40">
        <w:t>„</w:t>
      </w:r>
      <w:r>
        <w:t>kleine Steig</w:t>
      </w:r>
      <w:r w:rsidR="00105D40">
        <w:t>“</w:t>
      </w:r>
      <w:r>
        <w:t xml:space="preserve"> in die Hauptstraße]) sowie die Befragungsstellen</w:t>
      </w:r>
      <w:r w:rsidR="003E6F8E">
        <w:t xml:space="preserve"> </w:t>
      </w:r>
      <w:r w:rsidR="00105D40">
        <w:t>„</w:t>
      </w:r>
      <w:r>
        <w:t>QS4</w:t>
      </w:r>
      <w:r w:rsidR="00105D40">
        <w:t>“</w:t>
      </w:r>
      <w:r>
        <w:t xml:space="preserve"> (westlich Stadtprozelten) und </w:t>
      </w:r>
      <w:r w:rsidR="00105D40">
        <w:t>„</w:t>
      </w:r>
      <w:r>
        <w:t>QS5</w:t>
      </w:r>
      <w:r w:rsidR="00105D40">
        <w:t>“</w:t>
      </w:r>
      <w:r>
        <w:t xml:space="preserve"> (östlich Stadtprozelten) die Verkehrszahlen für die Stadt Stadtprozelten. Die Videoverkehrszählung am </w:t>
      </w:r>
      <w:r w:rsidR="00105D40">
        <w:t>„</w:t>
      </w:r>
      <w:r>
        <w:t>KP4</w:t>
      </w:r>
      <w:r w:rsidR="00105D40">
        <w:t>“</w:t>
      </w:r>
      <w:r w:rsidR="003E6F8E">
        <w:t xml:space="preserve"> erfolgte über 24 Stunden am 27.09.</w:t>
      </w:r>
      <w:r>
        <w:t>2016 und über sieben T</w:t>
      </w:r>
      <w:r>
        <w:t>a</w:t>
      </w:r>
      <w:r>
        <w:t>ge ab dem 23.</w:t>
      </w:r>
      <w:r w:rsidR="0062721D">
        <w:t>09.</w:t>
      </w:r>
      <w:r>
        <w:t xml:space="preserve">2016, </w:t>
      </w:r>
      <w:r w:rsidR="003E6F8E">
        <w:t>als Knotenpunktsarmzählung mit</w:t>
      </w:r>
      <w:r>
        <w:t xml:space="preserve">tels Seitenradargerät. Die Befragungen an den Stellen </w:t>
      </w:r>
      <w:r w:rsidR="00105D40">
        <w:t>„</w:t>
      </w:r>
      <w:r>
        <w:t>QS4</w:t>
      </w:r>
      <w:r w:rsidR="00105D40">
        <w:t>“</w:t>
      </w:r>
      <w:r>
        <w:t xml:space="preserve"> und </w:t>
      </w:r>
      <w:r w:rsidR="00105D40">
        <w:t>„</w:t>
      </w:r>
      <w:r>
        <w:t>QS5</w:t>
      </w:r>
      <w:r w:rsidR="00105D40">
        <w:t>“</w:t>
      </w:r>
      <w:r w:rsidR="003E6F8E">
        <w:t xml:space="preserve"> erfolgten am 20.10.2016 von 07.</w:t>
      </w:r>
      <w:r>
        <w:t>00 Uhr bis 09</w:t>
      </w:r>
      <w:r w:rsidR="003E6F8E">
        <w:t>.</w:t>
      </w:r>
      <w:r>
        <w:t>00 Uhr u</w:t>
      </w:r>
      <w:r w:rsidR="003E6F8E">
        <w:t>nd von 15.00 Uhr bis 19:.</w:t>
      </w:r>
      <w:r>
        <w:t>0 Uhr.</w:t>
      </w:r>
    </w:p>
    <w:p w:rsidR="00B95CCD" w:rsidRDefault="00B95CCD" w:rsidP="00B95CCD">
      <w:pPr>
        <w:pStyle w:val="LTAntwortRessortText"/>
      </w:pPr>
      <w:r>
        <w:t>Für den innerörtlichen Quell-Ziel-Verkehr in Stadtprozelten</w:t>
      </w:r>
      <w:r w:rsidR="003E6F8E">
        <w:t xml:space="preserve"> wurden folgende Ergebnisse er</w:t>
      </w:r>
      <w:r>
        <w:t>mittelt:</w:t>
      </w:r>
    </w:p>
    <w:p w:rsidR="00B95CCD" w:rsidRPr="003E6F8E" w:rsidRDefault="00B95CCD" w:rsidP="00B95CCD">
      <w:pPr>
        <w:pStyle w:val="LTAntwortRessortText"/>
        <w:rPr>
          <w:u w:val="single"/>
        </w:rPr>
      </w:pPr>
      <w:r w:rsidRPr="003E6F8E">
        <w:rPr>
          <w:u w:val="single"/>
        </w:rPr>
        <w:t xml:space="preserve">Fahrtrichtung Wertheim </w:t>
      </w:r>
      <w:r w:rsidR="003E6F8E">
        <w:rPr>
          <w:u w:val="single"/>
        </w:rPr>
        <w:t>–</w:t>
      </w:r>
      <w:r w:rsidRPr="003E6F8E">
        <w:rPr>
          <w:u w:val="single"/>
        </w:rPr>
        <w:t xml:space="preserve"> Miltenberg:</w:t>
      </w:r>
    </w:p>
    <w:p w:rsidR="003E6F8E" w:rsidRDefault="00B95CCD" w:rsidP="003E6F8E">
      <w:pPr>
        <w:pStyle w:val="LTAntwortRessortText"/>
        <w:spacing w:before="120"/>
      </w:pPr>
      <w:r>
        <w:t>Durchgangsverkehr:</w:t>
      </w:r>
      <w:r>
        <w:tab/>
        <w:t xml:space="preserve">76 </w:t>
      </w:r>
      <w:r w:rsidR="00105D40">
        <w:t>Prozent</w:t>
      </w:r>
      <w:r>
        <w:t xml:space="preserve"> (838 Kfz im Erhebungszeitraum) </w:t>
      </w:r>
    </w:p>
    <w:p w:rsidR="003E6F8E" w:rsidRDefault="00B95CCD" w:rsidP="003E6F8E">
      <w:pPr>
        <w:pStyle w:val="LTAntwortRessortText"/>
        <w:spacing w:before="60"/>
      </w:pPr>
      <w:r>
        <w:t>Ziel- und Quellverkehr:</w:t>
      </w:r>
      <w:r>
        <w:tab/>
        <w:t xml:space="preserve">24 </w:t>
      </w:r>
      <w:r w:rsidR="00105D40">
        <w:t>Prozent</w:t>
      </w:r>
      <w:r>
        <w:t xml:space="preserve"> (271 Kfz im Erhebungszeitraum) </w:t>
      </w:r>
    </w:p>
    <w:p w:rsidR="00B95CCD" w:rsidRPr="003E6F8E" w:rsidRDefault="00B95CCD" w:rsidP="00B95CCD">
      <w:pPr>
        <w:pStyle w:val="LTAntwortRessortText"/>
        <w:rPr>
          <w:u w:val="single"/>
        </w:rPr>
      </w:pPr>
      <w:r w:rsidRPr="003E6F8E">
        <w:rPr>
          <w:u w:val="single"/>
        </w:rPr>
        <w:t xml:space="preserve">Fahrtrichtung Miltenberg </w:t>
      </w:r>
      <w:r w:rsidR="003E6F8E">
        <w:rPr>
          <w:u w:val="single"/>
        </w:rPr>
        <w:t>–</w:t>
      </w:r>
      <w:r w:rsidRPr="003E6F8E">
        <w:rPr>
          <w:u w:val="single"/>
        </w:rPr>
        <w:t xml:space="preserve"> Wertheim:</w:t>
      </w:r>
    </w:p>
    <w:p w:rsidR="003E6F8E" w:rsidRDefault="00B95CCD" w:rsidP="003E6F8E">
      <w:pPr>
        <w:pStyle w:val="LTAntwortRessortText"/>
        <w:spacing w:before="120"/>
      </w:pPr>
      <w:r>
        <w:t>Durchgangsverkehr:</w:t>
      </w:r>
      <w:r>
        <w:tab/>
        <w:t xml:space="preserve">70 </w:t>
      </w:r>
      <w:r w:rsidR="00105D40">
        <w:t>Prozent</w:t>
      </w:r>
      <w:r>
        <w:t xml:space="preserve"> (680 Kfz im Erhebungszeitraum) </w:t>
      </w:r>
    </w:p>
    <w:p w:rsidR="00B95CCD" w:rsidRDefault="00B95CCD" w:rsidP="003E6F8E">
      <w:pPr>
        <w:pStyle w:val="LTAntwortRessortText"/>
        <w:spacing w:before="60"/>
      </w:pPr>
      <w:r>
        <w:t>Ziel- und Quellverkehr:</w:t>
      </w:r>
      <w:r>
        <w:tab/>
        <w:t xml:space="preserve">30 </w:t>
      </w:r>
      <w:r w:rsidR="00105D40">
        <w:t>Prozent</w:t>
      </w:r>
      <w:r w:rsidR="003E6F8E">
        <w:t xml:space="preserve"> (316 Kfz im Erhebungszeitraum.</w:t>
      </w:r>
    </w:p>
    <w:p w:rsidR="00B95CCD" w:rsidRDefault="00B95CCD" w:rsidP="003E6F8E">
      <w:pPr>
        <w:pStyle w:val="LTAntwortRessortText"/>
      </w:pPr>
      <w:r>
        <w:t xml:space="preserve">Die Ergebnisse der Erhebung wurden dem </w:t>
      </w:r>
      <w:r w:rsidR="00105D40">
        <w:t>„</w:t>
      </w:r>
      <w:r>
        <w:t>Arbeitskreis Südspessartbrücke</w:t>
      </w:r>
      <w:r w:rsidR="00105D40">
        <w:t>“</w:t>
      </w:r>
      <w:r w:rsidR="003E6F8E">
        <w:t xml:space="preserve"> im Jahr 2017 vorg</w:t>
      </w:r>
      <w:r w:rsidR="003E6F8E">
        <w:t>e</w:t>
      </w:r>
      <w:r w:rsidR="003E6F8E">
        <w:t>stellt.</w:t>
      </w:r>
      <w:r>
        <w:t xml:space="preserve"> </w:t>
      </w:r>
    </w:p>
    <w:p w:rsidR="00B95CCD" w:rsidRDefault="00B95CCD" w:rsidP="00B95CCD">
      <w:pPr>
        <w:pStyle w:val="LTAntwortRessortText"/>
      </w:pPr>
      <w:r>
        <w:t xml:space="preserve">Darüber hinaus ist keine spezielle </w:t>
      </w:r>
      <w:r w:rsidR="00105D40">
        <w:t>„</w:t>
      </w:r>
      <w:r>
        <w:t>Verkehrskonferenz im Südspessart</w:t>
      </w:r>
      <w:r w:rsidR="00105D40">
        <w:t>“</w:t>
      </w:r>
      <w:r>
        <w:t xml:space="preserve">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Martin</w:t>
            </w:r>
            <w:r w:rsidRPr="00B95CCD">
              <w:rPr>
                <w:b/>
              </w:rPr>
              <w:br/>
              <w:t>Güll</w:t>
            </w:r>
            <w:r w:rsidRPr="00B95CCD">
              <w:rPr>
                <w:b/>
              </w:rPr>
              <w:br/>
            </w:r>
            <w:r w:rsidRPr="00B95CCD">
              <w:t>(SPD)</w:t>
            </w:r>
            <w:r>
              <w:fldChar w:fldCharType="begin"/>
            </w:r>
            <w:r>
              <w:instrText xml:space="preserve"> TC </w:instrText>
            </w:r>
            <w:r w:rsidR="00105D40">
              <w:instrText>„</w:instrText>
            </w:r>
            <w:bookmarkStart w:id="7" w:name="_Toc508873842"/>
            <w:r>
              <w:instrText>Güll, Martin (SPD)</w:instrText>
            </w:r>
            <w:r>
              <w:br/>
              <w:instrText>Neubau der Polizeiinspektion Dachau</w:instrText>
            </w:r>
            <w:bookmarkEnd w:id="7"/>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Da auch nach Jahren der Vorplanung, einen Ersatzbau für das marode Pol</w:t>
            </w:r>
            <w:r>
              <w:t>i</w:t>
            </w:r>
            <w:r>
              <w:t>zeidienstgebäude am John-F.-Kennedy-Platz neben der Bereitschaftspolizei auf dem Gelände der Bereitschaftspolizei Dachau zu errichten, im Bauamt der Großen Kreisstadt Dachau immer noch kein Bauantrag des Staatlichen Ba</w:t>
            </w:r>
            <w:r>
              <w:t>u</w:t>
            </w:r>
            <w:r>
              <w:t>amts Freising eingegangen ist, frage ich die Staatsregierung, wann endlich mit dem Bauantrag konkret gerechnet werden kann, welche Schwierigkeiten dem Bauvorhaben ggf. noch entgegenstehen (etwa die Belange von Naturschutz, Denkmalschutz, Altlasten, Verkehr und Immissionsschutz) und wann die erfo</w:t>
            </w:r>
            <w:r>
              <w:t>r</w:t>
            </w:r>
            <w:r>
              <w:t>derlichen Mittel im Staatshaushalt eingestellt werden?</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 xml:space="preserve">Die Baumaßnahme </w:t>
      </w:r>
      <w:r w:rsidR="00105D40">
        <w:t>„</w:t>
      </w:r>
      <w:r>
        <w:t>Neubau der P</w:t>
      </w:r>
      <w:r w:rsidR="0087726E">
        <w:t>olizeiinspektion</w:t>
      </w:r>
      <w:r>
        <w:t xml:space="preserve"> Dachau</w:t>
      </w:r>
      <w:r w:rsidR="00105D40">
        <w:t>“</w:t>
      </w:r>
      <w:r>
        <w:t xml:space="preserve"> befindet sich auf einem guten Weg.</w:t>
      </w:r>
    </w:p>
    <w:p w:rsidR="00B95CCD" w:rsidRDefault="00B95CCD" w:rsidP="0087726E">
      <w:pPr>
        <w:pStyle w:val="LTAntwortRessortText"/>
        <w:spacing w:before="120"/>
      </w:pPr>
      <w:r>
        <w:t>Das Vorhaben unterliegt als staatliche Hochbaumaßnahme der bauaufsichtlichen Zustimmung nach Art. 73</w:t>
      </w:r>
      <w:r w:rsidR="0087726E">
        <w:t xml:space="preserve"> </w:t>
      </w:r>
      <w:r>
        <w:t>Bayerische Bauordnung (BayBO). Zustimmungsbehörde ist die Regierung von Oberbayern. Ein Bauantrag für eine Baugenehmigung, wie ihn vergleichsweise ein privater Bauherr stellt, wird dadurch ersetzt. Zur Schaffung von Baurecht ist vorab ein vorhabenbezogener Bebauungsplan e</w:t>
      </w:r>
      <w:r>
        <w:t>r</w:t>
      </w:r>
      <w:r>
        <w:t xml:space="preserve">forderlich und in Vorbereitung. Die Belange von Naturschutz, Denkmalschutz, Altlasten, Verkehr und Immissionsschutz sind vorgeklärt. Der Aufstellungsbeschluss der Stadt Dachau soll noch vor der Sommerpause </w:t>
      </w:r>
      <w:r w:rsidR="0087726E">
        <w:t xml:space="preserve">2018 </w:t>
      </w:r>
      <w:r>
        <w:t>erfolgen.</w:t>
      </w:r>
    </w:p>
    <w:p w:rsidR="00B95CCD" w:rsidRDefault="00B95CCD" w:rsidP="00B95CCD">
      <w:pPr>
        <w:pStyle w:val="LTAntwortRessortText"/>
      </w:pPr>
      <w:r>
        <w:lastRenderedPageBreak/>
        <w:t>Zeitgleich mit der Erarbeitung der Unterlagen für den Bebauungsplan erstellt das Staatliche Bauamt Freising die Unterlagen für die Haushaltsunterlage-Bau (Entwurfsplanung mit Kostenberechnung). Die Planungen sind weit fortgeschritten, sodass sie dem Ausschuss für Staatshaushalt und Finan</w:t>
      </w:r>
      <w:r>
        <w:t>z</w:t>
      </w:r>
      <w:r>
        <w:t>fragen voraussichtlich im Juli 2018 zur Genehmigung vorgelegt werden können.</w:t>
      </w:r>
    </w:p>
    <w:p w:rsidR="00B95CCD" w:rsidRDefault="00B95CCD" w:rsidP="00B95CCD">
      <w:pPr>
        <w:pStyle w:val="LTAntwortRessortText"/>
      </w:pPr>
      <w:r>
        <w:t>Die für die Planung erforderlichen Haushaltsmittel stehen im Doppelhaushalt 2017/2018 zur Verf</w:t>
      </w:r>
      <w:r>
        <w:t>ü</w:t>
      </w:r>
      <w:r>
        <w:t>gung; Mittel für die Baudurchführung im Doppelhaushalt 2019/2020 stehen unter dem Vorbehalt künftiger Haushaltsverhandlungen.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Dr. Leopold</w:t>
            </w:r>
            <w:r w:rsidRPr="00B95CCD">
              <w:rPr>
                <w:b/>
              </w:rPr>
              <w:br/>
              <w:t>Herz</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8" w:name="_Toc508873843"/>
            <w:r>
              <w:instrText>Dr. Herz, Leopold (FREIE WÄHLER)</w:instrText>
            </w:r>
            <w:r>
              <w:br/>
              <w:instrText>Besoldung von Bürgermeisterinnen und Bürgermeistern</w:instrText>
            </w:r>
            <w:bookmarkEnd w:id="8"/>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ist es richtig, dass bayerische Bürgermeisteri</w:t>
            </w:r>
            <w:r>
              <w:t>n</w:t>
            </w:r>
            <w:r>
              <w:t>nen und Bürgermeister im Vergleich zu anderen Bundesländern wesentlich schlechter verdienen (falls bekannt, bitte Auflistung der anderen Bundeslä</w:t>
            </w:r>
            <w:r>
              <w:t>n</w:t>
            </w:r>
            <w:r>
              <w:t>der), ist daran gedacht die Besoldungsstruktur grundsätzlich anzupassen (be</w:t>
            </w:r>
            <w:r>
              <w:t>i</w:t>
            </w:r>
            <w:r>
              <w:t>spielsweise an die Einstufungen in Baden-Württemberg und speziell für die Größenklasse bis 10.000 Einwohner) und wenn ja, wie ist diese vorgesehen?</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Es ist nicht richtig</w:t>
      </w:r>
      <w:r w:rsidR="000436BA">
        <w:t>, dass bayerische berufsmäßige E</w:t>
      </w:r>
      <w:r>
        <w:t>rste Bürgermeister</w:t>
      </w:r>
      <w:r w:rsidR="000436BA">
        <w:t>innen und Bürgermeister</w:t>
      </w:r>
      <w:r>
        <w:t xml:space="preserve"> im Vergleich zu anderen Ländern generell wesentlich schlechter verdienen.</w:t>
      </w:r>
    </w:p>
    <w:p w:rsidR="00B95CCD" w:rsidRDefault="00B95CCD" w:rsidP="00B95CCD">
      <w:pPr>
        <w:pStyle w:val="LTAntwortRessortText"/>
      </w:pPr>
      <w:r>
        <w:t xml:space="preserve">Ein direkter Vergleich ist nicht ohne weiteres möglich, weil es nur </w:t>
      </w:r>
      <w:r w:rsidR="000436BA">
        <w:t>in Bayern eine Unterschei</w:t>
      </w:r>
      <w:r>
        <w:t>dung zwischen verschiedenen Gemeindeklassen (kreisangehörige bzw. kreisfreie Gemeinden und Große Kreisstädte) gibt und weil die Größenklassen (Einwohnerzahlen) nicht bundesweit einheitlich ger</w:t>
      </w:r>
      <w:r>
        <w:t>e</w:t>
      </w:r>
      <w:r>
        <w:t>gelt sind.</w:t>
      </w:r>
    </w:p>
    <w:p w:rsidR="00B95CCD" w:rsidRDefault="000436BA" w:rsidP="00B95CCD">
      <w:pPr>
        <w:pStyle w:val="LTAntwortRessortText"/>
      </w:pPr>
      <w:r>
        <w:t>I</w:t>
      </w:r>
      <w:r w:rsidR="00B95CCD">
        <w:t xml:space="preserve">n Gegenüberstellung mit anderen </w:t>
      </w:r>
      <w:r>
        <w:t>Ländern sind die berufsmäßigen E</w:t>
      </w:r>
      <w:r w:rsidR="00B95CCD">
        <w:t>rsten Bürgermeister</w:t>
      </w:r>
      <w:r>
        <w:t>innen und Bürgermeister</w:t>
      </w:r>
      <w:r w:rsidR="00B95CCD">
        <w:t xml:space="preserve"> in Bayern in der Regel besoldungsrechtlich besser eingestuft, zumindest aber gleichwertig. Eine höhere besoldungsrechtliche Einstufung ist vor allem in de</w:t>
      </w:r>
      <w:r>
        <w:t>n Gemeinden der kle</w:t>
      </w:r>
      <w:r>
        <w:t>i</w:t>
      </w:r>
      <w:r>
        <w:t>nen Größen</w:t>
      </w:r>
      <w:r w:rsidR="00B95CCD">
        <w:t>klassen in Baden-Württemberg gegeben.</w:t>
      </w:r>
    </w:p>
    <w:p w:rsidR="00B95CCD" w:rsidRDefault="000436BA" w:rsidP="00B95CCD">
      <w:pPr>
        <w:pStyle w:val="LTAntwortRessortText"/>
      </w:pPr>
      <w:r>
        <w:t>S</w:t>
      </w:r>
      <w:r w:rsidR="00B95CCD">
        <w:t>eitens der Staatsregierung ist derzeit nicht an eine Gesetzesinitiative mit dem Ziel einer Änderung der Besoldungsstruktur für bayerische Bürgermeister</w:t>
      </w:r>
      <w:r w:rsidR="00BC6FD0">
        <w:t>innen und Bürgermeister</w:t>
      </w:r>
      <w:r w:rsidR="00B95CCD">
        <w:t xml:space="preserve"> gedacht.</w:t>
      </w:r>
    </w:p>
    <w:p w:rsidR="00B95CCD" w:rsidRDefault="00B95CCD" w:rsidP="00B95CCD">
      <w:pPr>
        <w:pStyle w:val="LTAntwortRessortText"/>
      </w:pPr>
      <w:r>
        <w:t>Die geltende Besoldungsstruktur ist 2012 zusammen mit weiteren Regelungen insbesondere zur Versorgung und zum Nebentätigkeitsrecht festgelegt worden. Die Besoldungsstruktur erscheint derzeit weiterhin angemessen und sachgerecht.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Christine</w:t>
            </w:r>
            <w:r w:rsidRPr="00B95CCD">
              <w:rPr>
                <w:b/>
              </w:rPr>
              <w:br/>
              <w:t>Kamm</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9" w:name="_Toc508873844"/>
            <w:r>
              <w:instrText>Kamm, Christine (BÜNDNIS 90/DIE GRÜNEN)</w:instrText>
            </w:r>
            <w:r>
              <w:br/>
              <w:instrText>Abschiebung aus einer Förderschule für Kinder und Jugendliche</w:instrText>
            </w:r>
            <w:bookmarkEnd w:id="9"/>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trifft es zu, dass am 30.01.2018 aus einer Schulklasse des Blindeninstituts Rückersdorf eine Schülerin abgeschoben wurde (die Gründe bitte benennen), warum sieht die Staatsregierung von A</w:t>
            </w:r>
            <w:r>
              <w:t>b</w:t>
            </w:r>
            <w:r>
              <w:t>schiebungen von Menschen mit Behinderung und aus Schulklassen nicht ab?</w:t>
            </w:r>
          </w:p>
          <w:p w:rsidR="00B95CCD" w:rsidRDefault="00B95CCD" w:rsidP="00B95CCD">
            <w:pPr>
              <w:pStyle w:val="LTAnfrageText"/>
            </w:pPr>
          </w:p>
        </w:tc>
      </w:tr>
    </w:tbl>
    <w:p w:rsidR="00B95CCD" w:rsidRDefault="00B95CCD" w:rsidP="00B95CCD">
      <w:pPr>
        <w:pStyle w:val="LTUeberschrAntwortRessort"/>
      </w:pPr>
      <w:r>
        <w:lastRenderedPageBreak/>
        <w:t>Antwort des Staatsministeriums des Innern, für Bau und Verkehr</w:t>
      </w:r>
    </w:p>
    <w:p w:rsidR="00B95CCD" w:rsidRDefault="00B95CCD" w:rsidP="00B95CCD">
      <w:pPr>
        <w:pStyle w:val="LTAntwortRessortText"/>
      </w:pPr>
      <w:r>
        <w:t>Es trifft zu, dass am 30.01.2018 eine kosovarische Schülerin mit ihrer Familie in den Kosovo abg</w:t>
      </w:r>
      <w:r>
        <w:t>e</w:t>
      </w:r>
      <w:r>
        <w:t>schoben wurde. Ihre zeitweise Unterbringung und Beschulung im Blindeninstitut Rückersdorf war den zuständigen Behörden weder bekannt noch von ihnen genehmigt. Sie begründete auch kein Abschiebungshindernis. Die Ausländerbehörde war zur Abschiebung gesetzlich verpflichtet, weil das zuständige Bundesamt für Migration und Flüchtlinge im Asylverfahren zielstaatsbezogene A</w:t>
      </w:r>
      <w:r>
        <w:t>b</w:t>
      </w:r>
      <w:r>
        <w:t>schiebungshindernisse oder Abschiebungsverbote für einzelne Familienmitglieder nicht festgestellt hatte und qualifizierte ärztliche Atteste vorlagen, die die Reisefähigkeit aller Familienmitglieder b</w:t>
      </w:r>
      <w:r>
        <w:t>e</w:t>
      </w:r>
      <w:r>
        <w:t>stätigten. Die ärztliche Versorgung der Familienmitglieder im Kosovo ist ausreichend sichergestellt. Der Familie wurden über die Zentralstelle für Informationsvermittlung zur Rückkehrkehrförderung Kontaktdaten von Kliniken, Einrichtungen und Ärzten für die Weiterbehandlung im Kosovo zur Ve</w:t>
      </w:r>
      <w:r>
        <w:t>r</w:t>
      </w:r>
      <w:r>
        <w:t>fügung gestellt.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Günther</w:t>
            </w:r>
            <w:r w:rsidRPr="00B95CCD">
              <w:rPr>
                <w:b/>
              </w:rPr>
              <w:br/>
              <w:t>Knoblauch</w:t>
            </w:r>
            <w:r w:rsidRPr="00B95CCD">
              <w:rPr>
                <w:b/>
              </w:rPr>
              <w:br/>
            </w:r>
            <w:r w:rsidRPr="00B95CCD">
              <w:t>(SPD)</w:t>
            </w:r>
            <w:r>
              <w:fldChar w:fldCharType="begin"/>
            </w:r>
            <w:r>
              <w:instrText xml:space="preserve"> TC </w:instrText>
            </w:r>
            <w:r w:rsidR="00105D40">
              <w:instrText>„</w:instrText>
            </w:r>
            <w:bookmarkStart w:id="10" w:name="_Toc508873845"/>
            <w:r>
              <w:instrText>Knoblauch, Günther (SPD)</w:instrText>
            </w:r>
            <w:r>
              <w:br/>
              <w:instrText>Ausbau der Bundesstraße 20: Teilstück zwischen den Weilern Moos und Knappen (Gemeindegebiet Stadt Tittmoning, Lkrs. Traunstein)</w:instrText>
            </w:r>
            <w:bookmarkEnd w:id="10"/>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aus welchen Gründen wurden unter Berücksic</w:t>
            </w:r>
            <w:r>
              <w:t>h</w:t>
            </w:r>
            <w:r>
              <w:t xml:space="preserve">tigung von Art. 14 Abs. 2 und Abs. 3 </w:t>
            </w:r>
            <w:r w:rsidR="00BC6FD0">
              <w:t>Grundgesetz</w:t>
            </w:r>
            <w:r>
              <w:t xml:space="preserve"> (GG) bis heute keine au</w:t>
            </w:r>
            <w:r>
              <w:t>s</w:t>
            </w:r>
            <w:r>
              <w:t xml:space="preserve">reichenden Rechtsmittel seitens des </w:t>
            </w:r>
            <w:r w:rsidR="00BC6FD0">
              <w:t>S</w:t>
            </w:r>
            <w:r>
              <w:t>taatlichen Bauamts Traunstein für den Flächenerwerb eingesetzt, um einen Ausbau des Teilstücks zwischen den Weilern Moos und Knappen der B 20 samt begleitendem Fahrradweg zu e</w:t>
            </w:r>
            <w:r>
              <w:t>r</w:t>
            </w:r>
            <w:r>
              <w:t>möglichen, wie bewertet die Staatsregierung die in Art. 14 GG geforderte A</w:t>
            </w:r>
            <w:r>
              <w:t>b</w:t>
            </w:r>
            <w:r>
              <w:t>wägung zwischen Privat- und Allgemeinwohl, d. h. Grundstückseigentümer versus Sicherheit der Staatsbürgerinnen und -bürger und positive Implikati</w:t>
            </w:r>
            <w:r>
              <w:t>o</w:t>
            </w:r>
            <w:r>
              <w:t xml:space="preserve">nen entwickelter Fahrrad- und Straßeninfrastruktur, unter Berücksichtigung des Faktors potenzieller allgemeiner Belastung des Fiskus, beispielsweise durch Grundstückskauf oder Enteignungsklage in dieser Causa und inwiefern unterscheidet sich die Zahl von Unfällen mit Personenschaden auf diesem Teilstück prozentual verglichen mit der durchschnittlichen Zahl von Unfällen auf anderen Bundesstraßen in Bayern </w:t>
            </w:r>
            <w:r w:rsidR="003418E8">
              <w:t>–</w:t>
            </w:r>
            <w:r>
              <w:t xml:space="preserve"> auf einem auf Meterlänge gerundeten Abschnitt gleicher Länge im selben Zeitraum der vergangenen Jahren?</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 xml:space="preserve">Das Staatliche Bauamt Traunstein hat für den fraglichen Streckenabschnitt der B 20 bisher das Ziel eines bestandsorientierten Ausbaus mit kleinen Korrekturen im Lageplan verfolgt, um die Eingriffe in private Flächen weitestgehend zu minimieren. Selbst für diese </w:t>
      </w:r>
      <w:r w:rsidR="00105D40">
        <w:t>„</w:t>
      </w:r>
      <w:r>
        <w:t>kleine</w:t>
      </w:r>
      <w:r w:rsidR="00105D40">
        <w:t>“</w:t>
      </w:r>
      <w:r>
        <w:t xml:space="preserve"> Lösung ist jedoch der fre</w:t>
      </w:r>
      <w:r>
        <w:t>i</w:t>
      </w:r>
      <w:r>
        <w:t>händige Grunderwerb gescheitert. Es wird nun das Ziel verfolgt, den Abschnitt richtliniengerecht und unter Beachtung der geltenden naturschutz- und wasserrechtlichen Rahmenbedingungen lei</w:t>
      </w:r>
      <w:r w:rsidR="003418E8">
        <w:t>s</w:t>
      </w:r>
      <w:r w:rsidR="003418E8">
        <w:t>tungsfähig mit jeweils einem drei</w:t>
      </w:r>
      <w:r>
        <w:t>streifigen Teilabschnitt je Fahrtrichtung auszubauen und dabei auf der Westseite einen durchgehenden Radweg anzulegen. Hierzu wird ein Vorentwurf erstellt, für den anschließend ein Planfeststellungsverfahren durchzuführen ist, das dann mit einem vollziehbaren Planfeststellungsbeschluss auch die Voraussetzung für mögliche Besitzeinweisungs- und Entei</w:t>
      </w:r>
      <w:r>
        <w:t>g</w:t>
      </w:r>
      <w:r>
        <w:t>nungsverfahren liefert. Das Staatliche Bauamt Traunstein will das geplante Vorgehen in einer der nächsten Stadtratssitzungen in Tittmoning erläutern.</w:t>
      </w:r>
    </w:p>
    <w:p w:rsidR="00B95CCD" w:rsidRDefault="00B95CCD" w:rsidP="00B95CCD">
      <w:pPr>
        <w:pStyle w:val="LTAntwortRessortText"/>
      </w:pPr>
      <w:r>
        <w:t>Der fragliche Streckenabschnitt weist derzeit keine Unfallhäufungsstellen auf. In Anbetracht d</w:t>
      </w:r>
      <w:r w:rsidR="00BC6FD0">
        <w:t>es schlechten Erhaltungszustand</w:t>
      </w:r>
      <w:r>
        <w:t>s ist jedoch in diesem Jahr eine Erneuerung der Fahrbahndecke vo</w:t>
      </w:r>
      <w:r>
        <w:t>r</w:t>
      </w:r>
      <w:r>
        <w:t xml:space="preserve">gesehen, die im Zeitraum Juni/Juli </w:t>
      </w:r>
      <w:r w:rsidR="003418E8">
        <w:t xml:space="preserve">2018 </w:t>
      </w:r>
      <w:r>
        <w:t>im Rahmen einer Vollsperrung durchgeführt werden soll.</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lastRenderedPageBreak/>
              <w:t>Abgeordneter</w:t>
            </w:r>
            <w:r w:rsidRPr="00B95CCD">
              <w:br/>
            </w:r>
            <w:r w:rsidRPr="00B95CCD">
              <w:rPr>
                <w:b/>
              </w:rPr>
              <w:t>Jürgen</w:t>
            </w:r>
            <w:r w:rsidRPr="00B95CCD">
              <w:rPr>
                <w:b/>
              </w:rPr>
              <w:br/>
              <w:t>Mistol</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11" w:name="_Toc508873846"/>
            <w:r>
              <w:instrText>Mistol, Jürgen (BÜNDNIS 90/DIE GRÜNEN)</w:instrText>
            </w:r>
            <w:r>
              <w:br/>
              <w:instrText>Digitalfunkgeräte im Freistaat Bayern</w:instrText>
            </w:r>
            <w:bookmarkEnd w:id="11"/>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Nachdem die Bundesregierung nach der Übernahme des britischen Funkger</w:t>
            </w:r>
            <w:r>
              <w:t>ä</w:t>
            </w:r>
            <w:r>
              <w:t>teproduzenten Sepura Sicherheitsbedenken hinsichtlich der Anschaffung von Digitalfunkgeräten angemeldet hat, frage ich die Staatsregierung, ob auch im Freistaat Bayern Endgeräte des Herstellers Sepura angekauft wurden, in we</w:t>
            </w:r>
            <w:r>
              <w:t>l</w:t>
            </w:r>
            <w:r>
              <w:t>chem Umfang die Blaulichtorganisationen dadurch gegebenenfalls von einem Nutzungsstopp betroffen sind und ob bereits angeschaffte Geräte nun ausg</w:t>
            </w:r>
            <w:r>
              <w:t>e</w:t>
            </w:r>
            <w:r>
              <w:t>tauscht werden müssen?</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Im Freist</w:t>
      </w:r>
      <w:r w:rsidR="00C476AB">
        <w:t>aat Bayern wurden bei der Bayerischen</w:t>
      </w:r>
      <w:r>
        <w:t xml:space="preserve"> Polizei sowie bei ca. der Hälfte der Feuerwehren und Rettungsdienstorganisationen nach den entsprechenden Ausschreibungsverfahren Endgeräte des Herstellers Sepura beschafft.</w:t>
      </w:r>
    </w:p>
    <w:p w:rsidR="00B95CCD" w:rsidRDefault="00B95CCD" w:rsidP="00B95CCD">
      <w:pPr>
        <w:pStyle w:val="LTAntwortRessortText"/>
      </w:pPr>
      <w:r>
        <w:t>Bayerische Behörden und Organisationen mit Sicherheitsaufgaben (BOS) sind aufgrund der gült</w:t>
      </w:r>
      <w:r>
        <w:t>i</w:t>
      </w:r>
      <w:r>
        <w:t>gen Regelungen für die in Bayern eingesetzten Versionen der Hard- und Software nicht von einem Nutzungsstopp betroffen.</w:t>
      </w:r>
    </w:p>
    <w:p w:rsidR="00B95CCD" w:rsidRDefault="00B95CCD" w:rsidP="00B95CCD">
      <w:pPr>
        <w:pStyle w:val="LTAntwortRessortText"/>
      </w:pPr>
      <w:r>
        <w:t>Dementsprechend müssen die bereits angeschafften Geräte auch nicht ausgetauscht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565EDC">
            <w:pPr>
              <w:pStyle w:val="LTNumAnfrageIni1"/>
            </w:pPr>
            <w:r w:rsidRPr="00B95CCD">
              <w:t>Abgeordneter</w:t>
            </w:r>
            <w:r w:rsidRPr="00B95CCD">
              <w:br/>
            </w:r>
            <w:r w:rsidRPr="00B95CCD">
              <w:rPr>
                <w:b/>
              </w:rPr>
              <w:t>Markus</w:t>
            </w:r>
            <w:r w:rsidRPr="00B95CCD">
              <w:rPr>
                <w:b/>
              </w:rPr>
              <w:br/>
              <w:t>Rinderspacher</w:t>
            </w:r>
            <w:r w:rsidRPr="00B95CCD">
              <w:rPr>
                <w:b/>
              </w:rPr>
              <w:br/>
            </w:r>
            <w:r w:rsidRPr="00B95CCD">
              <w:t>(SPD)</w:t>
            </w:r>
            <w:r>
              <w:fldChar w:fldCharType="begin"/>
            </w:r>
            <w:r>
              <w:instrText xml:space="preserve"> TC </w:instrText>
            </w:r>
            <w:r w:rsidR="00105D40">
              <w:instrText>„</w:instrText>
            </w:r>
            <w:bookmarkStart w:id="12" w:name="_Toc508873847"/>
            <w:r>
              <w:instrText>Rinderspacher, Markus (SPD)</w:instrText>
            </w:r>
            <w:r>
              <w:br/>
              <w:instrText xml:space="preserve">Straftaten im Bereich der </w:instrText>
            </w:r>
            <w:bookmarkEnd w:id="12"/>
            <w:r w:rsidR="00565EDC" w:rsidRPr="00565EDC">
              <w:instrText xml:space="preserve">Sprenstoffkriminalität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hat sich in Bayern seit 2009 die Zahl der Unfälle und Straftaten im Bereich der Sprengstoffkriminalität entwickelt (bitte nach Jahren, Delikten und deren Motivation aufschlüsseln), bei denen die Rezepturen zur Herstellung des Explosivstoffes dem Internet entnommen wu</w:t>
            </w:r>
            <w:r>
              <w:t>r</w:t>
            </w:r>
            <w:r>
              <w:t>den, welche Verletzungen bzw. Sachschäden sind dabei entstanden (bitte nach Jahren und Sachverhalten aufschlüsseln), welche konkrete Maßnahmen ergreift der Freistaat Bayern, um gefährlichen Sprengstoffbauanleitungen im Internet und deren Umsetzung zu begegnen?</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Nach</w:t>
      </w:r>
      <w:r w:rsidR="00BC6FD0">
        <w:t xml:space="preserve"> Auskunft des Landeskriminalamt</w:t>
      </w:r>
      <w:r>
        <w:t>s (BLKA) wurden folgende strafrechtlich relevante Verstöße gegen das Sprengstoffgesetz registriert:</w:t>
      </w:r>
    </w:p>
    <w:p w:rsidR="00B95CCD" w:rsidRDefault="00565EDC" w:rsidP="00565EDC">
      <w:pPr>
        <w:pStyle w:val="LTAntwortRessortText"/>
        <w:numPr>
          <w:ilvl w:val="0"/>
          <w:numId w:val="26"/>
        </w:numPr>
        <w:spacing w:before="120"/>
        <w:ind w:left="1054" w:hanging="357"/>
      </w:pPr>
      <w:r>
        <w:t xml:space="preserve">Jahr 2009: </w:t>
      </w:r>
      <w:r>
        <w:tab/>
        <w:t xml:space="preserve">   </w:t>
      </w:r>
      <w:r w:rsidR="00B95CCD">
        <w:t>675 Delikte</w:t>
      </w:r>
      <w:r>
        <w:t>,</w:t>
      </w:r>
    </w:p>
    <w:p w:rsidR="00B95CCD" w:rsidRDefault="00565EDC" w:rsidP="00565EDC">
      <w:pPr>
        <w:pStyle w:val="LTAntwortRessortText"/>
        <w:numPr>
          <w:ilvl w:val="0"/>
          <w:numId w:val="26"/>
        </w:numPr>
        <w:spacing w:before="120"/>
        <w:ind w:left="1054" w:hanging="357"/>
      </w:pPr>
      <w:r>
        <w:t>Jahr 2010:</w:t>
      </w:r>
      <w:r w:rsidR="00B95CCD">
        <w:t xml:space="preserve"> </w:t>
      </w:r>
      <w:r>
        <w:tab/>
        <w:t xml:space="preserve">   </w:t>
      </w:r>
      <w:r w:rsidR="00B95CCD">
        <w:t>832 Delikte</w:t>
      </w:r>
      <w:r>
        <w:t>,</w:t>
      </w:r>
    </w:p>
    <w:p w:rsidR="00B95CCD" w:rsidRDefault="00565EDC" w:rsidP="00565EDC">
      <w:pPr>
        <w:pStyle w:val="LTAntwortRessortText"/>
        <w:numPr>
          <w:ilvl w:val="0"/>
          <w:numId w:val="26"/>
        </w:numPr>
        <w:spacing w:before="120"/>
        <w:ind w:left="1054" w:hanging="357"/>
      </w:pPr>
      <w:r>
        <w:t xml:space="preserve">Jahr 2011: </w:t>
      </w:r>
      <w:r>
        <w:tab/>
        <w:t xml:space="preserve">   </w:t>
      </w:r>
      <w:r w:rsidR="00B95CCD">
        <w:t>872 Delikte</w:t>
      </w:r>
      <w:r>
        <w:t>,</w:t>
      </w:r>
    </w:p>
    <w:p w:rsidR="00B95CCD" w:rsidRDefault="00565EDC" w:rsidP="00565EDC">
      <w:pPr>
        <w:pStyle w:val="LTAntwortRessortText"/>
        <w:numPr>
          <w:ilvl w:val="0"/>
          <w:numId w:val="26"/>
        </w:numPr>
        <w:spacing w:before="120"/>
        <w:ind w:left="1054" w:hanging="357"/>
      </w:pPr>
      <w:r>
        <w:t xml:space="preserve">Jahr 2012: </w:t>
      </w:r>
      <w:r>
        <w:tab/>
      </w:r>
      <w:r w:rsidR="00B95CCD">
        <w:t>1.016 Delikte</w:t>
      </w:r>
      <w:r>
        <w:t>,</w:t>
      </w:r>
    </w:p>
    <w:p w:rsidR="00B95CCD" w:rsidRDefault="00565EDC" w:rsidP="00565EDC">
      <w:pPr>
        <w:pStyle w:val="LTAntwortRessortText"/>
        <w:numPr>
          <w:ilvl w:val="0"/>
          <w:numId w:val="26"/>
        </w:numPr>
        <w:spacing w:before="120"/>
        <w:ind w:left="1054" w:hanging="357"/>
      </w:pPr>
      <w:r>
        <w:t xml:space="preserve">Jahr 2013: </w:t>
      </w:r>
      <w:r>
        <w:tab/>
        <w:t xml:space="preserve">   </w:t>
      </w:r>
      <w:r w:rsidR="00B95CCD">
        <w:t>949 Delikte</w:t>
      </w:r>
      <w:r>
        <w:t>,</w:t>
      </w:r>
    </w:p>
    <w:p w:rsidR="00B95CCD" w:rsidRDefault="00565EDC" w:rsidP="00565EDC">
      <w:pPr>
        <w:pStyle w:val="LTAntwortRessortText"/>
        <w:numPr>
          <w:ilvl w:val="0"/>
          <w:numId w:val="26"/>
        </w:numPr>
        <w:spacing w:before="120"/>
        <w:ind w:left="1054" w:hanging="357"/>
      </w:pPr>
      <w:r>
        <w:lastRenderedPageBreak/>
        <w:t>Jahr 2014:</w:t>
      </w:r>
      <w:r>
        <w:tab/>
        <w:t xml:space="preserve">    </w:t>
      </w:r>
      <w:r w:rsidR="00B95CCD">
        <w:t>889 Delikte</w:t>
      </w:r>
      <w:r>
        <w:t>,</w:t>
      </w:r>
    </w:p>
    <w:p w:rsidR="00B95CCD" w:rsidRDefault="00565EDC" w:rsidP="00565EDC">
      <w:pPr>
        <w:pStyle w:val="LTAntwortRessortText"/>
        <w:numPr>
          <w:ilvl w:val="0"/>
          <w:numId w:val="26"/>
        </w:numPr>
        <w:spacing w:before="120"/>
        <w:ind w:left="1054" w:hanging="357"/>
      </w:pPr>
      <w:r>
        <w:t xml:space="preserve">Jahr 2015: </w:t>
      </w:r>
      <w:r>
        <w:tab/>
        <w:t xml:space="preserve">   </w:t>
      </w:r>
      <w:r w:rsidR="00B95CCD">
        <w:t>714 Delikte</w:t>
      </w:r>
      <w:r>
        <w:t>,</w:t>
      </w:r>
    </w:p>
    <w:p w:rsidR="00B95CCD" w:rsidRDefault="00B95CCD" w:rsidP="00565EDC">
      <w:pPr>
        <w:pStyle w:val="LTAntwortRessortText"/>
        <w:numPr>
          <w:ilvl w:val="0"/>
          <w:numId w:val="26"/>
        </w:numPr>
        <w:spacing w:before="120"/>
        <w:ind w:left="1054" w:hanging="357"/>
      </w:pPr>
      <w:r>
        <w:t xml:space="preserve">Jahr </w:t>
      </w:r>
      <w:r w:rsidR="00565EDC">
        <w:t xml:space="preserve">2016: </w:t>
      </w:r>
      <w:r w:rsidR="00565EDC">
        <w:tab/>
        <w:t xml:space="preserve">   </w:t>
      </w:r>
      <w:r>
        <w:t>770 Delikte</w:t>
      </w:r>
      <w:r w:rsidR="00565EDC">
        <w:t>.</w:t>
      </w:r>
    </w:p>
    <w:p w:rsidR="00B95CCD" w:rsidRDefault="00B95CCD" w:rsidP="00B95CCD">
      <w:pPr>
        <w:pStyle w:val="LTAntwortRessortText"/>
      </w:pPr>
      <w:r>
        <w:t>Zu Unfällen und Straftaten im Sinne der Fragestellung (Einschrän</w:t>
      </w:r>
      <w:r w:rsidR="00565EDC">
        <w:t>kung auf Fälle, bei denen die R</w:t>
      </w:r>
      <w:r w:rsidR="00565EDC">
        <w:t>e</w:t>
      </w:r>
      <w:r>
        <w:t>zepturen zur Herstellung des Explosivstoffes dem Internet entnommen wurden), erfolgt hingegen keine entsprechende Erfassung, so dass eine Beantwortung nicht möglich ist.</w:t>
      </w:r>
    </w:p>
    <w:p w:rsidR="00B95CCD" w:rsidRDefault="00B95CCD" w:rsidP="00B95CCD">
      <w:pPr>
        <w:pStyle w:val="LTAntwortRessortText"/>
      </w:pPr>
      <w:r>
        <w:t>Grundsätzlich sind der Besitz und die Herstellung von Sprengstoffen nur mit entsprechender G</w:t>
      </w:r>
      <w:r>
        <w:t>e</w:t>
      </w:r>
      <w:r>
        <w:t>nehmigung zulässig. Das hierfür zuständige Staatsministerium für Umwelt und Verbraucherschutz ist über die Gewerbeaufsichtsämter auch für di</w:t>
      </w:r>
      <w:r w:rsidR="00565EDC">
        <w:t>e Marktüberwachung von Chemika</w:t>
      </w:r>
      <w:r>
        <w:t>lien zuständig.</w:t>
      </w:r>
    </w:p>
    <w:p w:rsidR="00B95CCD" w:rsidRDefault="00565EDC" w:rsidP="00B95CCD">
      <w:pPr>
        <w:pStyle w:val="LTAntwortRessortText"/>
      </w:pPr>
      <w:r>
        <w:t>E</w:t>
      </w:r>
      <w:r w:rsidR="00B95CCD">
        <w:t>in weiterer Baustein, um der missbräuchlichen Verwendung von Sprengstoffen zu begegnen, ist das Sprengstoffmonitoring, in dessen Rahmen das BLKA Meldungen der Industrie sowie des Ei</w:t>
      </w:r>
      <w:r w:rsidR="00B95CCD">
        <w:t>n</w:t>
      </w:r>
      <w:r w:rsidR="00B95CCD">
        <w:t>zelhandels über bestimmte verdächtige Transaktionen</w:t>
      </w:r>
      <w:r>
        <w:t xml:space="preserve"> bezüglich bestimmter Ausgangs</w:t>
      </w:r>
      <w:r w:rsidR="00B95CCD">
        <w:t xml:space="preserve">stoffe </w:t>
      </w:r>
      <w:r>
        <w:t>en</w:t>
      </w:r>
      <w:r>
        <w:t>t</w:t>
      </w:r>
      <w:r>
        <w:t>gegennimmt</w:t>
      </w:r>
      <w:r w:rsidR="00B95CCD">
        <w:t>, bewertet und gegebenenfalls weitere polizeiliche Maßnahmen in die Wege leitet. Das BLKA stellt für Bayern zudem die Kontakt</w:t>
      </w:r>
      <w:r>
        <w:t>stelle im Bereich des Explosiv-</w:t>
      </w:r>
      <w:r w:rsidR="00B95CCD">
        <w:t>Grundstoff-Monitorings im Sinne des Art. 9 der Verordnun</w:t>
      </w:r>
      <w:r>
        <w:t>g (EU) Nr. 98/2013 des Europäi</w:t>
      </w:r>
      <w:r w:rsidR="00B95CCD">
        <w:t>schen Parlamen</w:t>
      </w:r>
      <w:r>
        <w:t>ts und des Rates vom 15.01.</w:t>
      </w:r>
      <w:r w:rsidR="00B95CCD">
        <w:t>2013 über die Vermarktung und Verwendung von Ausgangsstoffen für Explosivstoffe (VO (EU) 98/2013) dar. Darüber hinaus geht di</w:t>
      </w:r>
      <w:r>
        <w:t xml:space="preserve">e Bayerische </w:t>
      </w:r>
      <w:r w:rsidR="00B95CCD">
        <w:t>Polizei allen Verdachtsmomenten bei konkreten Gefahre</w:t>
      </w:r>
      <w:r>
        <w:t>n im Zusammenhang mit der miss</w:t>
      </w:r>
      <w:r w:rsidR="00B95CCD">
        <w:t>bräuchlichen Verwendung von Sprengstoffen oder Chemikalien nach.</w:t>
      </w:r>
    </w:p>
    <w:p w:rsidR="00B95CCD" w:rsidRDefault="00565EDC" w:rsidP="00B95CCD">
      <w:pPr>
        <w:pStyle w:val="LTAntwortRessortText"/>
      </w:pPr>
      <w:r>
        <w:t>D</w:t>
      </w:r>
      <w:r w:rsidR="00B95CCD">
        <w:t>as Landesamt für Verfassungsschutz (BayLfV) hat</w:t>
      </w:r>
      <w:r>
        <w:t xml:space="preserve"> den gesetzlichen Auftrag, ext</w:t>
      </w:r>
      <w:r w:rsidR="00B95CCD">
        <w:t>remistische und sonstige gegen die Verfassung gerichtete Akt</w:t>
      </w:r>
      <w:r>
        <w:t>ivitäten von Personen und Orga</w:t>
      </w:r>
      <w:r w:rsidR="00B95CCD">
        <w:t>nisationen im Inland zu beobachten. Soweit dabei Erkenntnisse anfallen, die auf eine Gefahr der Begehung von Straft</w:t>
      </w:r>
      <w:r w:rsidR="00B95CCD">
        <w:t>a</w:t>
      </w:r>
      <w:r w:rsidR="00B95CCD">
        <w:t>ten im Bereich der Sprengstoffkriminalität hindeuten, informiert das BayLfV im Rahmen der rechtl</w:t>
      </w:r>
      <w:r w:rsidR="00B95CCD">
        <w:t>i</w:t>
      </w:r>
      <w:r w:rsidR="00B95CCD">
        <w:t>chen Möglichkeiten die zuständigen Sicherheitsbehörden.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Florian</w:t>
            </w:r>
            <w:r w:rsidRPr="00B95CCD">
              <w:rPr>
                <w:b/>
              </w:rPr>
              <w:br/>
              <w:t>Ritter</w:t>
            </w:r>
            <w:r w:rsidRPr="00B95CCD">
              <w:rPr>
                <w:b/>
              </w:rPr>
              <w:br/>
            </w:r>
            <w:r w:rsidRPr="00B95CCD">
              <w:t>(SPD)</w:t>
            </w:r>
            <w:r>
              <w:fldChar w:fldCharType="begin"/>
            </w:r>
            <w:r>
              <w:instrText xml:space="preserve"> TC </w:instrText>
            </w:r>
            <w:r w:rsidR="00105D40">
              <w:instrText>„</w:instrText>
            </w:r>
            <w:bookmarkStart w:id="13" w:name="_Toc508873848"/>
            <w:r>
              <w:instrText>Ritter, Florian (SPD)</w:instrText>
            </w:r>
            <w:r>
              <w:br/>
              <w:instrText>Zusammenarbeit der bayerischen Behörden mit dem Bundesamt für Verfassungsschutz und Terrorismusbekämpfung</w:instrText>
            </w:r>
            <w:bookmarkEnd w:id="13"/>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auf welchen Ebenen arbeiten bayerische S</w:t>
            </w:r>
            <w:r>
              <w:t>i</w:t>
            </w:r>
            <w:r>
              <w:t>cherheitsbehörden mit dem österreichischen Bundesamt für Verfassung</w:t>
            </w:r>
            <w:r>
              <w:t>s</w:t>
            </w:r>
            <w:r>
              <w:t>schutz und Terrorismusbekämpfung (BVT) zusammen, bis zu welcher Einst</w:t>
            </w:r>
            <w:r>
              <w:t>u</w:t>
            </w:r>
            <w:r>
              <w:t>fung können die dabei ausgetauschten Informationen reichen und wurden Informationen zur Identitären Bewegung und beobachteten Burschenschaften mit dem BVT ausgetauscht?</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Für die internationale Zusammenarbeit ist im polizeilichen Bereich das Bundeskriminalamt (BKA) und innerhalb des Verfassungsschutzverbunds das Bundesamt für Verfassungsschutz (BfV) z</w:t>
      </w:r>
      <w:r>
        <w:t>u</w:t>
      </w:r>
      <w:r>
        <w:t>ständig. Als Zentralstellen nehmen diese Bundesbehö</w:t>
      </w:r>
      <w:r w:rsidR="002E3011">
        <w:t>rden den erforderlichen Dienst</w:t>
      </w:r>
      <w:r>
        <w:t xml:space="preserve">verkehr mit den zuständigen öffentlichen Stellen anderer Staaten wahr (§ 3 Abs. 2 Satz 1 </w:t>
      </w:r>
      <w:r w:rsidR="00BC6FD0">
        <w:rPr>
          <w:rStyle w:val="st"/>
        </w:rPr>
        <w:t>Bundeskriminalam</w:t>
      </w:r>
      <w:r w:rsidR="00BC6FD0">
        <w:rPr>
          <w:rStyle w:val="st"/>
        </w:rPr>
        <w:t>t</w:t>
      </w:r>
      <w:r w:rsidR="00BC6FD0">
        <w:rPr>
          <w:rStyle w:val="st"/>
        </w:rPr>
        <w:t>gesetz</w:t>
      </w:r>
      <w:r w:rsidR="002E3011">
        <w:rPr>
          <w:rStyle w:val="st"/>
        </w:rPr>
        <w:t xml:space="preserve"> – </w:t>
      </w:r>
      <w:r>
        <w:t xml:space="preserve">BKAG; § 5 Abs. 5 Satz 1 </w:t>
      </w:r>
      <w:r w:rsidR="00BC6FD0">
        <w:rPr>
          <w:rStyle w:val="st"/>
        </w:rPr>
        <w:t>Bundesverfassungsschutzgesetz</w:t>
      </w:r>
      <w:r w:rsidR="002E3011">
        <w:rPr>
          <w:rStyle w:val="st"/>
        </w:rPr>
        <w:t xml:space="preserve"> – </w:t>
      </w:r>
      <w:r>
        <w:t>BVerfSchG). Den Landesp</w:t>
      </w:r>
      <w:r>
        <w:t>o</w:t>
      </w:r>
      <w:r>
        <w:t>lizeien u</w:t>
      </w:r>
      <w:r w:rsidR="002E3011">
        <w:t>nd den Landesbehörden für Verf</w:t>
      </w:r>
      <w:r>
        <w:t>assungsschutz steht ein solcher Dienstverkehr grundsät</w:t>
      </w:r>
      <w:r>
        <w:t>z</w:t>
      </w:r>
      <w:r>
        <w:t>lich nur mit den Sicherheitsbehörden angrenzender Nachbarstaaten in regionalen Angelegenheiten offen (§ 3 Abs. 3 Satz 1 BKAG;</w:t>
      </w:r>
      <w:r w:rsidR="002E3011">
        <w:t xml:space="preserve"> </w:t>
      </w:r>
      <w:r>
        <w:t>§ 5 Abs. 5 Satz 2 Nr. 2 BVerfSchG), unter bestimmten Vorausse</w:t>
      </w:r>
      <w:r>
        <w:t>t</w:t>
      </w:r>
      <w:r>
        <w:t xml:space="preserve">zungen auch darüber hinaus, soweit dies völkervertraglich vereinbart ist. Demgemäß arbeiten die </w:t>
      </w:r>
      <w:r>
        <w:lastRenderedPageBreak/>
        <w:t>Bayerische Polizei und das Bayerische Landesamt für Verfassungsschutz mit den Sicher</w:t>
      </w:r>
      <w:r w:rsidR="002E3011">
        <w:t>heitsb</w:t>
      </w:r>
      <w:r w:rsidR="002E3011">
        <w:t>e</w:t>
      </w:r>
      <w:r w:rsidR="002E3011">
        <w:t>hörden der an Bayern an</w:t>
      </w:r>
      <w:r>
        <w:t>grenzenden Staaten anlassbezogen auf allen Ebenen zusammen</w:t>
      </w:r>
      <w:r w:rsidR="002E3011">
        <w:t>. Dies schließt auch das öster</w:t>
      </w:r>
      <w:r>
        <w:t>reichische Bundesamt für Verfassungsschutz und Terrorismusbekämpfung (BVT) sowie die diesem nachgeordneten Landesämter mit ein. Mit diesen finden beispielsweise r</w:t>
      </w:r>
      <w:r>
        <w:t>e</w:t>
      </w:r>
      <w:r>
        <w:t>gelmäßig wiederkehrende Treffen auf Arbeitsebene statt, bei denen auch Informationen über akt</w:t>
      </w:r>
      <w:r>
        <w:t>u</w:t>
      </w:r>
      <w:r>
        <w:t xml:space="preserve">elle Themen </w:t>
      </w:r>
      <w:r w:rsidR="002E3011">
        <w:t>–</w:t>
      </w:r>
      <w:r>
        <w:t xml:space="preserve"> wie z.</w:t>
      </w:r>
      <w:r w:rsidR="002E3011">
        <w:t> </w:t>
      </w:r>
      <w:r>
        <w:t xml:space="preserve">B. der Identitären Bewegung </w:t>
      </w:r>
      <w:r w:rsidR="002E3011">
        <w:t xml:space="preserve">– </w:t>
      </w:r>
      <w:r>
        <w:t xml:space="preserve"> aus dem Aufgabenbereich des Staats- bzw.</w:t>
      </w:r>
      <w:r w:rsidR="002E3011">
        <w:t xml:space="preserve"> </w:t>
      </w:r>
      <w:r>
        <w:t>Verfassungsschutzes ausgetauscht werden.</w:t>
      </w:r>
    </w:p>
    <w:p w:rsidR="00B95CCD" w:rsidRDefault="00B95CCD" w:rsidP="00B95CCD">
      <w:pPr>
        <w:pStyle w:val="LTAntwortRessortText"/>
      </w:pPr>
      <w:r>
        <w:t>Zwischen der Republik Österreich und der Bundesrepublik Deutschland existiert ein Gehei</w:t>
      </w:r>
      <w:r>
        <w:t>m</w:t>
      </w:r>
      <w:r>
        <w:t>schutzabkommen. Bei der Übermittlung von Informationen besteht im Hinblick auf deren Grad der Geheimhaltung daher grundsätzlich keine Einschränkung. Der enge Austausch mit ausländischen Sicherheitsbehörden ist eine notwendige Konsequenz der offenen Binnengrenzen innerhalb des Schengen-Raums und für eine effektive Aufgabenwahrnehmung unabdingbar. Allerdings setzt die Übermittlung an ausländische öffentliche Stellen grundsätzlich voraus, dass die Übermittlung zur Aufgabenerfüllung bzw. zur Wahrung erheblicher Sicherheitsinteressen des Empfängers erforde</w:t>
      </w:r>
      <w:r>
        <w:t>r</w:t>
      </w:r>
      <w:r>
        <w:t xml:space="preserve">lich ist (Art. 40 Abs. 5 Satz 1 Nr. 2 </w:t>
      </w:r>
      <w:r w:rsidR="00BC6FD0">
        <w:t>Polizeiaufgabengesetz</w:t>
      </w:r>
      <w:r w:rsidR="002E3011">
        <w:t xml:space="preserve"> – </w:t>
      </w:r>
      <w:r>
        <w:t xml:space="preserve">PAG; Art. 25 Abs. 3 Nr. 2 </w:t>
      </w:r>
      <w:r w:rsidR="002E3011">
        <w:rPr>
          <w:rStyle w:val="st"/>
        </w:rPr>
        <w:t>Bayer</w:t>
      </w:r>
      <w:r w:rsidR="00CE62B9">
        <w:rPr>
          <w:rStyle w:val="st"/>
        </w:rPr>
        <w:t>isches</w:t>
      </w:r>
      <w:r w:rsidR="00BC6FD0">
        <w:rPr>
          <w:rStyle w:val="st"/>
        </w:rPr>
        <w:t xml:space="preserve"> Verfassungsschutzgesetz</w:t>
      </w:r>
      <w:r w:rsidR="002E3011">
        <w:rPr>
          <w:rStyle w:val="st"/>
        </w:rPr>
        <w:t xml:space="preserve"> – </w:t>
      </w:r>
      <w:r>
        <w:t>BayVSG). Weitere Einschränkungen der Übermittlung können s</w:t>
      </w:r>
      <w:r w:rsidR="002E3011">
        <w:t>ich im Einzelfall aus Übermitt</w:t>
      </w:r>
      <w:r>
        <w:t>lungsverboten ergeben, etwa</w:t>
      </w:r>
      <w:r w:rsidR="00775F48">
        <w:t>,</w:t>
      </w:r>
      <w:r>
        <w:t xml:space="preserve"> wenn schutzwürdige Interessen des Betroff</w:t>
      </w:r>
      <w:r>
        <w:t>e</w:t>
      </w:r>
      <w:r>
        <w:t xml:space="preserve">nen entgegenstehen (Art. 40 Abs. 5 Satz 2 PAG; Art. 27 Abs. 1 Nr. 1 BayVSG). Die konkrete </w:t>
      </w:r>
      <w:r w:rsidR="002E3011">
        <w:t>Art des Informati</w:t>
      </w:r>
      <w:r>
        <w:t>onsaustauschs richtet sich hierbei nach den Erfordernissen des Einzelfalls, und en</w:t>
      </w:r>
      <w:r>
        <w:t>t</w:t>
      </w:r>
      <w:r>
        <w:t>sprechend auch die Einstufung der dabei ausgetauschten Informationen.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Dr. Martin</w:t>
            </w:r>
            <w:r w:rsidRPr="00B95CCD">
              <w:rPr>
                <w:b/>
              </w:rPr>
              <w:br/>
              <w:t>Runge</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14" w:name="_Toc508873849"/>
            <w:r>
              <w:instrText>Dr. Runge, Martin (BÜNDNIS 90/DIE GRÜNEN)</w:instrText>
            </w:r>
            <w:r>
              <w:br/>
              <w:instrText>B1-Zertifizierung bei Geduldeten im Rahmen der Ausbildungsgenehmigung</w:instrText>
            </w:r>
            <w:bookmarkEnd w:id="14"/>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Soll nach Ansicht der Staatsregierung bei Gestatteten bzw. Geduldeten bei der Erteilung der Ausbildungsgenehmigungen entweder zusammen mit dem durch die Berufsintegrationsklasse erworbenen Mittelschulabschluss die B1-Zertifi</w:t>
            </w:r>
            <w:r w:rsidR="00CE62B9">
              <w:softHyphen/>
            </w:r>
            <w:r>
              <w:t>zierung automatisch testiert werden oder im Rahmen des Unterrichts die Mö</w:t>
            </w:r>
            <w:r>
              <w:t>g</w:t>
            </w:r>
            <w:r>
              <w:t>lichkeit bestehen, diese Prüfung zusätzlich abzulegen, da dies die Sachbea</w:t>
            </w:r>
            <w:r>
              <w:t>r</w:t>
            </w:r>
            <w:r>
              <w:t>beiterinnen und Sachbearbeiter in den Ausländerbehörden beträchtlich entla</w:t>
            </w:r>
            <w:r>
              <w:t>s</w:t>
            </w:r>
            <w:r>
              <w:t>tet und sie nicht mehr entscheiden müssen, ob die Deutschkenntnisse für eine Ausbildung ausreichend sind?</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Asylbewerber</w:t>
      </w:r>
      <w:r w:rsidR="0014576B">
        <w:t>innen bzw. -bewerber</w:t>
      </w:r>
      <w:r>
        <w:t xml:space="preserve"> und Geduldete benötigen für die Aufnahme </w:t>
      </w:r>
      <w:r w:rsidR="0014576B">
        <w:t>einer Berufsausbi</w:t>
      </w:r>
      <w:r w:rsidR="0014576B">
        <w:t>l</w:t>
      </w:r>
      <w:r w:rsidR="0014576B">
        <w:t>dung eine Be</w:t>
      </w:r>
      <w:r>
        <w:t>schäftigungserlaubnis der zuständigen Ausländerbehörde, soweit es sich nicht um e</w:t>
      </w:r>
      <w:r>
        <w:t>i</w:t>
      </w:r>
      <w:r>
        <w:t>ne rein schulische Ausbildung handelt. Ihre Erteilung steht im Ermessen der Ausländerbehörde, soweit nicht im Fall der bestandskräftigen Ablehnung des Asylantr</w:t>
      </w:r>
      <w:r w:rsidR="0014576B">
        <w:t>ags ein Anspruch auf eine Au</w:t>
      </w:r>
      <w:r w:rsidR="0014576B">
        <w:t>s</w:t>
      </w:r>
      <w:r w:rsidR="0014576B">
        <w:t>bil</w:t>
      </w:r>
      <w:r>
        <w:t xml:space="preserve">dungsduldung in Betracht kommt. Bei der Ermessensentscheidung hat die Ausländerbehörde in dem jeweiligen Einzelfall alle </w:t>
      </w:r>
      <w:r w:rsidR="00105D40">
        <w:t>„</w:t>
      </w:r>
      <w:r>
        <w:t>für</w:t>
      </w:r>
      <w:r w:rsidR="00105D40">
        <w:t>“</w:t>
      </w:r>
      <w:r>
        <w:t xml:space="preserve"> und </w:t>
      </w:r>
      <w:r w:rsidR="00105D40">
        <w:t>„</w:t>
      </w:r>
      <w:r>
        <w:t>gegen</w:t>
      </w:r>
      <w:r w:rsidR="00105D40">
        <w:t>“</w:t>
      </w:r>
      <w:r>
        <w:t xml:space="preserve"> die Erteilung einer Arbeitsgenehmigung spreche</w:t>
      </w:r>
      <w:r>
        <w:t>n</w:t>
      </w:r>
      <w:r>
        <w:t>den Umstände im Rahmen ihrer Ermessensentscheidung gegeneinander abzuwägen. Dabei kö</w:t>
      </w:r>
      <w:r>
        <w:t>n</w:t>
      </w:r>
      <w:r>
        <w:t>nen auch Kenntnisse der deutschen Sprache mitberücksichtigt werden. Hierbei kommt es jedoch nicht auf das Vorlie</w:t>
      </w:r>
      <w:r w:rsidR="00CE62B9">
        <w:t>gen eines bestimmten Zertifikat</w:t>
      </w:r>
      <w:r>
        <w:t xml:space="preserve">s an, sondern auf die Sprachfähigkeiten </w:t>
      </w:r>
      <w:r w:rsidR="0014576B">
        <w:t>der A</w:t>
      </w:r>
      <w:r w:rsidR="0014576B">
        <w:t>n</w:t>
      </w:r>
      <w:r w:rsidR="0014576B">
        <w:t xml:space="preserve">tragstellerin bzw. </w:t>
      </w:r>
      <w:r>
        <w:t>d</w:t>
      </w:r>
      <w:r w:rsidR="0014576B">
        <w:t>es Antragstellers</w:t>
      </w:r>
      <w:r>
        <w:t xml:space="preserve"> im Verhältnis zur bisherigen Aufenthaltsdauer in Deutschland. Ob die Deutschkenntnisse für die angestrebte Berufsausbildung ausr</w:t>
      </w:r>
      <w:r w:rsidR="0014576B">
        <w:t>eichen, muss der Ausbi</w:t>
      </w:r>
      <w:r w:rsidR="0014576B">
        <w:t>l</w:t>
      </w:r>
      <w:r w:rsidR="0014576B">
        <w:t>dungsbe</w:t>
      </w:r>
      <w:r>
        <w:t>trieb für sich entscheiden. Die Erteilung einer B1-Zertifizierung spielt somit für die Erteilung einer Erlaubnis zur Aufnahme einer Ausbildung durch die Au</w:t>
      </w:r>
      <w:r w:rsidR="0014576B">
        <w:t>sländerbehörden keine maßgebli</w:t>
      </w:r>
      <w:r>
        <w:t>che Rolle.</w:t>
      </w:r>
    </w:p>
    <w:p w:rsidR="00B95CCD" w:rsidRDefault="0014576B" w:rsidP="00B95CCD">
      <w:pPr>
        <w:pStyle w:val="LTAntwortRessortText"/>
      </w:pPr>
      <w:r>
        <w:lastRenderedPageBreak/>
        <w:t>U</w:t>
      </w:r>
      <w:r w:rsidR="00B95CCD">
        <w:t xml:space="preserve">nabhängig davon plant das Staatsministerium für Bildung und Kultus, Wissenschaft und Kunst, ab Ende des Schuljahrs 2017/2018 in den Berufsintegrationsklassen ein bereits den Schulen vorab zur Verfügung gestelltes Zeugnismuster einzusetzen. Dies sieht für den Lernbereich </w:t>
      </w:r>
      <w:r w:rsidR="00105D40">
        <w:t>„</w:t>
      </w:r>
      <w:r w:rsidR="00B95CCD">
        <w:t>Spracherwerb Deutsch</w:t>
      </w:r>
      <w:r w:rsidR="00105D40">
        <w:t>“</w:t>
      </w:r>
      <w:r w:rsidR="00B95CCD">
        <w:t xml:space="preserve"> eine Notengebung auf B1-Niveau nach dem Gemeinsamen Europäischen Referenzra</w:t>
      </w:r>
      <w:r w:rsidR="00B95CCD">
        <w:t>h</w:t>
      </w:r>
      <w:r w:rsidR="00B95CCD">
        <w:t xml:space="preserve">men (GER) vor. Zudem wird im Zeugnis der Satz </w:t>
      </w:r>
      <w:r w:rsidR="00105D40">
        <w:t>„</w:t>
      </w:r>
      <w:r w:rsidR="00B95CCD">
        <w:t xml:space="preserve">Der Unterricht in Berufsintegrationsklassen zielt auf das Erreichen des Sprachniveaus B1 des </w:t>
      </w:r>
      <w:r>
        <w:t>Gemeinsamen Eu</w:t>
      </w:r>
      <w:r w:rsidR="00B95CCD">
        <w:t>ropäischen Referenzrahmens (GER) ab.</w:t>
      </w:r>
      <w:r w:rsidR="00105D40">
        <w:t>“</w:t>
      </w:r>
      <w:r w:rsidR="00B95CCD">
        <w:t xml:space="preserve"> aufgenommen.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Claudia</w:t>
            </w:r>
            <w:r w:rsidRPr="00B95CCD">
              <w:rPr>
                <w:b/>
              </w:rPr>
              <w:br/>
              <w:t>Stamm</w:t>
            </w:r>
            <w:r w:rsidRPr="00B95CCD">
              <w:rPr>
                <w:b/>
              </w:rPr>
              <w:br/>
            </w:r>
            <w:r w:rsidRPr="00B95CCD">
              <w:t>(Fraktionslos)</w:t>
            </w:r>
            <w:r>
              <w:fldChar w:fldCharType="begin"/>
            </w:r>
            <w:r>
              <w:instrText xml:space="preserve"> TC </w:instrText>
            </w:r>
            <w:r w:rsidR="00105D40">
              <w:instrText>„</w:instrText>
            </w:r>
            <w:bookmarkStart w:id="15" w:name="_Toc508873850"/>
            <w:r>
              <w:instrText>Stamm, Claudia (Fraktionslos)</w:instrText>
            </w:r>
            <w:r>
              <w:br/>
              <w:instrText>Kirchenasyl in Bayern</w:instrText>
            </w:r>
            <w:bookmarkEnd w:id="15"/>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viele Anzeigen gab es wegen Gewährung eines Kirchenasyls zwischen 1980 und 2015 und wie viele gibt es seit 2015 (wenn möglich, bitte regional aufschlüsseln)?</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 xml:space="preserve">Strafanzeigen im Zusammenhang mit Fällen von Kirchenasyl können in den Datenbeständen der Polizei und der Justiz nicht automatisiert recherchiert werden. Die Anfrage </w:t>
      </w:r>
      <w:r w:rsidR="00795BF0">
        <w:t xml:space="preserve">zum Plenum </w:t>
      </w:r>
      <w:r>
        <w:t>kann se</w:t>
      </w:r>
      <w:r>
        <w:t>i</w:t>
      </w:r>
      <w:r>
        <w:t>tens der Staatsregierung daher nicht beantwortet werden.</w:t>
      </w:r>
    </w:p>
    <w:p w:rsidR="00B95CCD" w:rsidRDefault="00B95CCD" w:rsidP="00B95CCD">
      <w:pPr>
        <w:pStyle w:val="LTAntwortRessortText"/>
      </w:pPr>
      <w:r>
        <w:t>Von einer manuellen Einzelfallrecherche wurde, in Anbetrac</w:t>
      </w:r>
      <w:r w:rsidR="00795BF0">
        <w:t>ht des nicht zu leistenden Auf</w:t>
      </w:r>
      <w:r>
        <w:t>wands, abgesehen. Allein für das Jahr 2016 sind in der Polizeili</w:t>
      </w:r>
      <w:r w:rsidR="00795BF0">
        <w:t>chen Kriminalstatistik für Bay</w:t>
      </w:r>
      <w:r>
        <w:t>ern 267.953 Straftaten gegen das Aufenthaltsgesetz registriert, welche manuell nach einem möglichen Kirche</w:t>
      </w:r>
      <w:r>
        <w:t>n</w:t>
      </w:r>
      <w:r>
        <w:t>asylbezug recherchiert werden müssten.</w:t>
      </w:r>
    </w:p>
    <w:p w:rsidR="009F18A5" w:rsidRDefault="009F18A5" w:rsidP="00B95CC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Angelika</w:t>
            </w:r>
            <w:r w:rsidRPr="00B95CCD">
              <w:rPr>
                <w:b/>
              </w:rPr>
              <w:br/>
              <w:t>Weikert</w:t>
            </w:r>
            <w:r w:rsidRPr="00B95CCD">
              <w:rPr>
                <w:b/>
              </w:rPr>
              <w:br/>
            </w:r>
            <w:r w:rsidRPr="00B95CCD">
              <w:t>(SPD)</w:t>
            </w:r>
            <w:r>
              <w:fldChar w:fldCharType="begin"/>
            </w:r>
            <w:r>
              <w:instrText xml:space="preserve"> TC </w:instrText>
            </w:r>
            <w:r w:rsidR="00105D40">
              <w:instrText>„</w:instrText>
            </w:r>
            <w:bookmarkStart w:id="16" w:name="_Toc508873851"/>
            <w:r>
              <w:instrText>Weikert, Angelika (SPD)</w:instrText>
            </w:r>
            <w:r>
              <w:br/>
              <w:instrText>Nachzug von Zweitfrauen im Zuge des Familiennachzugs zu Flüchtlingen</w:instrText>
            </w:r>
            <w:bookmarkEnd w:id="16"/>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Bezugnehmend auf die Äußerungen des Staatsministers der Finanzen, für Landesentwicklung und Heimat Dr. Markus Söder in einem Zeitungsinterview (</w:t>
            </w:r>
            <w:r w:rsidR="00105D40">
              <w:t>„</w:t>
            </w:r>
            <w:r>
              <w:t>Nürnberger Zeitung</w:t>
            </w:r>
            <w:r w:rsidR="00105D40">
              <w:t>“</w:t>
            </w:r>
            <w:r>
              <w:t xml:space="preserve"> vom 05.03.2018), dass er es absurd findet, wenn durch den Familiennachzug plötzlich zwei Ehefrauen nach Deutschland kommen, frage ich die Staatsregierung, unter welchen Umständen zwei Ehefrauen im Rahmen des Familiennachzugs zu anerkannten Flüchtlingen nachzugsberec</w:t>
            </w:r>
            <w:r>
              <w:t>h</w:t>
            </w:r>
            <w:r>
              <w:t>tigt sind, in wie vielen Fälle in Bayern seit 2015 zwei Ehefrauen aus dem Au</w:t>
            </w:r>
            <w:r>
              <w:t>s</w:t>
            </w:r>
            <w:r>
              <w:t>land zu anerkannten Flüchtlingen im Rahmen des Familiennachzugs nachg</w:t>
            </w:r>
            <w:r>
              <w:t>e</w:t>
            </w:r>
            <w:r>
              <w:t>zogen sind und ob die Staatsregierung Polygamie, wenn sie von Christinnen und Christen praktiziert wird, mit der christlich abendländischen Prägung uns</w:t>
            </w:r>
            <w:r>
              <w:t>e</w:t>
            </w:r>
            <w:r>
              <w:t>res Landes für vereinbar hält?</w:t>
            </w:r>
          </w:p>
          <w:p w:rsidR="00B95CCD" w:rsidRDefault="00B95CCD" w:rsidP="00B95CCD">
            <w:pPr>
              <w:pStyle w:val="LTAnfrageText"/>
            </w:pPr>
          </w:p>
        </w:tc>
      </w:tr>
    </w:tbl>
    <w:p w:rsidR="009F18A5" w:rsidRDefault="009F18A5" w:rsidP="00B95CCD">
      <w:pPr>
        <w:pStyle w:val="LTUeberschrAntwortRessort"/>
      </w:pPr>
    </w:p>
    <w:p w:rsidR="009F18A5" w:rsidRDefault="009F18A5">
      <w:pPr>
        <w:rPr>
          <w:b/>
          <w:szCs w:val="22"/>
        </w:rPr>
      </w:pPr>
      <w:r>
        <w:br w:type="page"/>
      </w:r>
    </w:p>
    <w:p w:rsidR="00B95CCD" w:rsidRDefault="00B95CCD" w:rsidP="00B95CCD">
      <w:pPr>
        <w:pStyle w:val="LTUeberschrAntwortRessort"/>
      </w:pPr>
      <w:r>
        <w:lastRenderedPageBreak/>
        <w:t>Antwort des Staatsministeriums des Innern, für Bau und Verkehr</w:t>
      </w:r>
    </w:p>
    <w:p w:rsidR="00B95CCD" w:rsidRDefault="00B95CCD" w:rsidP="00B95CCD">
      <w:pPr>
        <w:pStyle w:val="LTAntwortRessortText"/>
      </w:pPr>
      <w:r>
        <w:t>Auf die Antwort der Staatsregierung auf die Anfrage zum Plenum des A</w:t>
      </w:r>
      <w:r w:rsidR="003B37AA">
        <w:t>bgeordneten Alexander K</w:t>
      </w:r>
      <w:r w:rsidR="003B37AA">
        <w:t>ö</w:t>
      </w:r>
      <w:r w:rsidR="003B37AA">
        <w:t>nig (</w:t>
      </w:r>
      <w:r>
        <w:t>Drs. 17/20552</w:t>
      </w:r>
      <w:r w:rsidR="003B37AA">
        <w:t>)</w:t>
      </w:r>
      <w:r>
        <w:t xml:space="preserve"> vom 01.02.2018, Seite 10, wird verwiesen.</w:t>
      </w:r>
    </w:p>
    <w:p w:rsidR="00B95CCD" w:rsidRDefault="00B95CCD" w:rsidP="00B95CCD">
      <w:pPr>
        <w:pStyle w:val="LTAntwortRessortText"/>
      </w:pPr>
      <w:r>
        <w:t>Im Übrigen ist Polygamie mit dem Eheverständnis des Grundgesetzes nicht vereinbar und die Schließung einer Mehrehe vor deutschen Standesämtern, unabhängig von der Religionszugehöri</w:t>
      </w:r>
      <w:r>
        <w:t>g</w:t>
      </w:r>
      <w:r>
        <w:t>keit,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Isabell</w:t>
            </w:r>
            <w:r w:rsidRPr="00B95CCD">
              <w:rPr>
                <w:b/>
              </w:rPr>
              <w:br/>
              <w:t>Zacharias</w:t>
            </w:r>
            <w:r w:rsidRPr="00B95CCD">
              <w:rPr>
                <w:b/>
              </w:rPr>
              <w:br/>
            </w:r>
            <w:r w:rsidRPr="00B95CCD">
              <w:t>(SPD)</w:t>
            </w:r>
            <w:r>
              <w:fldChar w:fldCharType="begin"/>
            </w:r>
            <w:r>
              <w:instrText xml:space="preserve"> TC </w:instrText>
            </w:r>
            <w:r w:rsidR="00105D40">
              <w:instrText>„</w:instrText>
            </w:r>
            <w:bookmarkStart w:id="17" w:name="_Toc508873852"/>
            <w:r>
              <w:instrText>Zacharias, Isabell (SPD)</w:instrText>
            </w:r>
            <w:r>
              <w:br/>
              <w:instrText>Sanierungsarbeiten A 92</w:instrText>
            </w:r>
            <w:bookmarkEnd w:id="17"/>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Nachdem im Sommer 2018 die Bahnstrecke zwischen Freising und München saniert wird und viele Pendlerinnen und Pendler aufgrund des nicht ausre</w:t>
            </w:r>
            <w:r>
              <w:t>i</w:t>
            </w:r>
            <w:r>
              <w:t>chend leistungsfähigen Schienenersatzverkehrs auf das private Kraftfahrzeug ausweichen werden, frage ich die Staatsregierung, wie genau der zeitliche Ablauf der Fahrbahnerneuerung auf der A 92 zwischen den Anschlussstellen Moosburg-Nord und Moosburg-Süd aussehen wird, ob sichergestellt ist, dass die Sanierungsarbeiten auf der Autobahn nicht mit den Sanierungsarbeiten auf der Bahnstrecke zusammenfallen und ob ausgeschlossen werden kann, dass die für das Jahr 2019 geplanten Sanierungsarbeiten auf der A 92 im Raum Freising nicht schon im Sommer 2018 durchgeführt werden?</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 xml:space="preserve">Die Erneuerung der A 92 im </w:t>
      </w:r>
      <w:r w:rsidR="006841BA">
        <w:t>rund</w:t>
      </w:r>
      <w:r>
        <w:t xml:space="preserve"> 7,5 km langen Abschnitt zwischen Moosburg-Süd und der Isa</w:t>
      </w:r>
      <w:r>
        <w:t>r</w:t>
      </w:r>
      <w:r>
        <w:t>brücke hat Anfang März 2018 mit der Einrichtung der Verkehrsführung begonnen und wird Anfang November 2018 abgeschlossen werden. Während der Bauzeit stehen den Autofahrern wie im B</w:t>
      </w:r>
      <w:r>
        <w:t>e</w:t>
      </w:r>
      <w:r>
        <w:t>stand durchgehend je zwei Fahrspuren pro Richtung zur Verfügung. Die Bauarbeiten gliedern sich in vier Phasen:</w:t>
      </w:r>
    </w:p>
    <w:p w:rsidR="00B95CCD" w:rsidRDefault="00B95CCD" w:rsidP="00B95CCD">
      <w:pPr>
        <w:pStyle w:val="LTAntwortRessortText"/>
      </w:pPr>
      <w:r>
        <w:t xml:space="preserve">In der ersten Phase wird bis Mitte April </w:t>
      </w:r>
      <w:r w:rsidR="006841BA">
        <w:t xml:space="preserve">2018 </w:t>
      </w:r>
      <w:r>
        <w:t>der Verkehr beider Fahrtrichtungen nach außen ve</w:t>
      </w:r>
      <w:r>
        <w:t>r</w:t>
      </w:r>
      <w:r>
        <w:t xml:space="preserve">legt, um im Mittelstreifen umfangreiche Arbeiten zur Vorbereitung der späteren Verkehrsführung der Phase 2 durchführen zu können. In der zweiten Phase wird bis Ende Juli </w:t>
      </w:r>
      <w:r w:rsidR="006841BA">
        <w:t xml:space="preserve">2018 </w:t>
      </w:r>
      <w:r>
        <w:t>die Fahrbahn in Fahrtrichtung Deggendorf erneuert. Der Verkehr wird währenddessen in einer Baustellenverkehr</w:t>
      </w:r>
      <w:r>
        <w:t>s</w:t>
      </w:r>
      <w:r>
        <w:t xml:space="preserve">führung auf der Fahrbahn in Fahrtrichtung München geführt. In der dritten Phase wird bis Anfang Oktober </w:t>
      </w:r>
      <w:r w:rsidR="006841BA">
        <w:t xml:space="preserve">2018 </w:t>
      </w:r>
      <w:r>
        <w:t>die Fahrtrichtung München erneuert. Der Verkehr läuft dann auf der bereits erneue</w:t>
      </w:r>
      <w:r>
        <w:t>r</w:t>
      </w:r>
      <w:r>
        <w:t>ten Fahrbahn in Fahrtrichtung Deggendorf. In der letzten Phase werden bis Anfang November a</w:t>
      </w:r>
      <w:r>
        <w:t>b</w:t>
      </w:r>
      <w:r>
        <w:t>schließend die Schutzsysteme im Mittelstreifen hergestellt.</w:t>
      </w:r>
    </w:p>
    <w:p w:rsidR="00B95CCD" w:rsidRDefault="00B95CCD" w:rsidP="00B95CCD">
      <w:pPr>
        <w:pStyle w:val="LTAntwortRessortText"/>
      </w:pPr>
      <w:r>
        <w:t>Bei der grundhaften Erneuerung der A 92 im gut 70 km langen Streckenbereich zwischen dem Flughafen München und Dingolfing handelt es sich um mehrjährige Baumaßnahmen, die bis</w:t>
      </w:r>
      <w:r w:rsidR="006841BA">
        <w:t xml:space="preserve"> </w:t>
      </w:r>
      <w:r>
        <w:t>Ende 2023 abgeschlossen sein sollen. Die einzelnen Abschnitte sind dabei fest eingetaktet. Eine Ausse</w:t>
      </w:r>
      <w:r>
        <w:t>t</w:t>
      </w:r>
      <w:r>
        <w:t>zung der Bauarbeiten ist nicht möglich. Dies gilt auch für die Baumaßnahmen der Bahn. Um mögl</w:t>
      </w:r>
      <w:r>
        <w:t>i</w:t>
      </w:r>
      <w:r>
        <w:t>che Behinderungen für die Pendler</w:t>
      </w:r>
      <w:r w:rsidR="006841BA">
        <w:t>innen bzw. Pendler</w:t>
      </w:r>
      <w:r>
        <w:t xml:space="preserve"> und Schüler</w:t>
      </w:r>
      <w:r w:rsidR="006841BA">
        <w:t>innen bzw. Schüler</w:t>
      </w:r>
      <w:r>
        <w:t xml:space="preserve"> zu minimi</w:t>
      </w:r>
      <w:r>
        <w:t>e</w:t>
      </w:r>
      <w:r>
        <w:t>ren, wird die Bahnstrecke nur in den sechswöchigen Sommerferien gesperrt.</w:t>
      </w:r>
    </w:p>
    <w:p w:rsidR="00B95CCD" w:rsidRDefault="00B95CCD" w:rsidP="00B95CCD">
      <w:pPr>
        <w:pStyle w:val="LTAntwortRessortText"/>
      </w:pPr>
      <w:r>
        <w:t>Die für das Jahr 2019 geplanten Sanierungsarbeiten an der A 92 im Bereich Freising werden nicht bereits vorgezogen in 2018 durchgeführt.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lastRenderedPageBreak/>
              <w:t>Abgeordneter</w:t>
            </w:r>
            <w:r w:rsidRPr="00B95CCD">
              <w:br/>
            </w:r>
            <w:r w:rsidRPr="00B95CCD">
              <w:rPr>
                <w:b/>
              </w:rPr>
              <w:t>Benno</w:t>
            </w:r>
            <w:r w:rsidRPr="00B95CCD">
              <w:rPr>
                <w:b/>
              </w:rPr>
              <w:br/>
              <w:t>Zierer</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18" w:name="_Toc508873853"/>
            <w:r>
              <w:instrText>Zierer, Benno (FREIE WÄHLER)</w:instrText>
            </w:r>
            <w:r>
              <w:br/>
              <w:instrText>Sprengstoffsuchgeräte am Flughafen München</w:instrText>
            </w:r>
            <w:bookmarkEnd w:id="18"/>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wurden von den Herstellern der am Flughafen München verwendeten Sprengstoffsuchgeräte der Typen Quantum Sniffer und Itemiser Schadenersatzforderungen gegen den Freistaat Bayern (zum Beispiel das Luftamt Südbayern als Leasingnehmer der Geräte) geltend gemacht, nachdem diese Geräte im Zusammenhang mit gehäuft auftretenden Kran</w:t>
            </w:r>
            <w:r>
              <w:t>k</w:t>
            </w:r>
            <w:r>
              <w:t>heitsfällen bei</w:t>
            </w:r>
            <w:r w:rsidR="00105D40">
              <w:t xml:space="preserve"> </w:t>
            </w:r>
            <w:r>
              <w:t>Beschäftigten der Sicherheitsgesellschaft am Flughafen Mü</w:t>
            </w:r>
            <w:r>
              <w:t>n</w:t>
            </w:r>
            <w:r>
              <w:t>chen ab August 2015 vorübergehend außer Betrieb genommen worden waren, wenn ja, in welcher Höhe wurden Forderungen erhoben und konnten diese durchgesetzt werden?</w:t>
            </w:r>
          </w:p>
          <w:p w:rsidR="00B95CCD" w:rsidRDefault="00B95CCD" w:rsidP="00B95CCD">
            <w:pPr>
              <w:pStyle w:val="LTAnfrageText"/>
            </w:pPr>
          </w:p>
        </w:tc>
      </w:tr>
    </w:tbl>
    <w:p w:rsidR="00B95CCD" w:rsidRDefault="00B95CCD" w:rsidP="00B95CCD">
      <w:pPr>
        <w:pStyle w:val="LTUeberschrAntwortRessort"/>
      </w:pPr>
      <w:r>
        <w:t>Antwort des Staatsministeriums des Innern, für Bau und Verkehr</w:t>
      </w:r>
    </w:p>
    <w:p w:rsidR="00B95CCD" w:rsidRDefault="00B95CCD" w:rsidP="00B95CCD">
      <w:pPr>
        <w:pStyle w:val="LTAntwortRessortText"/>
      </w:pPr>
      <w:r>
        <w:t>Im Zusammenhang mit der Außerbetriebnahme der Sprengstoffdetektionsgeräte Quantum Sniffer im September 2015 wurden von Seiten des Freistaat</w:t>
      </w:r>
      <w:r w:rsidR="006F2312">
        <w:t>e</w:t>
      </w:r>
      <w:r>
        <w:t>s Bayern die Mietzinszahlungen von Septe</w:t>
      </w:r>
      <w:r>
        <w:t>m</w:t>
      </w:r>
      <w:r>
        <w:t xml:space="preserve">ber 2015 bis März 2016 eingestellt. In der Folgezeit wurden vom Vertreiber der Geräte neben den ausgefallenen Mietzinsen auch Schadensersatzforderungen von ca. 100.000 </w:t>
      </w:r>
      <w:r w:rsidR="00105D40">
        <w:t>Euro</w:t>
      </w:r>
      <w:r>
        <w:t xml:space="preserve"> geltend g</w:t>
      </w:r>
      <w:r>
        <w:t>e</w:t>
      </w:r>
      <w:r>
        <w:t>macht. Nachdem sich bei den Messungen, zuletzt durch den TÜV im Juni 2016, in arbeitsmedizin</w:t>
      </w:r>
      <w:r>
        <w:t>i</w:t>
      </w:r>
      <w:r>
        <w:t>scher Hinsicht die Unbedenklichkeit der Geräte bestätigte, trafen der Freistaat Bayern und der Ve</w:t>
      </w:r>
      <w:r>
        <w:t>r</w:t>
      </w:r>
      <w:r>
        <w:t>treiber zur Ausräumung der zivilrechtlichen Streitigkeit eine Vergleichsvereinbarung über die Nac</w:t>
      </w:r>
      <w:r>
        <w:t>h</w:t>
      </w:r>
      <w:r>
        <w:t>zahlung der Mietzinsen. Schadensersatzzahlungen wurden dabei vom Freistaat Bayern nicht ane</w:t>
      </w:r>
      <w:r>
        <w:t>r</w:t>
      </w:r>
      <w:r>
        <w:t>kannt bzw. geleistet.</w:t>
      </w:r>
    </w:p>
    <w:p w:rsidR="00B95CCD" w:rsidRDefault="00B95CCD" w:rsidP="00B95CCD">
      <w:pPr>
        <w:pStyle w:val="LTAntwortRessortText"/>
      </w:pPr>
      <w:r>
        <w:t>Mit dem Vertragspartner der Sprengstoffdetektionsgeräte vom Typ Morpho Itemiser bestanden ke</w:t>
      </w:r>
      <w:r>
        <w:t>i</w:t>
      </w:r>
      <w:r>
        <w:t>ne entsprechenden Rechtsstreitigkeiten. Schadensersatzansprüche wurden weder gefordert noch Schadensersatzleistungen erbracht.</w:t>
      </w:r>
    </w:p>
    <w:p w:rsidR="006F2312" w:rsidRDefault="006F2312">
      <w:pPr>
        <w:rPr>
          <w:rFonts w:cs="Arial"/>
          <w:b/>
          <w:sz w:val="22"/>
          <w:szCs w:val="22"/>
        </w:rPr>
      </w:pPr>
      <w:r>
        <w:br w:type="page"/>
      </w:r>
    </w:p>
    <w:p w:rsidR="00B95CCD" w:rsidRDefault="00B95CCD" w:rsidP="00B95CCD">
      <w:pPr>
        <w:pStyle w:val="LTUeberschrRessort"/>
      </w:pPr>
      <w:r>
        <w:lastRenderedPageBreak/>
        <w:t>Geschäftsbereich des Staatsministeriums der Justiz</w:t>
      </w:r>
      <w:r>
        <w:fldChar w:fldCharType="begin"/>
      </w:r>
      <w:r>
        <w:instrText xml:space="preserve"> TC </w:instrText>
      </w:r>
      <w:r w:rsidR="00105D40">
        <w:instrText>„</w:instrText>
      </w:r>
      <w:bookmarkStart w:id="19" w:name="_Toc508873854"/>
      <w:r>
        <w:instrText>Geschäftsbereich des Staatsministeriums der Justiz</w:instrText>
      </w:r>
      <w:bookmarkEnd w:id="19"/>
      <w:r w:rsidR="00105D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Florian</w:t>
            </w:r>
            <w:r w:rsidRPr="00B95CCD">
              <w:rPr>
                <w:b/>
              </w:rPr>
              <w:br/>
              <w:t>Brunn</w:t>
            </w:r>
            <w:r w:rsidRPr="00B95CCD">
              <w:rPr>
                <w:b/>
              </w:rPr>
              <w:br/>
            </w:r>
            <w:r w:rsidRPr="00B95CCD">
              <w:t>(SPD)</w:t>
            </w:r>
            <w:r>
              <w:fldChar w:fldCharType="begin"/>
            </w:r>
            <w:r>
              <w:instrText xml:space="preserve"> TC </w:instrText>
            </w:r>
            <w:r w:rsidR="00105D40">
              <w:instrText>„</w:instrText>
            </w:r>
            <w:bookmarkStart w:id="20" w:name="_Toc508873855"/>
            <w:r>
              <w:instrText>Brunn, Florian (SPD)</w:instrText>
            </w:r>
            <w:r>
              <w:br/>
              <w:instrText>Mietpreisbremse: Wie wichtig ist der Staatsregierung der Schutz von Mieterinnen und Mietern?</w:instrText>
            </w:r>
            <w:bookmarkEnd w:id="20"/>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Nach dem Urteil des Landgerichts München I vom 06.12.2017 zur Umsetzung der Mietpreisbremse in Bayern, frage ich die Staatsregierung, wie sie die U</w:t>
            </w:r>
            <w:r>
              <w:t>m</w:t>
            </w:r>
            <w:r>
              <w:t>setzung der sog. Mietpreisbremse in Bayern derzeit politisch und rechtlich beurteilt, ob sie der Auffassung ist, dass die Verordnung mit der zwischenzei</w:t>
            </w:r>
            <w:r>
              <w:t>t</w:t>
            </w:r>
            <w:r>
              <w:t>lich angepassten Begründung rechtskräftig angewendet werden kann, und falls nein, wann genau sie eine rechtskräftige Verordnung erlassen will?</w:t>
            </w:r>
          </w:p>
          <w:p w:rsidR="00B95CCD" w:rsidRDefault="00B95CCD" w:rsidP="00B95CCD">
            <w:pPr>
              <w:pStyle w:val="LTAnfrageText"/>
            </w:pPr>
          </w:p>
        </w:tc>
      </w:tr>
    </w:tbl>
    <w:p w:rsidR="00B95CCD" w:rsidRDefault="00B95CCD" w:rsidP="008D59BB">
      <w:pPr>
        <w:pStyle w:val="LTUeberschrAntwortRessort"/>
        <w:spacing w:before="960"/>
      </w:pPr>
      <w:r>
        <w:t>Antwort des Staatsministeriums der Justiz</w:t>
      </w:r>
    </w:p>
    <w:p w:rsidR="00B95CCD" w:rsidRDefault="00B95CCD" w:rsidP="008D59BB">
      <w:pPr>
        <w:pStyle w:val="LTAntwortRessortText"/>
        <w:spacing w:before="360"/>
      </w:pPr>
      <w:r>
        <w:t>Es ist ein wichtiges politisches Ziel der Staatsregierung, Mieterinnen und Mieter vor überzogenen Mietsteigerungen zu schützen und zu verhindern, dass diese wegen Mietanstiegen aus ihren ang</w:t>
      </w:r>
      <w:r>
        <w:t>e</w:t>
      </w:r>
      <w:r>
        <w:t>stammten Wohngebieten verdrängt werden. Hierzu kann die sog. Mietpreisbremse einen Beitrag leisten. Sie kann aber nur flankierende Maßnahme neben anderen Instrumenten, in</w:t>
      </w:r>
      <w:r w:rsidR="008D59BB">
        <w:t>sbesondere so</w:t>
      </w:r>
      <w:r w:rsidR="008D59BB">
        <w:t>l</w:t>
      </w:r>
      <w:r w:rsidR="008D59BB">
        <w:t>chen des Wohnungs</w:t>
      </w:r>
      <w:r>
        <w:t>baus, sein.</w:t>
      </w:r>
    </w:p>
    <w:p w:rsidR="00B95CCD" w:rsidRDefault="00B95CCD" w:rsidP="008D59BB">
      <w:pPr>
        <w:pStyle w:val="LTAntwortRessortText"/>
        <w:spacing w:before="360"/>
      </w:pPr>
      <w:r>
        <w:t>Aus Sicht der Staatsregierung ist den bundesgesetzlichen Anforderungen an eine Landesveror</w:t>
      </w:r>
      <w:r>
        <w:t>d</w:t>
      </w:r>
      <w:r>
        <w:t xml:space="preserve">nung zur Festlegung des Geltungsbereichs der Mietpreisbremse im Sinne der Auslegung durch das Landgericht München I im Urteil vom </w:t>
      </w:r>
      <w:r w:rsidR="008D59BB">
        <w:t>06.12.</w:t>
      </w:r>
      <w:r>
        <w:t>2017 mit der ergänzenden Begründung zur Miet</w:t>
      </w:r>
      <w:r w:rsidR="008D59BB">
        <w:t>e</w:t>
      </w:r>
      <w:r w:rsidR="008D59BB">
        <w:t>r</w:t>
      </w:r>
      <w:r w:rsidR="008D59BB">
        <w:t>schutzverordnung vom 24.07.</w:t>
      </w:r>
      <w:r>
        <w:t>2017 Rechnung getragen. Darin sind die Tatsachen, welche der Staatsregierung beim Erlass der Mieterschutz</w:t>
      </w:r>
      <w:r w:rsidR="008D59BB">
        <w:t>verordnung vom 10.11.</w:t>
      </w:r>
      <w:r>
        <w:t>2015 vorlagen und Grundlage für den Erlass der Verordnung waren, in einzelnen Punkten noch detaillierter dargestellt.</w:t>
      </w:r>
    </w:p>
    <w:p w:rsidR="00B95CCD" w:rsidRDefault="00B95CCD" w:rsidP="008D59BB">
      <w:pPr>
        <w:pStyle w:val="LTAntwortRessortText"/>
        <w:spacing w:before="360"/>
      </w:pPr>
      <w:r>
        <w:t>Das Staatsministerium der Justiz hat ferner bereit</w:t>
      </w:r>
      <w:r w:rsidR="008D59BB">
        <w:t>s vor der Entscheidung des Land</w:t>
      </w:r>
      <w:r>
        <w:t>gerichts Mü</w:t>
      </w:r>
      <w:r>
        <w:t>n</w:t>
      </w:r>
      <w:r>
        <w:t>chen I und unabhängig von dieser e</w:t>
      </w:r>
      <w:r w:rsidR="00BF5AD4">
        <w:t>inen Neuerlass der Mieterschutz</w:t>
      </w:r>
      <w:r>
        <w:t>verordnung auf neuer Date</w:t>
      </w:r>
      <w:r>
        <w:t>n</w:t>
      </w:r>
      <w:r>
        <w:t>basis vorbereitet. Im Zusammenwirken mit der Zentralen Vergabestelle beim Oberlandesgericht München wird derzeit ein Verfahren zur Auswahl eines externen Gutachters für die Analyse der Wohnungsmärkte in den bayerischen Kommunen durchgeführt. Ergebnisse dieses Gutachtens sind nach derzeitigem Stand im Herbst 2018 zu erwarten.</w:t>
      </w:r>
    </w:p>
    <w:p w:rsidR="008D59BB" w:rsidRDefault="008D59BB">
      <w:pPr>
        <w:rPr>
          <w:rFonts w:cs="Arial"/>
          <w:b/>
          <w:sz w:val="22"/>
          <w:szCs w:val="22"/>
        </w:rPr>
      </w:pPr>
      <w:r>
        <w:br w:type="page"/>
      </w:r>
    </w:p>
    <w:p w:rsidR="00B95CCD" w:rsidRDefault="00B95CCD" w:rsidP="00B95CCD">
      <w:pPr>
        <w:pStyle w:val="LTUeberschrRessort"/>
      </w:pPr>
      <w:r>
        <w:lastRenderedPageBreak/>
        <w:t>Geschäftsbereich des Staatsministeriums für Bildung und Kultus, Wissenschaft und Kunst</w:t>
      </w:r>
      <w:r>
        <w:fldChar w:fldCharType="begin"/>
      </w:r>
      <w:r>
        <w:instrText xml:space="preserve"> TC </w:instrText>
      </w:r>
      <w:r w:rsidR="00105D40">
        <w:instrText>„</w:instrText>
      </w:r>
      <w:bookmarkStart w:id="21" w:name="_Toc508873856"/>
      <w:r>
        <w:instrText>Geschäftsbereich des Staatsministeriums für Bildung und Kultus, Wissenschaft und Kunst</w:instrText>
      </w:r>
      <w:bookmarkEnd w:id="21"/>
      <w:r w:rsidR="00105D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Inge</w:t>
            </w:r>
            <w:r w:rsidRPr="00B95CCD">
              <w:rPr>
                <w:b/>
              </w:rPr>
              <w:br/>
              <w:t>Aures</w:t>
            </w:r>
            <w:r w:rsidRPr="00B95CCD">
              <w:rPr>
                <w:b/>
              </w:rPr>
              <w:br/>
            </w:r>
            <w:r w:rsidRPr="00B95CCD">
              <w:t>(SPD)</w:t>
            </w:r>
            <w:r>
              <w:fldChar w:fldCharType="begin"/>
            </w:r>
            <w:r>
              <w:instrText xml:space="preserve"> TC </w:instrText>
            </w:r>
            <w:r w:rsidR="00105D40">
              <w:instrText>„</w:instrText>
            </w:r>
            <w:bookmarkStart w:id="22" w:name="_Toc508873857"/>
            <w:r>
              <w:instrText>Aures, Inge (SPD)</w:instrText>
            </w:r>
            <w:r>
              <w:br/>
              <w:instrText>Schulgeld an Berufsfachschulen für Sozialpflege</w:instrText>
            </w:r>
            <w:bookmarkEnd w:id="22"/>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hoch ist das von den Berufsfachschulen für Sozialpflege in Bayern durchschnittlich erhobene Schulgeld je Schülerin bzw. Schüler und welche Maßnahmen will die Staatsregierung dahingehend ergre</w:t>
            </w:r>
            <w:r>
              <w:t>i</w:t>
            </w:r>
            <w:r>
              <w:t>fen, damit in Zukunft auf die Erhebung von Schulgeld in diesen Schulen ve</w:t>
            </w:r>
            <w:r>
              <w:t>r</w:t>
            </w:r>
            <w:r>
              <w:t>zichtet werden kann?</w:t>
            </w:r>
          </w:p>
          <w:p w:rsidR="00B95CCD" w:rsidRDefault="00B95CCD" w:rsidP="00B95CCD">
            <w:pPr>
              <w:pStyle w:val="LTAnfrageText"/>
            </w:pPr>
          </w:p>
        </w:tc>
      </w:tr>
    </w:tbl>
    <w:p w:rsidR="00B95CCD" w:rsidRDefault="00B95CCD" w:rsidP="00B95CCD">
      <w:pPr>
        <w:pStyle w:val="LTUeberschrAntwortRessort"/>
      </w:pPr>
      <w:r>
        <w:t>Antwort des Staatsministeriums für Bildung und Kultus, Wissenschaft und Kunst</w:t>
      </w:r>
    </w:p>
    <w:p w:rsidR="00B95CCD" w:rsidRDefault="00B95CCD" w:rsidP="00B95CCD">
      <w:pPr>
        <w:pStyle w:val="LTAntwortRessortText"/>
      </w:pPr>
      <w:r>
        <w:t>An den</w:t>
      </w:r>
      <w:r w:rsidR="001D7B55">
        <w:t xml:space="preserve"> 24 staatlichen (1.338 Schülerinnen und Schüler</w:t>
      </w:r>
      <w:r>
        <w:t xml:space="preserve"> in 63 Klassen) und den </w:t>
      </w:r>
      <w:r w:rsidR="001D7B55">
        <w:t>sechs kommunalen (495 Schülerinnen und Schüler</w:t>
      </w:r>
      <w:r>
        <w:t xml:space="preserve"> in 19 Klassen) B</w:t>
      </w:r>
      <w:r w:rsidR="001D7B55">
        <w:t>erufsfachschulen für Sozialpfle</w:t>
      </w:r>
      <w:r>
        <w:t>ge wird kein Schu</w:t>
      </w:r>
      <w:r>
        <w:t>l</w:t>
      </w:r>
      <w:r>
        <w:t xml:space="preserve">geld erhoben. </w:t>
      </w:r>
    </w:p>
    <w:p w:rsidR="00B95CCD" w:rsidRDefault="00B95CCD" w:rsidP="00B95CCD">
      <w:pPr>
        <w:pStyle w:val="LTAntwortRessortText"/>
      </w:pPr>
      <w:r>
        <w:t xml:space="preserve">Von den zehn Berufsfachschulen für Sozialpflege in </w:t>
      </w:r>
      <w:r w:rsidR="001D7B55">
        <w:t>privater Trägerschaft, davon ei</w:t>
      </w:r>
      <w:r>
        <w:t>ne Berufsfac</w:t>
      </w:r>
      <w:r>
        <w:t>h</w:t>
      </w:r>
      <w:r>
        <w:t>schule für Sozialpflege mit Förderschwerpunkt Lernen, erheben a</w:t>
      </w:r>
      <w:r w:rsidR="001D7B55">
        <w:t>cht Schulgeld von den Schüleri</w:t>
      </w:r>
      <w:r w:rsidR="001D7B55">
        <w:t>n</w:t>
      </w:r>
      <w:r w:rsidR="001D7B55">
        <w:t>nen und Schüler</w:t>
      </w:r>
      <w:r>
        <w:t>n.</w:t>
      </w:r>
    </w:p>
    <w:p w:rsidR="00B95CCD" w:rsidRDefault="00B95CCD" w:rsidP="00B95CCD">
      <w:pPr>
        <w:pStyle w:val="LTAntwortRessortText"/>
      </w:pPr>
      <w:r>
        <w:t>Unter Ausblendung auffällig hoher und auffällig niedriger Schulgelder ergibt sich zum Schuljahr 2017/</w:t>
      </w:r>
      <w:r w:rsidR="00B719B6">
        <w:t>20</w:t>
      </w:r>
      <w:r>
        <w:t>18 ein Mittelwert von 62,50 Euro.</w:t>
      </w:r>
    </w:p>
    <w:p w:rsidR="00B95CCD" w:rsidRDefault="00B95CCD" w:rsidP="00B95CCD">
      <w:pPr>
        <w:pStyle w:val="LTAntwortRessortText"/>
      </w:pPr>
      <w:r>
        <w:t>Angesichts der Tatsache, dass es an den Berufsfachschulen für Sozialpflege derzeit weder einen eklatanten Bewerbermangel noch einen Mangel an ausgeb</w:t>
      </w:r>
      <w:r w:rsidR="001D7B55">
        <w:t>ildeten Staatlich geprüften Sozialbetre</w:t>
      </w:r>
      <w:r w:rsidR="001D7B55">
        <w:t>u</w:t>
      </w:r>
      <w:r w:rsidR="001D7B55">
        <w:t>erinnen bzw. Sozialbetreuern und Pflegefachhelferinnen bzw. Pflegefachhelfern</w:t>
      </w:r>
      <w:r>
        <w:t xml:space="preserve"> gibt, sind zwei der entscheidenden Kriterien nicht erfüllt, die in der Vergangenheit die Staatsregierung veranlasst h</w:t>
      </w:r>
      <w:r>
        <w:t>a</w:t>
      </w:r>
      <w:r>
        <w:t>ben, zur Bekämpfung des dortigen Fachkräftemangels Schulträgern der Berufsfachschulen für A</w:t>
      </w:r>
      <w:r>
        <w:t>l</w:t>
      </w:r>
      <w:r>
        <w:t>tenpflege und Altenpflegehilfe sowie für Kinderpflege, der Fachakademien für Sozialpädagogik so-wie der Fachschulen für Heilerziehungspflege und Heilerziehungspflegehilfe finanzielle Anreize zu bieten, um auf die Erhebung von Schulgeld von den Schülerinnen und Schülern zu verzichten.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Peter</w:t>
            </w:r>
            <w:r w:rsidRPr="00B95CCD">
              <w:rPr>
                <w:b/>
              </w:rPr>
              <w:br/>
              <w:t>Meyer</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23" w:name="_Toc508873858"/>
            <w:r>
              <w:instrText>Meyer, Peter (FREIE WÄHLER)</w:instrText>
            </w:r>
            <w:r>
              <w:br/>
              <w:instrText>Internetzugang an Bayerns Schulen</w:instrText>
            </w:r>
            <w:bookmarkEnd w:id="23"/>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viele Schulen in Bayern nutzen angesichts der Tatsache, dass im Zuge der Digitalisierung beispielsweise auch Lernen mit interaktiven Videotutorials in den Klassenzimmern zunehmend an Bedeutung gewinnt, einen Internetzugang mit einer Bandbreite von mehr als 50 Mbit/s, wie viele nutzen einen mit einer Bandbreite von mehr als 100 Mbit/s (bitte für beide Bandbreitenklassen aufgeschlüsselt nach Schularten und Regierung</w:t>
            </w:r>
            <w:r>
              <w:t>s</w:t>
            </w:r>
            <w:r>
              <w:t xml:space="preserve">bezirken und jeweils in absoluten Zahlen und als prozentualen Anteil an der Gesamtzahl angeben) und welche konkrete Bandbreite nutzen die Modell- und Netzwerkschulen des Modellversuchs </w:t>
            </w:r>
            <w:r w:rsidR="00105D40">
              <w:t>„</w:t>
            </w:r>
            <w:r>
              <w:t>Digitale Schule 2020</w:t>
            </w:r>
            <w:r w:rsidR="00105D40">
              <w:t>“</w:t>
            </w:r>
            <w:r>
              <w:t>?</w:t>
            </w:r>
          </w:p>
          <w:p w:rsidR="00B95CCD" w:rsidRDefault="00B95CCD" w:rsidP="00B95CCD">
            <w:pPr>
              <w:pStyle w:val="LTAnfrageText"/>
            </w:pPr>
          </w:p>
        </w:tc>
      </w:tr>
    </w:tbl>
    <w:p w:rsidR="00B95CCD" w:rsidRDefault="00B95CCD" w:rsidP="00B95CCD">
      <w:pPr>
        <w:pStyle w:val="LTUeberschrAntwortRessort"/>
      </w:pPr>
      <w:r>
        <w:lastRenderedPageBreak/>
        <w:t>Antwort des Staatsministeriums für Bildung und Kultus, Wissenschaft und Kunst</w:t>
      </w:r>
    </w:p>
    <w:p w:rsidR="00B95CCD" w:rsidRDefault="00B95CCD" w:rsidP="00B95CCD">
      <w:pPr>
        <w:pStyle w:val="LTAntwortRessortText"/>
      </w:pPr>
      <w:r>
        <w:t>Bei der Beantwortung der Fragen ist zwischen von den Schulen tatsächlich genutzter Bandbreite und von den Schulen technisch nutzbarer Bandbreite zu differenzieren.</w:t>
      </w:r>
    </w:p>
    <w:p w:rsidR="00B95CCD" w:rsidRDefault="00B95CCD" w:rsidP="00B95CCD">
      <w:pPr>
        <w:pStyle w:val="LTAntwortRessortText"/>
      </w:pPr>
      <w:r>
        <w:t>In der alljährlichen Umfrage zur IT-Ausstattung der Schulen (IT-Umfrage) wird die von den Schulen tatsächlich genutzte Bandbreite abgefragt. Die vor Ort technisch nutzbare Bandbreite, die anhand öffentlich zugänglicher Datenbanken der einzelnen, nicht alle dem Staatsministerium</w:t>
      </w:r>
      <w:r w:rsidR="002B1619">
        <w:t xml:space="preserve"> für Bildung und Kultus, Wissenschaft und Kunst</w:t>
      </w:r>
      <w:r>
        <w:t xml:space="preserve"> bekannten Netzwerkbetreiber ermittelbar wäre, kann höher li</w:t>
      </w:r>
      <w:r>
        <w:t>e</w:t>
      </w:r>
      <w:r>
        <w:t>gen als die von den Schulen tatsächlich genutzte Bandbreite.</w:t>
      </w:r>
    </w:p>
    <w:p w:rsidR="00B95CCD" w:rsidRDefault="00B95CCD" w:rsidP="00B95CCD">
      <w:pPr>
        <w:pStyle w:val="LTAntwortRessortText"/>
      </w:pPr>
    </w:p>
    <w:tbl>
      <w:tblPr>
        <w:tblW w:w="8237" w:type="dxa"/>
        <w:tblInd w:w="496" w:type="dxa"/>
        <w:tblCellMar>
          <w:left w:w="70" w:type="dxa"/>
          <w:right w:w="70" w:type="dxa"/>
        </w:tblCellMar>
        <w:tblLook w:val="04A0" w:firstRow="1" w:lastRow="0" w:firstColumn="1" w:lastColumn="0" w:noHBand="0" w:noVBand="1"/>
      </w:tblPr>
      <w:tblGrid>
        <w:gridCol w:w="1388"/>
        <w:gridCol w:w="902"/>
        <w:gridCol w:w="808"/>
        <w:gridCol w:w="941"/>
        <w:gridCol w:w="844"/>
        <w:gridCol w:w="862"/>
        <w:gridCol w:w="825"/>
        <w:gridCol w:w="862"/>
        <w:gridCol w:w="805"/>
      </w:tblGrid>
      <w:tr w:rsidR="002B1619" w:rsidRPr="00F17DAC" w:rsidTr="002B1619">
        <w:trPr>
          <w:trHeight w:val="300"/>
        </w:trPr>
        <w:tc>
          <w:tcPr>
            <w:tcW w:w="1388" w:type="dxa"/>
            <w:vMerge w:val="restart"/>
            <w:tcBorders>
              <w:top w:val="single" w:sz="4" w:space="0" w:color="auto"/>
              <w:left w:val="single" w:sz="4" w:space="0" w:color="auto"/>
              <w:bottom w:val="single" w:sz="8" w:space="0" w:color="000000"/>
              <w:right w:val="single" w:sz="12" w:space="0" w:color="auto"/>
            </w:tcBorders>
            <w:shd w:val="clear" w:color="auto" w:fill="auto"/>
            <w:noWrap/>
            <w:hideMark/>
          </w:tcPr>
          <w:p w:rsidR="002B1619" w:rsidRPr="00F17DAC" w:rsidRDefault="002B1619" w:rsidP="00BC6FD0">
            <w:pPr>
              <w:rPr>
                <w:b/>
                <w:bCs/>
                <w:color w:val="000000"/>
                <w:sz w:val="22"/>
              </w:rPr>
            </w:pPr>
            <w:r w:rsidRPr="00F17DAC">
              <w:rPr>
                <w:b/>
                <w:bCs/>
                <w:color w:val="000000"/>
                <w:sz w:val="22"/>
              </w:rPr>
              <w:t>Schulart</w:t>
            </w:r>
          </w:p>
        </w:tc>
        <w:tc>
          <w:tcPr>
            <w:tcW w:w="1710" w:type="dxa"/>
            <w:gridSpan w:val="2"/>
            <w:tcBorders>
              <w:top w:val="single" w:sz="4" w:space="0" w:color="auto"/>
              <w:left w:val="single" w:sz="12" w:space="0" w:color="auto"/>
              <w:bottom w:val="nil"/>
              <w:right w:val="single" w:sz="12" w:space="0" w:color="auto"/>
            </w:tcBorders>
            <w:shd w:val="clear" w:color="auto" w:fill="auto"/>
            <w:noWrap/>
            <w:vAlign w:val="bottom"/>
            <w:hideMark/>
          </w:tcPr>
          <w:p w:rsidR="002B1619" w:rsidRPr="00F17DAC" w:rsidRDefault="002B1619" w:rsidP="00BC6FD0">
            <w:pPr>
              <w:jc w:val="center"/>
              <w:rPr>
                <w:b/>
                <w:bCs/>
                <w:color w:val="000000"/>
                <w:sz w:val="22"/>
              </w:rPr>
            </w:pPr>
            <w:r w:rsidRPr="00F17DAC">
              <w:rPr>
                <w:b/>
                <w:bCs/>
                <w:color w:val="000000"/>
                <w:sz w:val="22"/>
              </w:rPr>
              <w:t xml:space="preserve">mind. bis 16 MBit/s </w:t>
            </w:r>
          </w:p>
        </w:tc>
        <w:tc>
          <w:tcPr>
            <w:tcW w:w="1785" w:type="dxa"/>
            <w:gridSpan w:val="2"/>
            <w:tcBorders>
              <w:top w:val="single" w:sz="4" w:space="0" w:color="auto"/>
              <w:left w:val="single" w:sz="12" w:space="0" w:color="auto"/>
              <w:bottom w:val="nil"/>
              <w:right w:val="single" w:sz="12" w:space="0" w:color="auto"/>
            </w:tcBorders>
            <w:shd w:val="clear" w:color="auto" w:fill="auto"/>
            <w:noWrap/>
            <w:vAlign w:val="bottom"/>
            <w:hideMark/>
          </w:tcPr>
          <w:p w:rsidR="002B1619" w:rsidRPr="00F17DAC" w:rsidRDefault="002B1619" w:rsidP="00BC6FD0">
            <w:pPr>
              <w:jc w:val="center"/>
              <w:rPr>
                <w:b/>
                <w:bCs/>
                <w:color w:val="000000"/>
                <w:sz w:val="22"/>
              </w:rPr>
            </w:pPr>
            <w:r w:rsidRPr="00F17DAC">
              <w:rPr>
                <w:b/>
                <w:bCs/>
                <w:color w:val="000000"/>
                <w:sz w:val="22"/>
              </w:rPr>
              <w:t>mind. bis 50 MBit/s</w:t>
            </w:r>
          </w:p>
        </w:tc>
        <w:tc>
          <w:tcPr>
            <w:tcW w:w="1687" w:type="dxa"/>
            <w:gridSpan w:val="2"/>
            <w:tcBorders>
              <w:top w:val="single" w:sz="4" w:space="0" w:color="auto"/>
              <w:left w:val="single" w:sz="12" w:space="0" w:color="auto"/>
              <w:bottom w:val="nil"/>
              <w:right w:val="single" w:sz="12" w:space="0" w:color="auto"/>
            </w:tcBorders>
            <w:shd w:val="clear" w:color="auto" w:fill="auto"/>
            <w:noWrap/>
            <w:vAlign w:val="bottom"/>
            <w:hideMark/>
          </w:tcPr>
          <w:p w:rsidR="002B1619" w:rsidRDefault="002B1619" w:rsidP="00BC6FD0">
            <w:pPr>
              <w:jc w:val="center"/>
              <w:rPr>
                <w:b/>
                <w:bCs/>
                <w:color w:val="000000"/>
                <w:sz w:val="22"/>
              </w:rPr>
            </w:pPr>
            <w:r w:rsidRPr="00F17DAC">
              <w:rPr>
                <w:b/>
                <w:bCs/>
                <w:color w:val="000000"/>
                <w:sz w:val="22"/>
              </w:rPr>
              <w:t>&gt; 50 MBit/s</w:t>
            </w:r>
          </w:p>
          <w:p w:rsidR="002B1619" w:rsidRPr="00F17DAC" w:rsidRDefault="002B1619" w:rsidP="00BC6FD0">
            <w:pPr>
              <w:jc w:val="center"/>
              <w:rPr>
                <w:b/>
                <w:bCs/>
                <w:color w:val="000000"/>
                <w:sz w:val="22"/>
              </w:rPr>
            </w:pPr>
          </w:p>
        </w:tc>
        <w:tc>
          <w:tcPr>
            <w:tcW w:w="1667" w:type="dxa"/>
            <w:gridSpan w:val="2"/>
            <w:tcBorders>
              <w:top w:val="single" w:sz="4" w:space="0" w:color="auto"/>
              <w:left w:val="single" w:sz="12" w:space="0" w:color="auto"/>
              <w:bottom w:val="nil"/>
              <w:right w:val="single" w:sz="4" w:space="0" w:color="auto"/>
            </w:tcBorders>
            <w:shd w:val="clear" w:color="auto" w:fill="auto"/>
            <w:noWrap/>
            <w:vAlign w:val="bottom"/>
            <w:hideMark/>
          </w:tcPr>
          <w:p w:rsidR="002B1619" w:rsidRDefault="002B1619" w:rsidP="00BC6FD0">
            <w:pPr>
              <w:jc w:val="center"/>
              <w:rPr>
                <w:b/>
                <w:bCs/>
                <w:color w:val="000000"/>
                <w:sz w:val="22"/>
              </w:rPr>
            </w:pPr>
            <w:r w:rsidRPr="00F17DAC">
              <w:rPr>
                <w:b/>
                <w:bCs/>
                <w:color w:val="000000"/>
                <w:sz w:val="22"/>
              </w:rPr>
              <w:t>&gt; 100 MBit/s</w:t>
            </w:r>
          </w:p>
          <w:p w:rsidR="002B1619" w:rsidRPr="00F17DAC" w:rsidRDefault="002B1619" w:rsidP="00BC6FD0">
            <w:pPr>
              <w:jc w:val="center"/>
              <w:rPr>
                <w:b/>
                <w:bCs/>
                <w:color w:val="000000"/>
                <w:sz w:val="22"/>
              </w:rPr>
            </w:pPr>
          </w:p>
        </w:tc>
      </w:tr>
      <w:tr w:rsidR="002B1619" w:rsidRPr="00F17DAC" w:rsidTr="002B1619">
        <w:trPr>
          <w:trHeight w:val="315"/>
        </w:trPr>
        <w:tc>
          <w:tcPr>
            <w:tcW w:w="1388" w:type="dxa"/>
            <w:vMerge/>
            <w:tcBorders>
              <w:top w:val="nil"/>
              <w:left w:val="single" w:sz="4" w:space="0" w:color="auto"/>
              <w:bottom w:val="single" w:sz="12" w:space="0" w:color="auto"/>
              <w:right w:val="single" w:sz="12" w:space="0" w:color="auto"/>
            </w:tcBorders>
            <w:vAlign w:val="center"/>
            <w:hideMark/>
          </w:tcPr>
          <w:p w:rsidR="002B1619" w:rsidRPr="00F17DAC" w:rsidRDefault="002B1619" w:rsidP="00BC6FD0">
            <w:pPr>
              <w:rPr>
                <w:b/>
                <w:bCs/>
                <w:color w:val="000000"/>
                <w:sz w:val="22"/>
              </w:rPr>
            </w:pPr>
          </w:p>
        </w:tc>
        <w:tc>
          <w:tcPr>
            <w:tcW w:w="902" w:type="dxa"/>
            <w:tcBorders>
              <w:top w:val="nil"/>
              <w:left w:val="single" w:sz="12" w:space="0" w:color="auto"/>
              <w:bottom w:val="single" w:sz="12" w:space="0" w:color="auto"/>
              <w:right w:val="single" w:sz="4" w:space="0" w:color="auto"/>
            </w:tcBorders>
            <w:shd w:val="clear" w:color="auto" w:fill="auto"/>
            <w:noWrap/>
            <w:vAlign w:val="bottom"/>
            <w:hideMark/>
          </w:tcPr>
          <w:p w:rsidR="002B1619" w:rsidRPr="00F17DAC" w:rsidRDefault="002B1619" w:rsidP="00BC6FD0">
            <w:pPr>
              <w:rPr>
                <w:b/>
                <w:bCs/>
                <w:color w:val="000000"/>
                <w:sz w:val="22"/>
              </w:rPr>
            </w:pPr>
            <w:r w:rsidRPr="00F17DAC">
              <w:rPr>
                <w:b/>
                <w:bCs/>
                <w:color w:val="000000"/>
                <w:sz w:val="22"/>
              </w:rPr>
              <w:t>Anzahl</w:t>
            </w:r>
          </w:p>
        </w:tc>
        <w:tc>
          <w:tcPr>
            <w:tcW w:w="808" w:type="dxa"/>
            <w:tcBorders>
              <w:top w:val="nil"/>
              <w:left w:val="nil"/>
              <w:bottom w:val="single" w:sz="12" w:space="0" w:color="auto"/>
              <w:right w:val="single" w:sz="12" w:space="0" w:color="auto"/>
            </w:tcBorders>
            <w:shd w:val="clear" w:color="auto" w:fill="auto"/>
            <w:noWrap/>
            <w:vAlign w:val="bottom"/>
            <w:hideMark/>
          </w:tcPr>
          <w:p w:rsidR="002B1619" w:rsidRPr="00F17DAC" w:rsidRDefault="002B1619" w:rsidP="00BC6FD0">
            <w:pPr>
              <w:rPr>
                <w:b/>
                <w:bCs/>
                <w:color w:val="000000"/>
                <w:sz w:val="22"/>
              </w:rPr>
            </w:pPr>
            <w:r w:rsidRPr="00F17DAC">
              <w:rPr>
                <w:b/>
                <w:bCs/>
                <w:color w:val="000000"/>
                <w:sz w:val="22"/>
              </w:rPr>
              <w:t>Anteil</w:t>
            </w:r>
          </w:p>
        </w:tc>
        <w:tc>
          <w:tcPr>
            <w:tcW w:w="941" w:type="dxa"/>
            <w:tcBorders>
              <w:top w:val="nil"/>
              <w:left w:val="single" w:sz="12" w:space="0" w:color="auto"/>
              <w:bottom w:val="single" w:sz="12" w:space="0" w:color="auto"/>
              <w:right w:val="single" w:sz="4" w:space="0" w:color="auto"/>
            </w:tcBorders>
            <w:shd w:val="clear" w:color="auto" w:fill="auto"/>
            <w:noWrap/>
            <w:vAlign w:val="bottom"/>
            <w:hideMark/>
          </w:tcPr>
          <w:p w:rsidR="002B1619" w:rsidRPr="00F17DAC" w:rsidRDefault="002B1619" w:rsidP="00BC6FD0">
            <w:pPr>
              <w:rPr>
                <w:b/>
                <w:bCs/>
                <w:color w:val="000000"/>
                <w:sz w:val="22"/>
              </w:rPr>
            </w:pPr>
            <w:r w:rsidRPr="00F17DAC">
              <w:rPr>
                <w:b/>
                <w:bCs/>
                <w:color w:val="000000"/>
                <w:sz w:val="22"/>
              </w:rPr>
              <w:t>Anzahl</w:t>
            </w:r>
          </w:p>
        </w:tc>
        <w:tc>
          <w:tcPr>
            <w:tcW w:w="844" w:type="dxa"/>
            <w:tcBorders>
              <w:top w:val="nil"/>
              <w:left w:val="nil"/>
              <w:bottom w:val="single" w:sz="12" w:space="0" w:color="auto"/>
              <w:right w:val="single" w:sz="12" w:space="0" w:color="auto"/>
            </w:tcBorders>
            <w:shd w:val="clear" w:color="auto" w:fill="auto"/>
            <w:noWrap/>
            <w:vAlign w:val="bottom"/>
            <w:hideMark/>
          </w:tcPr>
          <w:p w:rsidR="002B1619" w:rsidRPr="00F17DAC" w:rsidRDefault="002B1619" w:rsidP="00BC6FD0">
            <w:pPr>
              <w:rPr>
                <w:b/>
                <w:bCs/>
                <w:color w:val="000000"/>
                <w:sz w:val="22"/>
              </w:rPr>
            </w:pPr>
            <w:r w:rsidRPr="00F17DAC">
              <w:rPr>
                <w:b/>
                <w:bCs/>
                <w:color w:val="000000"/>
                <w:sz w:val="22"/>
              </w:rPr>
              <w:t>Anteil</w:t>
            </w:r>
          </w:p>
        </w:tc>
        <w:tc>
          <w:tcPr>
            <w:tcW w:w="862" w:type="dxa"/>
            <w:tcBorders>
              <w:top w:val="nil"/>
              <w:left w:val="single" w:sz="12" w:space="0" w:color="auto"/>
              <w:bottom w:val="single" w:sz="12" w:space="0" w:color="auto"/>
              <w:right w:val="single" w:sz="4" w:space="0" w:color="auto"/>
            </w:tcBorders>
            <w:shd w:val="clear" w:color="auto" w:fill="auto"/>
            <w:noWrap/>
            <w:vAlign w:val="bottom"/>
            <w:hideMark/>
          </w:tcPr>
          <w:p w:rsidR="002B1619" w:rsidRPr="00F17DAC" w:rsidRDefault="002B1619" w:rsidP="00BC6FD0">
            <w:pPr>
              <w:rPr>
                <w:b/>
                <w:bCs/>
                <w:color w:val="000000"/>
                <w:sz w:val="22"/>
              </w:rPr>
            </w:pPr>
            <w:r w:rsidRPr="00F17DAC">
              <w:rPr>
                <w:b/>
                <w:bCs/>
                <w:color w:val="000000"/>
                <w:sz w:val="22"/>
              </w:rPr>
              <w:t>Anzahl</w:t>
            </w:r>
          </w:p>
        </w:tc>
        <w:tc>
          <w:tcPr>
            <w:tcW w:w="825" w:type="dxa"/>
            <w:tcBorders>
              <w:top w:val="nil"/>
              <w:left w:val="nil"/>
              <w:bottom w:val="single" w:sz="12" w:space="0" w:color="auto"/>
              <w:right w:val="single" w:sz="12" w:space="0" w:color="auto"/>
            </w:tcBorders>
            <w:shd w:val="clear" w:color="auto" w:fill="auto"/>
            <w:noWrap/>
            <w:vAlign w:val="bottom"/>
            <w:hideMark/>
          </w:tcPr>
          <w:p w:rsidR="002B1619" w:rsidRPr="00F17DAC" w:rsidRDefault="002B1619" w:rsidP="00BC6FD0">
            <w:pPr>
              <w:rPr>
                <w:b/>
                <w:bCs/>
                <w:color w:val="000000"/>
                <w:sz w:val="22"/>
              </w:rPr>
            </w:pPr>
            <w:r w:rsidRPr="00F17DAC">
              <w:rPr>
                <w:b/>
                <w:bCs/>
                <w:color w:val="000000"/>
                <w:sz w:val="22"/>
              </w:rPr>
              <w:t>Anteil</w:t>
            </w:r>
          </w:p>
        </w:tc>
        <w:tc>
          <w:tcPr>
            <w:tcW w:w="862" w:type="dxa"/>
            <w:tcBorders>
              <w:top w:val="nil"/>
              <w:left w:val="single" w:sz="12" w:space="0" w:color="auto"/>
              <w:bottom w:val="single" w:sz="12" w:space="0" w:color="auto"/>
              <w:right w:val="single" w:sz="4" w:space="0" w:color="auto"/>
            </w:tcBorders>
            <w:shd w:val="clear" w:color="auto" w:fill="auto"/>
            <w:noWrap/>
            <w:vAlign w:val="bottom"/>
            <w:hideMark/>
          </w:tcPr>
          <w:p w:rsidR="002B1619" w:rsidRPr="00F17DAC" w:rsidRDefault="002B1619" w:rsidP="00BC6FD0">
            <w:pPr>
              <w:rPr>
                <w:b/>
                <w:bCs/>
                <w:color w:val="000000"/>
                <w:sz w:val="22"/>
              </w:rPr>
            </w:pPr>
            <w:r w:rsidRPr="00F17DAC">
              <w:rPr>
                <w:b/>
                <w:bCs/>
                <w:color w:val="000000"/>
                <w:sz w:val="22"/>
              </w:rPr>
              <w:t>Anzahl</w:t>
            </w:r>
          </w:p>
        </w:tc>
        <w:tc>
          <w:tcPr>
            <w:tcW w:w="805" w:type="dxa"/>
            <w:tcBorders>
              <w:top w:val="nil"/>
              <w:left w:val="nil"/>
              <w:bottom w:val="single" w:sz="12" w:space="0" w:color="auto"/>
              <w:right w:val="single" w:sz="4" w:space="0" w:color="auto"/>
            </w:tcBorders>
            <w:shd w:val="clear" w:color="auto" w:fill="auto"/>
            <w:noWrap/>
            <w:vAlign w:val="bottom"/>
            <w:hideMark/>
          </w:tcPr>
          <w:p w:rsidR="002B1619" w:rsidRPr="00F17DAC" w:rsidRDefault="002B1619" w:rsidP="00BC6FD0">
            <w:pPr>
              <w:rPr>
                <w:b/>
                <w:bCs/>
                <w:color w:val="000000"/>
                <w:sz w:val="22"/>
              </w:rPr>
            </w:pPr>
            <w:r w:rsidRPr="00F17DAC">
              <w:rPr>
                <w:b/>
                <w:bCs/>
                <w:color w:val="000000"/>
                <w:sz w:val="22"/>
              </w:rPr>
              <w:t>Anteil</w:t>
            </w:r>
          </w:p>
        </w:tc>
      </w:tr>
      <w:tr w:rsidR="002B1619" w:rsidRPr="00F17DAC" w:rsidTr="002B1619">
        <w:trPr>
          <w:trHeight w:val="300"/>
        </w:trPr>
        <w:tc>
          <w:tcPr>
            <w:tcW w:w="1388"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2B1619" w:rsidRPr="00F17DAC" w:rsidRDefault="002B1619" w:rsidP="00BC6FD0">
            <w:pPr>
              <w:rPr>
                <w:color w:val="000000"/>
                <w:sz w:val="22"/>
              </w:rPr>
            </w:pPr>
            <w:r w:rsidRPr="00F17DAC">
              <w:rPr>
                <w:color w:val="000000"/>
                <w:sz w:val="22"/>
              </w:rPr>
              <w:t>Grundsch</w:t>
            </w:r>
            <w:r>
              <w:rPr>
                <w:color w:val="000000"/>
                <w:sz w:val="22"/>
              </w:rPr>
              <w:t>ule</w:t>
            </w:r>
          </w:p>
        </w:tc>
        <w:tc>
          <w:tcPr>
            <w:tcW w:w="90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1611</w:t>
            </w:r>
          </w:p>
        </w:tc>
        <w:tc>
          <w:tcPr>
            <w:tcW w:w="808" w:type="dxa"/>
            <w:tcBorders>
              <w:top w:val="single" w:sz="12"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26,6%</w:t>
            </w:r>
          </w:p>
        </w:tc>
        <w:tc>
          <w:tcPr>
            <w:tcW w:w="94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428</w:t>
            </w:r>
          </w:p>
        </w:tc>
        <w:tc>
          <w:tcPr>
            <w:tcW w:w="844" w:type="dxa"/>
            <w:tcBorders>
              <w:top w:val="single" w:sz="12"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7,1%</w:t>
            </w:r>
          </w:p>
        </w:tc>
        <w:tc>
          <w:tcPr>
            <w:tcW w:w="86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135</w:t>
            </w:r>
          </w:p>
        </w:tc>
        <w:tc>
          <w:tcPr>
            <w:tcW w:w="825" w:type="dxa"/>
            <w:tcBorders>
              <w:top w:val="single" w:sz="12"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5,8%</w:t>
            </w:r>
          </w:p>
        </w:tc>
        <w:tc>
          <w:tcPr>
            <w:tcW w:w="86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35</w:t>
            </w:r>
          </w:p>
        </w:tc>
        <w:tc>
          <w:tcPr>
            <w:tcW w:w="805" w:type="dxa"/>
            <w:tcBorders>
              <w:top w:val="single" w:sz="12" w:space="0" w:color="auto"/>
              <w:left w:val="nil"/>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1,5%</w:t>
            </w:r>
          </w:p>
        </w:tc>
      </w:tr>
      <w:tr w:rsidR="002B1619" w:rsidRPr="00F17DAC" w:rsidTr="002B1619">
        <w:trPr>
          <w:trHeight w:val="300"/>
        </w:trPr>
        <w:tc>
          <w:tcPr>
            <w:tcW w:w="1388"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2B1619" w:rsidRPr="00F17DAC" w:rsidRDefault="002B1619" w:rsidP="00BC6FD0">
            <w:pPr>
              <w:rPr>
                <w:color w:val="000000"/>
                <w:sz w:val="22"/>
              </w:rPr>
            </w:pPr>
            <w:r w:rsidRPr="00F17DAC">
              <w:rPr>
                <w:color w:val="000000"/>
                <w:sz w:val="22"/>
              </w:rPr>
              <w:t>Mittelsch</w:t>
            </w:r>
            <w:r>
              <w:rPr>
                <w:color w:val="000000"/>
                <w:sz w:val="22"/>
              </w:rPr>
              <w:t>ule</w:t>
            </w:r>
          </w:p>
        </w:tc>
        <w:tc>
          <w:tcPr>
            <w:tcW w:w="90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783</w:t>
            </w:r>
          </w:p>
        </w:tc>
        <w:tc>
          <w:tcPr>
            <w:tcW w:w="808"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12,9%</w:t>
            </w:r>
          </w:p>
        </w:tc>
        <w:tc>
          <w:tcPr>
            <w:tcW w:w="9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219</w:t>
            </w:r>
          </w:p>
        </w:tc>
        <w:tc>
          <w:tcPr>
            <w:tcW w:w="844"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3,6%</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80</w:t>
            </w:r>
          </w:p>
        </w:tc>
        <w:tc>
          <w:tcPr>
            <w:tcW w:w="825"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8,1%</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23</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2,3%</w:t>
            </w:r>
          </w:p>
        </w:tc>
      </w:tr>
      <w:tr w:rsidR="002B1619" w:rsidRPr="00F17DAC" w:rsidTr="002B1619">
        <w:trPr>
          <w:trHeight w:val="300"/>
        </w:trPr>
        <w:tc>
          <w:tcPr>
            <w:tcW w:w="1388"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2B1619" w:rsidRPr="00F17DAC" w:rsidRDefault="002B1619" w:rsidP="00BC6FD0">
            <w:pPr>
              <w:rPr>
                <w:color w:val="000000"/>
                <w:sz w:val="22"/>
              </w:rPr>
            </w:pPr>
            <w:r>
              <w:rPr>
                <w:color w:val="000000"/>
                <w:sz w:val="22"/>
              </w:rPr>
              <w:t>Realschule</w:t>
            </w:r>
          </w:p>
        </w:tc>
        <w:tc>
          <w:tcPr>
            <w:tcW w:w="90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340</w:t>
            </w:r>
          </w:p>
        </w:tc>
        <w:tc>
          <w:tcPr>
            <w:tcW w:w="808"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5,6%</w:t>
            </w:r>
          </w:p>
        </w:tc>
        <w:tc>
          <w:tcPr>
            <w:tcW w:w="9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153</w:t>
            </w:r>
          </w:p>
        </w:tc>
        <w:tc>
          <w:tcPr>
            <w:tcW w:w="844"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2,5%</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74</w:t>
            </w:r>
          </w:p>
        </w:tc>
        <w:tc>
          <w:tcPr>
            <w:tcW w:w="825"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19,8%</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24</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6,4%</w:t>
            </w:r>
          </w:p>
        </w:tc>
      </w:tr>
      <w:tr w:rsidR="002B1619" w:rsidRPr="00F17DAC" w:rsidTr="002B1619">
        <w:trPr>
          <w:trHeight w:val="300"/>
        </w:trPr>
        <w:tc>
          <w:tcPr>
            <w:tcW w:w="1388"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2B1619" w:rsidRPr="00F17DAC" w:rsidRDefault="002B1619" w:rsidP="00BC6FD0">
            <w:pPr>
              <w:rPr>
                <w:color w:val="000000"/>
                <w:sz w:val="22"/>
              </w:rPr>
            </w:pPr>
            <w:r>
              <w:rPr>
                <w:color w:val="000000"/>
                <w:sz w:val="22"/>
              </w:rPr>
              <w:t>Gymnasium</w:t>
            </w:r>
          </w:p>
        </w:tc>
        <w:tc>
          <w:tcPr>
            <w:tcW w:w="90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400</w:t>
            </w:r>
          </w:p>
        </w:tc>
        <w:tc>
          <w:tcPr>
            <w:tcW w:w="808"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6,6%</w:t>
            </w:r>
          </w:p>
        </w:tc>
        <w:tc>
          <w:tcPr>
            <w:tcW w:w="9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226</w:t>
            </w:r>
          </w:p>
        </w:tc>
        <w:tc>
          <w:tcPr>
            <w:tcW w:w="844"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3,7%</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127</w:t>
            </w:r>
          </w:p>
        </w:tc>
        <w:tc>
          <w:tcPr>
            <w:tcW w:w="825"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29,6%</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46</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10,7%</w:t>
            </w:r>
          </w:p>
        </w:tc>
      </w:tr>
      <w:tr w:rsidR="002B1619" w:rsidRPr="00F17DAC" w:rsidTr="002B1619">
        <w:trPr>
          <w:trHeight w:val="300"/>
        </w:trPr>
        <w:tc>
          <w:tcPr>
            <w:tcW w:w="1388"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2B1619" w:rsidRPr="00F17DAC" w:rsidRDefault="002B1619" w:rsidP="00BC6FD0">
            <w:pPr>
              <w:rPr>
                <w:color w:val="000000"/>
                <w:sz w:val="22"/>
              </w:rPr>
            </w:pPr>
            <w:r w:rsidRPr="00F17DAC">
              <w:rPr>
                <w:color w:val="000000"/>
                <w:sz w:val="22"/>
              </w:rPr>
              <w:t>Fördersch</w:t>
            </w:r>
            <w:r>
              <w:rPr>
                <w:color w:val="000000"/>
                <w:sz w:val="22"/>
              </w:rPr>
              <w:t>.</w:t>
            </w:r>
          </w:p>
        </w:tc>
        <w:tc>
          <w:tcPr>
            <w:tcW w:w="90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272</w:t>
            </w:r>
          </w:p>
        </w:tc>
        <w:tc>
          <w:tcPr>
            <w:tcW w:w="808"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4,5%</w:t>
            </w:r>
          </w:p>
        </w:tc>
        <w:tc>
          <w:tcPr>
            <w:tcW w:w="9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66</w:t>
            </w:r>
          </w:p>
        </w:tc>
        <w:tc>
          <w:tcPr>
            <w:tcW w:w="844"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1,1%</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25</w:t>
            </w:r>
          </w:p>
        </w:tc>
        <w:tc>
          <w:tcPr>
            <w:tcW w:w="825"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6,2%</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5</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1,2%</w:t>
            </w:r>
          </w:p>
        </w:tc>
      </w:tr>
      <w:tr w:rsidR="002B1619" w:rsidRPr="00F17DAC" w:rsidTr="002B1619">
        <w:trPr>
          <w:trHeight w:val="300"/>
        </w:trPr>
        <w:tc>
          <w:tcPr>
            <w:tcW w:w="1388"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2B1619" w:rsidRPr="00F17DAC" w:rsidRDefault="002B1619" w:rsidP="00BC6FD0">
            <w:pPr>
              <w:rPr>
                <w:color w:val="000000"/>
                <w:sz w:val="22"/>
              </w:rPr>
            </w:pPr>
            <w:r w:rsidRPr="00F17DAC">
              <w:rPr>
                <w:color w:val="000000"/>
                <w:sz w:val="22"/>
              </w:rPr>
              <w:t>Berufl. Sch</w:t>
            </w:r>
            <w:r>
              <w:rPr>
                <w:color w:val="000000"/>
                <w:sz w:val="22"/>
              </w:rPr>
              <w:t>.</w:t>
            </w:r>
          </w:p>
        </w:tc>
        <w:tc>
          <w:tcPr>
            <w:tcW w:w="90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1220</w:t>
            </w:r>
          </w:p>
        </w:tc>
        <w:tc>
          <w:tcPr>
            <w:tcW w:w="808"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20,2%</w:t>
            </w:r>
          </w:p>
        </w:tc>
        <w:tc>
          <w:tcPr>
            <w:tcW w:w="9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630</w:t>
            </w:r>
          </w:p>
        </w:tc>
        <w:tc>
          <w:tcPr>
            <w:tcW w:w="844"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10,4%</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315</w:t>
            </w:r>
          </w:p>
        </w:tc>
        <w:tc>
          <w:tcPr>
            <w:tcW w:w="825" w:type="dxa"/>
            <w:tcBorders>
              <w:top w:val="single" w:sz="4"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21,1%</w:t>
            </w:r>
          </w:p>
        </w:tc>
        <w:tc>
          <w:tcPr>
            <w:tcW w:w="86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86</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5,7%</w:t>
            </w:r>
          </w:p>
        </w:tc>
      </w:tr>
      <w:tr w:rsidR="002B1619" w:rsidRPr="00F17DAC" w:rsidTr="002B1619">
        <w:trPr>
          <w:trHeight w:val="315"/>
        </w:trPr>
        <w:tc>
          <w:tcPr>
            <w:tcW w:w="1388"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rsidR="002B1619" w:rsidRPr="00F17DAC" w:rsidRDefault="002B1619" w:rsidP="00BC6FD0">
            <w:pPr>
              <w:rPr>
                <w:color w:val="000000"/>
                <w:sz w:val="22"/>
              </w:rPr>
            </w:pPr>
            <w:r w:rsidRPr="00F17DAC">
              <w:rPr>
                <w:color w:val="000000"/>
                <w:sz w:val="22"/>
              </w:rPr>
              <w:t>Sonst. Sch</w:t>
            </w:r>
            <w:r>
              <w:rPr>
                <w:color w:val="000000"/>
                <w:sz w:val="22"/>
              </w:rPr>
              <w:t>.</w:t>
            </w:r>
          </w:p>
        </w:tc>
        <w:tc>
          <w:tcPr>
            <w:tcW w:w="90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30</w:t>
            </w:r>
          </w:p>
        </w:tc>
        <w:tc>
          <w:tcPr>
            <w:tcW w:w="808" w:type="dxa"/>
            <w:tcBorders>
              <w:top w:val="single" w:sz="4" w:space="0" w:color="auto"/>
              <w:left w:val="nil"/>
              <w:bottom w:val="single" w:sz="12"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0,5%</w:t>
            </w:r>
          </w:p>
        </w:tc>
        <w:tc>
          <w:tcPr>
            <w:tcW w:w="94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13</w:t>
            </w:r>
          </w:p>
        </w:tc>
        <w:tc>
          <w:tcPr>
            <w:tcW w:w="844" w:type="dxa"/>
            <w:tcBorders>
              <w:top w:val="single" w:sz="4" w:space="0" w:color="auto"/>
              <w:left w:val="nil"/>
              <w:bottom w:val="single" w:sz="12"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0,2%</w:t>
            </w:r>
          </w:p>
        </w:tc>
        <w:tc>
          <w:tcPr>
            <w:tcW w:w="86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5</w:t>
            </w:r>
          </w:p>
        </w:tc>
        <w:tc>
          <w:tcPr>
            <w:tcW w:w="825" w:type="dxa"/>
            <w:tcBorders>
              <w:top w:val="single" w:sz="4" w:space="0" w:color="auto"/>
              <w:left w:val="nil"/>
              <w:bottom w:val="single" w:sz="12" w:space="0" w:color="auto"/>
              <w:right w:val="single" w:sz="12"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12,5%</w:t>
            </w:r>
          </w:p>
        </w:tc>
        <w:tc>
          <w:tcPr>
            <w:tcW w:w="86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2</w:t>
            </w:r>
          </w:p>
        </w:tc>
        <w:tc>
          <w:tcPr>
            <w:tcW w:w="805" w:type="dxa"/>
            <w:tcBorders>
              <w:top w:val="single" w:sz="4" w:space="0" w:color="auto"/>
              <w:left w:val="nil"/>
              <w:bottom w:val="single" w:sz="12" w:space="0" w:color="auto"/>
              <w:right w:val="single" w:sz="4" w:space="0" w:color="auto"/>
            </w:tcBorders>
            <w:shd w:val="clear" w:color="auto" w:fill="auto"/>
            <w:noWrap/>
            <w:vAlign w:val="bottom"/>
            <w:hideMark/>
          </w:tcPr>
          <w:p w:rsidR="002B1619" w:rsidRPr="00F17DAC" w:rsidRDefault="002B1619" w:rsidP="00BC6FD0">
            <w:pPr>
              <w:jc w:val="right"/>
              <w:rPr>
                <w:color w:val="000000"/>
                <w:sz w:val="22"/>
              </w:rPr>
            </w:pPr>
            <w:r w:rsidRPr="00F17DAC">
              <w:rPr>
                <w:color w:val="000000"/>
                <w:sz w:val="22"/>
              </w:rPr>
              <w:t>5,0%</w:t>
            </w:r>
          </w:p>
        </w:tc>
      </w:tr>
      <w:tr w:rsidR="002B1619" w:rsidRPr="00F17DAC" w:rsidTr="002B1619">
        <w:trPr>
          <w:trHeight w:val="300"/>
        </w:trPr>
        <w:tc>
          <w:tcPr>
            <w:tcW w:w="1388"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2B1619" w:rsidRDefault="002B1619" w:rsidP="00BC6FD0">
            <w:pPr>
              <w:rPr>
                <w:b/>
                <w:bCs/>
                <w:color w:val="000000"/>
                <w:sz w:val="22"/>
              </w:rPr>
            </w:pPr>
            <w:r w:rsidRPr="00F17DAC">
              <w:rPr>
                <w:b/>
                <w:bCs/>
                <w:color w:val="000000"/>
                <w:sz w:val="22"/>
              </w:rPr>
              <w:t xml:space="preserve">alle </w:t>
            </w:r>
          </w:p>
          <w:p w:rsidR="002B1619" w:rsidRPr="00F17DAC" w:rsidRDefault="002B1619" w:rsidP="00BC6FD0">
            <w:pPr>
              <w:rPr>
                <w:b/>
                <w:bCs/>
                <w:color w:val="000000"/>
                <w:sz w:val="22"/>
              </w:rPr>
            </w:pPr>
            <w:r w:rsidRPr="00F17DAC">
              <w:rPr>
                <w:b/>
                <w:bCs/>
                <w:color w:val="000000"/>
                <w:sz w:val="22"/>
              </w:rPr>
              <w:t>Schularten</w:t>
            </w:r>
          </w:p>
        </w:tc>
        <w:tc>
          <w:tcPr>
            <w:tcW w:w="90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b/>
                <w:bCs/>
                <w:color w:val="000000"/>
                <w:sz w:val="22"/>
              </w:rPr>
            </w:pPr>
            <w:r w:rsidRPr="00F17DAC">
              <w:rPr>
                <w:b/>
                <w:bCs/>
                <w:color w:val="000000"/>
                <w:sz w:val="22"/>
              </w:rPr>
              <w:t>4656</w:t>
            </w:r>
          </w:p>
        </w:tc>
        <w:tc>
          <w:tcPr>
            <w:tcW w:w="808" w:type="dxa"/>
            <w:tcBorders>
              <w:top w:val="single" w:sz="12"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b/>
                <w:bCs/>
                <w:color w:val="000000"/>
                <w:sz w:val="22"/>
              </w:rPr>
            </w:pPr>
            <w:r w:rsidRPr="00F17DAC">
              <w:rPr>
                <w:b/>
                <w:bCs/>
                <w:color w:val="000000"/>
                <w:sz w:val="22"/>
              </w:rPr>
              <w:t>77,0%</w:t>
            </w:r>
          </w:p>
        </w:tc>
        <w:tc>
          <w:tcPr>
            <w:tcW w:w="94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b/>
                <w:bCs/>
                <w:color w:val="000000"/>
                <w:sz w:val="22"/>
              </w:rPr>
            </w:pPr>
            <w:r w:rsidRPr="00F17DAC">
              <w:rPr>
                <w:b/>
                <w:bCs/>
                <w:color w:val="000000"/>
                <w:sz w:val="22"/>
              </w:rPr>
              <w:t>1735</w:t>
            </w:r>
          </w:p>
        </w:tc>
        <w:tc>
          <w:tcPr>
            <w:tcW w:w="844" w:type="dxa"/>
            <w:tcBorders>
              <w:top w:val="single" w:sz="12"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b/>
                <w:bCs/>
                <w:color w:val="000000"/>
                <w:sz w:val="22"/>
              </w:rPr>
            </w:pPr>
            <w:r w:rsidRPr="00F17DAC">
              <w:rPr>
                <w:b/>
                <w:bCs/>
                <w:color w:val="000000"/>
                <w:sz w:val="22"/>
              </w:rPr>
              <w:t>28,7%</w:t>
            </w:r>
          </w:p>
        </w:tc>
        <w:tc>
          <w:tcPr>
            <w:tcW w:w="86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b/>
                <w:bCs/>
                <w:color w:val="000000"/>
                <w:sz w:val="22"/>
              </w:rPr>
            </w:pPr>
            <w:r w:rsidRPr="00F17DAC">
              <w:rPr>
                <w:b/>
                <w:bCs/>
                <w:color w:val="000000"/>
                <w:sz w:val="22"/>
              </w:rPr>
              <w:t>761</w:t>
            </w:r>
          </w:p>
        </w:tc>
        <w:tc>
          <w:tcPr>
            <w:tcW w:w="825" w:type="dxa"/>
            <w:tcBorders>
              <w:top w:val="single" w:sz="12" w:space="0" w:color="auto"/>
              <w:left w:val="nil"/>
              <w:bottom w:val="single" w:sz="4" w:space="0" w:color="auto"/>
              <w:right w:val="single" w:sz="12" w:space="0" w:color="auto"/>
            </w:tcBorders>
            <w:shd w:val="clear" w:color="auto" w:fill="auto"/>
            <w:noWrap/>
            <w:vAlign w:val="bottom"/>
            <w:hideMark/>
          </w:tcPr>
          <w:p w:rsidR="002B1619" w:rsidRPr="00F17DAC" w:rsidRDefault="002B1619" w:rsidP="00BC6FD0">
            <w:pPr>
              <w:jc w:val="right"/>
              <w:rPr>
                <w:b/>
                <w:bCs/>
                <w:color w:val="000000"/>
                <w:sz w:val="22"/>
              </w:rPr>
            </w:pPr>
            <w:r w:rsidRPr="00F17DAC">
              <w:rPr>
                <w:b/>
                <w:bCs/>
                <w:color w:val="000000"/>
                <w:sz w:val="22"/>
              </w:rPr>
              <w:t>12,6%</w:t>
            </w:r>
          </w:p>
        </w:tc>
        <w:tc>
          <w:tcPr>
            <w:tcW w:w="86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1619" w:rsidRPr="00F17DAC" w:rsidRDefault="002B1619" w:rsidP="00BC6FD0">
            <w:pPr>
              <w:jc w:val="right"/>
              <w:rPr>
                <w:b/>
                <w:bCs/>
                <w:color w:val="000000"/>
                <w:sz w:val="22"/>
              </w:rPr>
            </w:pPr>
            <w:r w:rsidRPr="00F17DAC">
              <w:rPr>
                <w:b/>
                <w:bCs/>
                <w:color w:val="000000"/>
                <w:sz w:val="22"/>
              </w:rPr>
              <w:t>221</w:t>
            </w:r>
          </w:p>
        </w:tc>
        <w:tc>
          <w:tcPr>
            <w:tcW w:w="805" w:type="dxa"/>
            <w:tcBorders>
              <w:top w:val="single" w:sz="12" w:space="0" w:color="auto"/>
              <w:left w:val="nil"/>
              <w:bottom w:val="single" w:sz="4" w:space="0" w:color="auto"/>
              <w:right w:val="single" w:sz="4" w:space="0" w:color="auto"/>
            </w:tcBorders>
            <w:shd w:val="clear" w:color="auto" w:fill="auto"/>
            <w:noWrap/>
            <w:vAlign w:val="bottom"/>
            <w:hideMark/>
          </w:tcPr>
          <w:p w:rsidR="002B1619" w:rsidRPr="00F17DAC" w:rsidRDefault="002B1619" w:rsidP="00BC6FD0">
            <w:pPr>
              <w:jc w:val="right"/>
              <w:rPr>
                <w:b/>
                <w:bCs/>
                <w:color w:val="000000"/>
                <w:sz w:val="22"/>
              </w:rPr>
            </w:pPr>
            <w:r w:rsidRPr="00F17DAC">
              <w:rPr>
                <w:b/>
                <w:bCs/>
                <w:color w:val="000000"/>
                <w:sz w:val="22"/>
              </w:rPr>
              <w:t>3,7%</w:t>
            </w:r>
          </w:p>
        </w:tc>
      </w:tr>
    </w:tbl>
    <w:p w:rsidR="00B719B6" w:rsidRPr="00B719B6" w:rsidRDefault="00B719B6" w:rsidP="00B719B6">
      <w:pPr>
        <w:pStyle w:val="LTAntwortRessortText"/>
      </w:pPr>
      <w:r w:rsidRPr="00B719B6">
        <w:t>Die in der Tabelle angegeben Daten sind der jährlichen IT-Umfrage der Akademie für Lehrerfortbi</w:t>
      </w:r>
      <w:r w:rsidRPr="00B719B6">
        <w:t>l</w:t>
      </w:r>
      <w:r w:rsidRPr="00B719B6">
        <w:t xml:space="preserve">dung und Personalführung Dillingen (Stand: 08/2017) entnommen. </w:t>
      </w:r>
    </w:p>
    <w:p w:rsidR="00B95CCD" w:rsidRDefault="00B95CCD" w:rsidP="00B95CCD">
      <w:pPr>
        <w:pStyle w:val="LTAntwortRessortText"/>
      </w:pPr>
      <w:r>
        <w:t xml:space="preserve">Von allen Modell- und Netzwerkschulen des Modellversuchs </w:t>
      </w:r>
      <w:r w:rsidR="00105D40">
        <w:t>„</w:t>
      </w:r>
      <w:r>
        <w:t>Digitale Schule 2020</w:t>
      </w:r>
      <w:r w:rsidR="00105D40">
        <w:t>“</w:t>
      </w:r>
      <w:r>
        <w:t xml:space="preserve"> nutzen 18</w:t>
      </w:r>
      <w:r w:rsidR="002B1619">
        <w:t> </w:t>
      </w:r>
      <w:r>
        <w:t xml:space="preserve">Schulen eine Internetanbindung von bis zu 16 MBit/s oder mehr. Davon nutzen 12 (9, 5 bzw. 2) Schulen eine Bandbreite von bis zu 50 MBit/s (100 MBit/s, 200 MBit/s bzw. 400 MBit/s) oder mehr. </w:t>
      </w:r>
    </w:p>
    <w:p w:rsidR="00B95CCD" w:rsidRDefault="00B95CCD" w:rsidP="00B95CCD">
      <w:pPr>
        <w:pStyle w:val="LTAntwortRessortText"/>
      </w:pPr>
      <w:r>
        <w:t>Eine Aufschlüsselung der gewünschten Bandbreite</w:t>
      </w:r>
      <w:r w:rsidR="002B1619">
        <w:t xml:space="preserve"> nach Schularten und Regierungs</w:t>
      </w:r>
      <w:r>
        <w:t>bezirken kann in der für die Beantwortung einer</w:t>
      </w:r>
      <w:r w:rsidR="002B1619">
        <w:t xml:space="preserve"> Anfrage zum Plenum nach der Ge</w:t>
      </w:r>
      <w:r>
        <w:t>schäftsordnung des Landtags vorgesehenen Frist nicht erfolgen.</w:t>
      </w:r>
    </w:p>
    <w:p w:rsidR="00F4523A" w:rsidRDefault="00F4523A" w:rsidP="00B95CC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Verena</w:t>
            </w:r>
            <w:r w:rsidRPr="00B95CCD">
              <w:rPr>
                <w:b/>
              </w:rPr>
              <w:br/>
              <w:t>Osgyan</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24" w:name="_Toc508873859"/>
            <w:r>
              <w:instrText>Osgyan, Verena (BÜNDNIS 90/DIE GRÜNEN)</w:instrText>
            </w:r>
            <w:r>
              <w:br/>
              <w:instrText>Open Access in der bayerischen Wissenschaftslandschaft</w:instrText>
            </w:r>
            <w:bookmarkEnd w:id="24"/>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welche Open Access-Strategie sie derzeit im Wissenschaftsbereich verfolgt, mit welchen Programmen Bestrebungen zur Förderung des Open Access-Gedankens an bayerischen Hochschulen und Forschungseinrichtungen unterstützt werden und in welchen Zielvereinbaru</w:t>
            </w:r>
            <w:r>
              <w:t>n</w:t>
            </w:r>
            <w:r>
              <w:t>gen das Thema Open Access bisher Erwähnung findet?</w:t>
            </w:r>
          </w:p>
          <w:p w:rsidR="00B95CCD" w:rsidRDefault="00B95CCD" w:rsidP="00B95CCD">
            <w:pPr>
              <w:pStyle w:val="LTAnfrageText"/>
            </w:pPr>
          </w:p>
        </w:tc>
      </w:tr>
    </w:tbl>
    <w:p w:rsidR="00F4523A" w:rsidRDefault="00F4523A" w:rsidP="00B95CCD">
      <w:pPr>
        <w:pStyle w:val="LTUeberschrAntwortRessort"/>
      </w:pPr>
    </w:p>
    <w:p w:rsidR="00B95CCD" w:rsidRDefault="00B95CCD" w:rsidP="00B95CCD">
      <w:pPr>
        <w:pStyle w:val="LTUeberschrAntwortRessort"/>
      </w:pPr>
      <w:r>
        <w:lastRenderedPageBreak/>
        <w:t>Antwort des Staatsministeriums für Bildung und Kultus, Wissenschaft und Kunst</w:t>
      </w:r>
    </w:p>
    <w:p w:rsidR="00B95CCD" w:rsidRDefault="00B95CCD" w:rsidP="00B95CCD">
      <w:pPr>
        <w:pStyle w:val="LTAntwortRessortText"/>
      </w:pPr>
      <w:r>
        <w:t>Die Staatsregierung befürwortet die möglichst freie Zugänglichkeit wissenschaftlicher Werke im I</w:t>
      </w:r>
      <w:r>
        <w:t>n</w:t>
      </w:r>
      <w:r>
        <w:t xml:space="preserve">ternet. </w:t>
      </w:r>
    </w:p>
    <w:p w:rsidR="00B95CCD" w:rsidRDefault="00B95CCD" w:rsidP="00B95CCD">
      <w:pPr>
        <w:pStyle w:val="LTAntwortRessortText"/>
      </w:pPr>
      <w:r>
        <w:t>Das Thema Open Access erfordert einen komplex</w:t>
      </w:r>
      <w:r w:rsidR="002B1619">
        <w:t>en Interessenausgleich, weil so</w:t>
      </w:r>
      <w:r>
        <w:t>wohl die freie Entscheidung über das Ob und Wie wis</w:t>
      </w:r>
      <w:r w:rsidR="002B1619">
        <w:t>senschaftlicher Veröffentlichun</w:t>
      </w:r>
      <w:r>
        <w:t>gen als auch die wirtschaftl</w:t>
      </w:r>
      <w:r>
        <w:t>i</w:t>
      </w:r>
      <w:r>
        <w:t xml:space="preserve">chen Interessen der Verlage grundrechtlich geschützt sind (Art. 5 Abs. 3 Satz 1 </w:t>
      </w:r>
      <w:r w:rsidR="00CD1159">
        <w:t>Grundgesetz</w:t>
      </w:r>
      <w:r w:rsidR="002B1619">
        <w:t xml:space="preserve"> – </w:t>
      </w:r>
      <w:r>
        <w:t xml:space="preserve">GG </w:t>
      </w:r>
      <w:r w:rsidR="002B1619">
        <w:t xml:space="preserve">– </w:t>
      </w:r>
      <w:r>
        <w:t>einerseits, Art. 12 Abs. 1 GG andererseits). Hinzu kommt, dass das Wissenschaftssystem (ei</w:t>
      </w:r>
      <w:r>
        <w:t>n</w:t>
      </w:r>
      <w:r>
        <w:t>schließ</w:t>
      </w:r>
      <w:r w:rsidR="002B1619">
        <w:t>lich des Publikationswesens) ei</w:t>
      </w:r>
      <w:r>
        <w:t>genen Gesetzlichkeiten folgt, die staatlicherseits nu</w:t>
      </w:r>
      <w:r w:rsidR="002B1619">
        <w:t>r b</w:t>
      </w:r>
      <w:r w:rsidR="002B1619">
        <w:t>e</w:t>
      </w:r>
      <w:r w:rsidR="002B1619">
        <w:t>grenzt gesteuert werden dür</w:t>
      </w:r>
      <w:r>
        <w:t>fen und können. Deshalb vertraut die Staatsregierung beim Thema Open Access bewusst auf die Selbstorganisationskräfte der scientific community (Wissenschaftl</w:t>
      </w:r>
      <w:r>
        <w:t>e</w:t>
      </w:r>
      <w:r>
        <w:t>r</w:t>
      </w:r>
      <w:r w:rsidR="002B1619">
        <w:t>i</w:t>
      </w:r>
      <w:r>
        <w:t>nnen</w:t>
      </w:r>
      <w:r w:rsidR="002B1619">
        <w:t xml:space="preserve"> bzw. Wissenschaftler</w:t>
      </w:r>
      <w:r>
        <w:t>, Hochschulen, Forschungseinrichtungen, Bibliotheken und Wisse</w:t>
      </w:r>
      <w:r>
        <w:t>n</w:t>
      </w:r>
      <w:r>
        <w:t>schaftsverlage). Dies gewährleistet hinreichend differenzierte Lösungsansätze, die notwendig sind, weil Open Access die Publikationskulturen verschiedener Wissenschaftsdisziplinen in je unte</w:t>
      </w:r>
      <w:r>
        <w:t>r</w:t>
      </w:r>
      <w:r>
        <w:t xml:space="preserve">schiedlicher Weise betrifft. </w:t>
      </w:r>
    </w:p>
    <w:p w:rsidR="00B95CCD" w:rsidRDefault="00B95CCD" w:rsidP="00B95CCD">
      <w:pPr>
        <w:pStyle w:val="LTAntwortRessortText"/>
      </w:pPr>
      <w:r>
        <w:t>Die bayerischen Universitäten und ihre Bibliotheken haben sich dem Thema Open Access im Übr</w:t>
      </w:r>
      <w:r>
        <w:t>i</w:t>
      </w:r>
      <w:r>
        <w:t xml:space="preserve">gen bereits intensiv angenommen </w:t>
      </w:r>
      <w:r w:rsidR="002B1619">
        <w:t>und beraten ihre Mitglieder ent</w:t>
      </w:r>
      <w:r>
        <w:t>sprechend. Ausdrücklich</w:t>
      </w:r>
      <w:r w:rsidR="002B1619">
        <w:t xml:space="preserve"> zum </w:t>
      </w:r>
      <w:r w:rsidR="002B1619">
        <w:t>O</w:t>
      </w:r>
      <w:r w:rsidR="002B1619">
        <w:t xml:space="preserve">pen </w:t>
      </w:r>
      <w:r>
        <w:t xml:space="preserve">Access-Gedanken bekennt sich etwa auch die Akademie der Wissenschaften. </w:t>
      </w:r>
    </w:p>
    <w:p w:rsidR="00B95CCD" w:rsidRDefault="00B95CCD" w:rsidP="00B95CCD">
      <w:pPr>
        <w:pStyle w:val="LTAntwortRessortText"/>
      </w:pPr>
      <w:r>
        <w:t>In den Zielvereinbarungen mit den Universitäten u</w:t>
      </w:r>
      <w:r w:rsidR="002B1619">
        <w:t>nd mit den Hochschulen für ange</w:t>
      </w:r>
      <w:r>
        <w:t>wandte Wisse</w:t>
      </w:r>
      <w:r>
        <w:t>n</w:t>
      </w:r>
      <w:r>
        <w:t>schaften findet das Thema Open-Access im Sinne einer (Selbst-)V</w:t>
      </w:r>
      <w:r w:rsidR="002B1619">
        <w:t xml:space="preserve">erpflichtung, Open </w:t>
      </w:r>
      <w:r>
        <w:t>Access-Veröffentlichun</w:t>
      </w:r>
      <w:r w:rsidR="002B1619">
        <w:t>gen zu fördern, bisher keine Er</w:t>
      </w:r>
      <w:r>
        <w:t>wähnung. Aus den o.</w:t>
      </w:r>
      <w:r w:rsidR="002B1619">
        <w:t> </w:t>
      </w:r>
      <w:r>
        <w:t>g. Gründen und wegen der V</w:t>
      </w:r>
      <w:r w:rsidR="002B1619">
        <w:t>o</w:t>
      </w:r>
      <w:r w:rsidR="002B1619">
        <w:t>raussetzung, dass Zielvereinba</w:t>
      </w:r>
      <w:r>
        <w:t>rungen konkrete, mess- und kontrollierbare Ziele enthalten sollen, ist dies aus Sicht der Staatsregierung sinnvoll.</w:t>
      </w:r>
    </w:p>
    <w:p w:rsidR="00F4523A" w:rsidRDefault="00F4523A" w:rsidP="00B95CC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Kathi</w:t>
            </w:r>
            <w:r w:rsidRPr="00B95CCD">
              <w:rPr>
                <w:b/>
              </w:rPr>
              <w:br/>
              <w:t>Petersen</w:t>
            </w:r>
            <w:r w:rsidRPr="00B95CCD">
              <w:rPr>
                <w:b/>
              </w:rPr>
              <w:br/>
            </w:r>
            <w:r w:rsidRPr="00B95CCD">
              <w:t>(SPD)</w:t>
            </w:r>
            <w:r>
              <w:fldChar w:fldCharType="begin"/>
            </w:r>
            <w:r>
              <w:instrText xml:space="preserve"> TC </w:instrText>
            </w:r>
            <w:r w:rsidR="00105D40">
              <w:instrText>„</w:instrText>
            </w:r>
            <w:bookmarkStart w:id="25" w:name="_Toc508873860"/>
            <w:r>
              <w:instrText>Petersen, Kathi (SPD)</w:instrText>
            </w:r>
            <w:r>
              <w:br/>
              <w:instrText>Praxisbegleitstunden in der Krankenpflegeausbildung</w:instrText>
            </w:r>
            <w:bookmarkEnd w:id="25"/>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plant sie eine Reduzierung der Betreuung der praktischen Ausbildung an den Berufsfachschulen für Krankenpflege von 1,3</w:t>
            </w:r>
            <w:r w:rsidR="002B1619">
              <w:t> </w:t>
            </w:r>
            <w:r>
              <w:t>Lehrer-Wochenstunden auf 0,6 Lehrer-Wochenstunden, wenn ja mit we</w:t>
            </w:r>
            <w:r>
              <w:t>l</w:t>
            </w:r>
            <w:r>
              <w:t>cher Begründung, und welche Verbindlichkeit hat das Formblatt 3.23 des Staatsministeriums für Bildung und Kultus, Wissenschaft und Kunst für die betroffenen Berufsfachschulen?</w:t>
            </w:r>
          </w:p>
          <w:p w:rsidR="00B95CCD" w:rsidRDefault="00B95CCD" w:rsidP="00B95CCD">
            <w:pPr>
              <w:pStyle w:val="LTAnfrageText"/>
            </w:pPr>
          </w:p>
        </w:tc>
      </w:tr>
    </w:tbl>
    <w:p w:rsidR="00B95CCD" w:rsidRDefault="00B95CCD" w:rsidP="00B95CCD">
      <w:pPr>
        <w:pStyle w:val="LTUeberschrAntwortRessort"/>
      </w:pPr>
      <w:r>
        <w:t>Antwort des Staatsministeriums für Bildung und Kultus, Wissenschaft und Kunst</w:t>
      </w:r>
    </w:p>
    <w:p w:rsidR="00B95CCD" w:rsidRDefault="00B95CCD" w:rsidP="00B95CCD">
      <w:pPr>
        <w:pStyle w:val="LTAntwortRessortText"/>
      </w:pPr>
      <w:r>
        <w:t>Die Staatsregierung plant keine Änderung der Budg</w:t>
      </w:r>
      <w:r w:rsidR="002B1619">
        <w:t>etierung zur Betreuung der prak</w:t>
      </w:r>
      <w:r>
        <w:t>tischen Ausbi</w:t>
      </w:r>
      <w:r>
        <w:t>l</w:t>
      </w:r>
      <w:r>
        <w:t xml:space="preserve">dung an den derzeitigen Berufsfachschulen </w:t>
      </w:r>
      <w:r w:rsidR="002B1619">
        <w:t xml:space="preserve">(BFS) </w:t>
      </w:r>
      <w:r>
        <w:t>für Krankenpflege.</w:t>
      </w:r>
    </w:p>
    <w:p w:rsidR="00B95CCD" w:rsidRDefault="00B95CCD" w:rsidP="00B95CCD">
      <w:pPr>
        <w:pStyle w:val="LTAntwortRessortText"/>
      </w:pPr>
      <w:r>
        <w:t xml:space="preserve">Das in der Frage genannte Formblatt 3.23 </w:t>
      </w:r>
      <w:r w:rsidR="00105D40">
        <w:t>„</w:t>
      </w:r>
      <w:r>
        <w:t>Ermittlung des Gesamtbedarfs an Lehrerwochenstu</w:t>
      </w:r>
      <w:r>
        <w:t>n</w:t>
      </w:r>
      <w:r>
        <w:t>den an BFS für Krankenpflege</w:t>
      </w:r>
      <w:r w:rsidR="00105D40">
        <w:t>“</w:t>
      </w:r>
      <w:r>
        <w:t xml:space="preserve"> ist verbindlich für die Berechnung der Lehrerwochenstunden.</w:t>
      </w:r>
    </w:p>
    <w:p w:rsidR="00F4523A" w:rsidRDefault="00F4523A" w:rsidP="00B95CCD">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lastRenderedPageBreak/>
              <w:t>Abgeordneter</w:t>
            </w:r>
            <w:r w:rsidRPr="00B95CCD">
              <w:br/>
            </w:r>
            <w:r w:rsidRPr="00B95CCD">
              <w:rPr>
                <w:b/>
              </w:rPr>
              <w:t>Prof. Dr. M</w:t>
            </w:r>
            <w:r w:rsidRPr="00B95CCD">
              <w:rPr>
                <w:b/>
              </w:rPr>
              <w:t>i</w:t>
            </w:r>
            <w:r w:rsidRPr="00B95CCD">
              <w:rPr>
                <w:b/>
              </w:rPr>
              <w:t>chael</w:t>
            </w:r>
            <w:r w:rsidRPr="00B95CCD">
              <w:rPr>
                <w:b/>
              </w:rPr>
              <w:br/>
              <w:t>Piazolo</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26" w:name="_Toc508873861"/>
            <w:r>
              <w:instrText>Prof. Dr. Piazolo, Michael (FREIE WÄHLER)</w:instrText>
            </w:r>
            <w:r>
              <w:br/>
              <w:instrText>Online-Wahlen an Bayerns Hochschulen</w:instrText>
            </w:r>
            <w:bookmarkEnd w:id="26"/>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FE6B32">
            <w:pPr>
              <w:pStyle w:val="LTAnfrageText"/>
            </w:pPr>
            <w:r>
              <w:t>Ich frage die Staatsregierung, wie beurteilt sie die Möglichkeit von Online-Wahlen für verschiedene Hochschulwahlen, insbesondere hinsichtlich der Kosten, einer Erleichterung des Wahlverfahrens, möglicher Auswirkungen auf die Wahlbeteiligung, der Barrierefreiheit des Wählens und der Sensibilisierung junger Menschen für demokratische Prozesse, wie beurteilt die Staatsregi</w:t>
            </w:r>
            <w:r>
              <w:t>e</w:t>
            </w:r>
            <w:r>
              <w:t>rung die derzeitige Rechtslage bezüglich Online-Wahlen an Hochschulen in Bayern im Vergleich zu anderen Bundesländern und für welchen Zeitpunkt ist die Realisierung von Online-Wahlen für die Wahl der studentischen Vertreter in Hochschulgremien konkret geplant?</w:t>
            </w:r>
          </w:p>
        </w:tc>
      </w:tr>
    </w:tbl>
    <w:p w:rsidR="00B95CCD" w:rsidRDefault="00B95CCD" w:rsidP="00B95CCD">
      <w:pPr>
        <w:pStyle w:val="LTUeberschrAntwortRessort"/>
      </w:pPr>
      <w:r>
        <w:t>Antwort des Staatsministeriums für Bildung und Kultus, Wissenschaft und Kunst</w:t>
      </w:r>
    </w:p>
    <w:p w:rsidR="00B95CCD" w:rsidRPr="00DE65E5" w:rsidRDefault="00B95CCD" w:rsidP="00B95CCD">
      <w:pPr>
        <w:pStyle w:val="LTAntwortRessortText"/>
        <w:rPr>
          <w:u w:val="single"/>
        </w:rPr>
      </w:pPr>
      <w:r w:rsidRPr="00DE65E5">
        <w:rPr>
          <w:u w:val="single"/>
        </w:rPr>
        <w:t>Möglichkeit von Online-Wahlen</w:t>
      </w:r>
      <w:r w:rsidR="00DE65E5">
        <w:rPr>
          <w:u w:val="single"/>
        </w:rPr>
        <w:t>:</w:t>
      </w:r>
    </w:p>
    <w:p w:rsidR="00B95CCD" w:rsidRDefault="00B95CCD" w:rsidP="00DE65E5">
      <w:pPr>
        <w:pStyle w:val="LTAntwortRessortText"/>
        <w:spacing w:before="120"/>
      </w:pPr>
      <w:r>
        <w:t xml:space="preserve">Sichere Online-Wahlen </w:t>
      </w:r>
      <w:r w:rsidR="00DE65E5">
        <w:t>an Hochschulen sind nicht ohne W</w:t>
      </w:r>
      <w:r>
        <w:t>eiteres durchführbar. Die Hochschulen verfügen zwar über hohe technische Kompetenz, diese bezieht sich aber nicht notwendig auf die technische Expertise, die f</w:t>
      </w:r>
      <w:r w:rsidR="00DE65E5">
        <w:t>ür ein sicheres E-Voting not</w:t>
      </w:r>
      <w:r>
        <w:t>wendig ist. Dass E-Voting nicht unkompliziert ist, zeigt sich z.</w:t>
      </w:r>
      <w:r w:rsidR="00DE65E5">
        <w:t> </w:t>
      </w:r>
      <w:r>
        <w:t>B. in den USA, in denen Online-Wahlen nach den Präsidentenwahlen 2004 auf u</w:t>
      </w:r>
      <w:r>
        <w:t>n</w:t>
      </w:r>
      <w:r>
        <w:t>bestimmte Zeit eingestellt wurden. Praxiserfahrung sammelt die Schweiz. Die Universität</w:t>
      </w:r>
      <w:r w:rsidR="00CD1159">
        <w:t xml:space="preserve"> Zürich, die den Stu</w:t>
      </w:r>
      <w:r>
        <w:t>dierendenrat online wählen lässt, kann sich daher</w:t>
      </w:r>
      <w:r w:rsidR="009B3900">
        <w:t xml:space="preserve"> der E-Voting Plattform des Kan</w:t>
      </w:r>
      <w:r>
        <w:t>tons Z</w:t>
      </w:r>
      <w:r>
        <w:t>ü</w:t>
      </w:r>
      <w:r>
        <w:t>rich bedienen. Ungeklärt ist z.</w:t>
      </w:r>
      <w:r w:rsidR="00CD1159">
        <w:t> </w:t>
      </w:r>
      <w:r>
        <w:t>B. wie der G</w:t>
      </w:r>
      <w:r w:rsidR="00DE65E5">
        <w:t>rundsatz der geheimen Wahl (ent</w:t>
      </w:r>
      <w:r>
        <w:t>sprechende Probleme gibt es allerdings bei der Briefwahl) und der zuverlässige Schutz vor Manipulationen durch Ha</w:t>
      </w:r>
      <w:r w:rsidR="00CD1159">
        <w:t>cker oder vor Denial-of-</w:t>
      </w:r>
      <w:r w:rsidR="00DE65E5">
        <w:t>Service (</w:t>
      </w:r>
      <w:r>
        <w:t>DoS</w:t>
      </w:r>
      <w:r w:rsidR="00CD1159">
        <w:t>)-</w:t>
      </w:r>
      <w:r w:rsidR="00DE65E5">
        <w:t>Angrif</w:t>
      </w:r>
      <w:r>
        <w:t>fen gewährleistet werden kann. Diese können ein</w:t>
      </w:r>
      <w:r w:rsidR="00DE65E5">
        <w:t>e Wahl de facto verhindern, wäh</w:t>
      </w:r>
      <w:r>
        <w:t>rend die IT-Systeme der Hochschulen unter Umständen darauf nicht hinre</w:t>
      </w:r>
      <w:r>
        <w:t>i</w:t>
      </w:r>
      <w:r>
        <w:t>chend ausgelegt sind.</w:t>
      </w:r>
    </w:p>
    <w:p w:rsidR="00B95CCD" w:rsidRDefault="00B95CCD" w:rsidP="00B95CCD">
      <w:pPr>
        <w:pStyle w:val="LTAntwortRessortText"/>
      </w:pPr>
      <w:r>
        <w:t xml:space="preserve">Die Delegation der technischen Durchführung der Wahl auf private Anbieter ist aus Sicht </w:t>
      </w:r>
      <w:r w:rsidR="00DE65E5">
        <w:t xml:space="preserve">des Staatsministeriums für Bildung und Kultus, Wissenschaft und Kunst (StMBW) </w:t>
      </w:r>
      <w:r>
        <w:t>möglich, es sollte aber vor einer solchen Delegation eingehend geprüft werden, ob die Online-Wahl von den Hoc</w:t>
      </w:r>
      <w:r>
        <w:t>h</w:t>
      </w:r>
      <w:r>
        <w:t xml:space="preserve">schulen nicht auch selbst durchgeführt werden </w:t>
      </w:r>
      <w:r w:rsidR="00DE65E5">
        <w:t>kann. Zudem ist nur aufg</w:t>
      </w:r>
      <w:r>
        <w:t>rund eigener Erfahrungen und gegebenenfalls der Erprobung eigener technischer Konzepte eine fundi</w:t>
      </w:r>
      <w:r w:rsidR="00DE65E5">
        <w:t>erte Prüfung der Pr</w:t>
      </w:r>
      <w:r w:rsidR="00DE65E5">
        <w:t>o</w:t>
      </w:r>
      <w:r w:rsidR="00DE65E5">
        <w:t>dukte priva</w:t>
      </w:r>
      <w:r>
        <w:t>ter Anbieter möglich.</w:t>
      </w:r>
    </w:p>
    <w:p w:rsidR="00B95CCD" w:rsidRPr="00DE65E5" w:rsidRDefault="00B95CCD" w:rsidP="00B95CCD">
      <w:pPr>
        <w:pStyle w:val="LTAntwortRessortText"/>
        <w:rPr>
          <w:u w:val="single"/>
        </w:rPr>
      </w:pPr>
      <w:r w:rsidRPr="00DE65E5">
        <w:rPr>
          <w:u w:val="single"/>
        </w:rPr>
        <w:t>Kosten</w:t>
      </w:r>
      <w:r w:rsidR="00DE65E5">
        <w:rPr>
          <w:u w:val="single"/>
        </w:rPr>
        <w:t>:</w:t>
      </w:r>
    </w:p>
    <w:p w:rsidR="00B95CCD" w:rsidRDefault="00B95CCD" w:rsidP="00DE65E5">
      <w:pPr>
        <w:pStyle w:val="LTAntwortRessortText"/>
        <w:spacing w:before="120"/>
      </w:pPr>
      <w:r>
        <w:t xml:space="preserve">Darüber, ob Online-Wahlen kostengünstiger sind als </w:t>
      </w:r>
      <w:r w:rsidR="00105D40">
        <w:t>„</w:t>
      </w:r>
      <w:r>
        <w:t>analoge</w:t>
      </w:r>
      <w:r w:rsidR="00105D40">
        <w:t>“</w:t>
      </w:r>
      <w:r>
        <w:t xml:space="preserve"> Wahlen, lässt sich ohne eine eing</w:t>
      </w:r>
      <w:r>
        <w:t>e</w:t>
      </w:r>
      <w:r>
        <w:t xml:space="preserve">hende Analyse </w:t>
      </w:r>
      <w:r w:rsidR="00DE65E5">
        <w:t>–</w:t>
      </w:r>
      <w:r>
        <w:t xml:space="preserve"> und insbesondere ohne praktische Erfahrungen </w:t>
      </w:r>
      <w:r w:rsidR="00DE65E5">
        <w:t>–</w:t>
      </w:r>
      <w:r>
        <w:t xml:space="preserve"> keine verlässliche Auskunft g</w:t>
      </w:r>
      <w:r>
        <w:t>e</w:t>
      </w:r>
      <w:r>
        <w:t>ben. Da IT-Produkte und IT-Beratung normalerweise relativ teuer sind, ist nicht ausgeschlossen, dass ei</w:t>
      </w:r>
      <w:r w:rsidR="00DE65E5">
        <w:t>ne Online-Wahl für die Hochschu</w:t>
      </w:r>
      <w:r>
        <w:t xml:space="preserve">len im Ergebnis teurer ist. </w:t>
      </w:r>
    </w:p>
    <w:p w:rsidR="00B95CCD" w:rsidRPr="00DE65E5" w:rsidRDefault="00B95CCD" w:rsidP="00B95CCD">
      <w:pPr>
        <w:pStyle w:val="LTAntwortRessortText"/>
        <w:rPr>
          <w:u w:val="single"/>
        </w:rPr>
      </w:pPr>
      <w:r w:rsidRPr="00DE65E5">
        <w:rPr>
          <w:u w:val="single"/>
        </w:rPr>
        <w:t>Erleichterung</w:t>
      </w:r>
      <w:r w:rsidR="00DE65E5">
        <w:rPr>
          <w:u w:val="single"/>
        </w:rPr>
        <w:t>:</w:t>
      </w:r>
    </w:p>
    <w:p w:rsidR="00B95CCD" w:rsidRDefault="00B95CCD" w:rsidP="00DE65E5">
      <w:pPr>
        <w:pStyle w:val="LTAntwortRessortText"/>
        <w:spacing w:before="120"/>
      </w:pPr>
      <w:r>
        <w:t xml:space="preserve">Es lässt sich auch nicht eindeutig vorhersehen, ob eine Online-Wahl </w:t>
      </w:r>
      <w:r w:rsidR="00DE65E5">
        <w:t>– die eine siche</w:t>
      </w:r>
      <w:r>
        <w:t>re Authentif</w:t>
      </w:r>
      <w:r>
        <w:t>i</w:t>
      </w:r>
      <w:r>
        <w:t xml:space="preserve">zierung des Wählers und ein die Geheimheit </w:t>
      </w:r>
      <w:r w:rsidR="00DE65E5">
        <w:t>der Wahl gewährleistendes Wahlp</w:t>
      </w:r>
      <w:r>
        <w:t xml:space="preserve">rogramm erfordert </w:t>
      </w:r>
      <w:r w:rsidR="00DE65E5">
        <w:t>–</w:t>
      </w:r>
      <w:r>
        <w:t xml:space="preserve"> einfacher durchzuführe</w:t>
      </w:r>
      <w:r w:rsidR="00DE65E5">
        <w:t>n ist als eine Wahl mit herkömm</w:t>
      </w:r>
      <w:r>
        <w:t xml:space="preserve">lichen Mitteln. Angesichts der zunehmenden Bedeutung von Online-Verfahren und der gewachsenen Vertrautheit der Bürgerinnen und Bürger mit diesen Verfahren, wird der Unterschied aber allenfalls marginal sein. </w:t>
      </w:r>
    </w:p>
    <w:p w:rsidR="00B95CCD" w:rsidRPr="00DE65E5" w:rsidRDefault="00B95CCD" w:rsidP="00B95CCD">
      <w:pPr>
        <w:pStyle w:val="LTAntwortRessortText"/>
        <w:rPr>
          <w:u w:val="single"/>
        </w:rPr>
      </w:pPr>
      <w:r w:rsidRPr="00DE65E5">
        <w:rPr>
          <w:u w:val="single"/>
        </w:rPr>
        <w:t>Auswirkungen auf die Wahlbeteiligung</w:t>
      </w:r>
      <w:r w:rsidR="00DE65E5">
        <w:rPr>
          <w:u w:val="single"/>
        </w:rPr>
        <w:t>:</w:t>
      </w:r>
    </w:p>
    <w:p w:rsidR="00B95CCD" w:rsidRDefault="00B95CCD" w:rsidP="00DE65E5">
      <w:pPr>
        <w:pStyle w:val="LTAntwortRessortText"/>
        <w:spacing w:before="120"/>
      </w:pPr>
      <w:r>
        <w:t>Sowohl die Universitäten wie die Hochschulen für a</w:t>
      </w:r>
      <w:r w:rsidR="00DE65E5">
        <w:t>ngewandte Wissenschaften erhoff</w:t>
      </w:r>
      <w:r>
        <w:t xml:space="preserve">en vom </w:t>
      </w:r>
      <w:r w:rsidR="00DE65E5">
        <w:br/>
      </w:r>
      <w:r>
        <w:t xml:space="preserve">E-Voting vor allem einen Anstieg der Wahlbeteiligung der Studierenden, was auch für das </w:t>
      </w:r>
      <w:r w:rsidR="00DE65E5">
        <w:t>StMBW</w:t>
      </w:r>
      <w:r>
        <w:t xml:space="preserve"> erstrebenswert ist. </w:t>
      </w:r>
      <w:r w:rsidR="00DE65E5">
        <w:t xml:space="preserve">Der </w:t>
      </w:r>
      <w:r>
        <w:t xml:space="preserve">Staatsminister </w:t>
      </w:r>
      <w:r w:rsidR="00DE65E5">
        <w:t xml:space="preserve">für Bildung und Kultus, Wissenschaft und Kunst, </w:t>
      </w:r>
      <w:r>
        <w:t xml:space="preserve">Dr. </w:t>
      </w:r>
      <w:r w:rsidR="00DE65E5">
        <w:t xml:space="preserve">Ludwig </w:t>
      </w:r>
      <w:r>
        <w:lastRenderedPageBreak/>
        <w:t>Spaenle hat daher entschieden, dass die Grundlagen für eine Online-Wahl als ein mögliches Wah</w:t>
      </w:r>
      <w:r>
        <w:t>l</w:t>
      </w:r>
      <w:r>
        <w:t>verfahren geschaffen werden sollen.</w:t>
      </w:r>
    </w:p>
    <w:p w:rsidR="00B95CCD" w:rsidRPr="00DE65E5" w:rsidRDefault="00B95CCD" w:rsidP="00B95CCD">
      <w:pPr>
        <w:pStyle w:val="LTAntwortRessortText"/>
        <w:rPr>
          <w:u w:val="single"/>
        </w:rPr>
      </w:pPr>
      <w:r w:rsidRPr="00DE65E5">
        <w:rPr>
          <w:u w:val="single"/>
        </w:rPr>
        <w:t>Barrierefreiheit</w:t>
      </w:r>
      <w:r w:rsidR="00DE65E5">
        <w:rPr>
          <w:u w:val="single"/>
        </w:rPr>
        <w:t>:</w:t>
      </w:r>
    </w:p>
    <w:p w:rsidR="00B95CCD" w:rsidRDefault="00B95CCD" w:rsidP="00DE65E5">
      <w:pPr>
        <w:pStyle w:val="LTAntwortRessortText"/>
        <w:spacing w:before="120"/>
      </w:pPr>
      <w:r>
        <w:t>Online-Wahlen ermöglichen nach überschlägiger Betrachtung bei allen körperlichen Herausford</w:t>
      </w:r>
      <w:r>
        <w:t>e</w:t>
      </w:r>
      <w:r>
        <w:t>rungen einen einfacheren Zugang zur Wahl.</w:t>
      </w:r>
    </w:p>
    <w:p w:rsidR="00B95CCD" w:rsidRPr="00DE65E5" w:rsidRDefault="00B95CCD" w:rsidP="00B95CCD">
      <w:pPr>
        <w:pStyle w:val="LTAntwortRessortText"/>
        <w:rPr>
          <w:u w:val="single"/>
        </w:rPr>
      </w:pPr>
      <w:r w:rsidRPr="00DE65E5">
        <w:rPr>
          <w:u w:val="single"/>
        </w:rPr>
        <w:t>Sensibilisierung junger Menschen für demokratische Prozesse</w:t>
      </w:r>
      <w:r w:rsidR="00DE65E5">
        <w:rPr>
          <w:u w:val="single"/>
        </w:rPr>
        <w:t>:</w:t>
      </w:r>
    </w:p>
    <w:p w:rsidR="00B95CCD" w:rsidRDefault="00B95CCD" w:rsidP="00DE65E5">
      <w:pPr>
        <w:pStyle w:val="LTAntwortRessortText"/>
        <w:spacing w:before="120"/>
      </w:pPr>
      <w:r>
        <w:t>Aus Sicht der Staatregierung ist nicht klar, ob darüber verlässliche Erk</w:t>
      </w:r>
      <w:r w:rsidR="00DE65E5">
        <w:t>enntnisse vorl</w:t>
      </w:r>
      <w:r>
        <w:t>iegen oder g</w:t>
      </w:r>
      <w:r>
        <w:t>e</w:t>
      </w:r>
      <w:r>
        <w:t>wonnen werden können. Die Einführung einer Online-Wahl kann insoweit positive Auswirkungen haben, angesichts der Selbstverständlichkeit des Umgangs junger Menschen mit Online-Instrument</w:t>
      </w:r>
      <w:r w:rsidR="00DE65E5">
        <w:t>arien kann man aber auch bezwei</w:t>
      </w:r>
      <w:r>
        <w:t>feln, dass die Einführung einer Online-Wahl einen b</w:t>
      </w:r>
      <w:r>
        <w:t>e</w:t>
      </w:r>
      <w:r>
        <w:t>sonderen Anreiz zur Teilhabe an einer Wahl bewirkt.</w:t>
      </w:r>
    </w:p>
    <w:p w:rsidR="00B95CCD" w:rsidRPr="00DE65E5" w:rsidRDefault="00B95CCD" w:rsidP="00B95CCD">
      <w:pPr>
        <w:pStyle w:val="LTAntwortRessortText"/>
        <w:rPr>
          <w:u w:val="single"/>
        </w:rPr>
      </w:pPr>
      <w:r w:rsidRPr="00DE65E5">
        <w:rPr>
          <w:u w:val="single"/>
        </w:rPr>
        <w:t>Rechtslage in Bayern</w:t>
      </w:r>
      <w:r w:rsidR="00DE65E5">
        <w:rPr>
          <w:u w:val="single"/>
        </w:rPr>
        <w:t>:</w:t>
      </w:r>
    </w:p>
    <w:p w:rsidR="00B95CCD" w:rsidRDefault="00B95CCD" w:rsidP="00DE65E5">
      <w:pPr>
        <w:pStyle w:val="LTAntwortRessortText"/>
        <w:spacing w:before="120"/>
      </w:pPr>
      <w:r>
        <w:t>Die Hochschulgesetze der meisten Länder der Bundesrepublik enthalten allgemeine Ermächtigu</w:t>
      </w:r>
      <w:r>
        <w:t>n</w:t>
      </w:r>
      <w:r>
        <w:t xml:space="preserve">gen, wonach die Hochschulen die näheren Bestimmungen zur Wahl und zum Wahlverfahren durch ihre jeweilige Wahlordnung regeln. In Bayern hat sich der Landesgesetzgeber in Art. 38 </w:t>
      </w:r>
      <w:r w:rsidR="00CD1159">
        <w:t>Bayer</w:t>
      </w:r>
      <w:r w:rsidR="00CD1159">
        <w:t>i</w:t>
      </w:r>
      <w:r w:rsidR="00CD1159">
        <w:t>sches</w:t>
      </w:r>
      <w:r>
        <w:t xml:space="preserve"> </w:t>
      </w:r>
      <w:r w:rsidR="00CD1159">
        <w:t>Hochschulgesetz</w:t>
      </w:r>
      <w:r w:rsidR="00DE65E5">
        <w:t xml:space="preserve"> (BayHSchG) da</w:t>
      </w:r>
      <w:r>
        <w:t>für entschieden, die Wahlen durch die Wahlordnung für die staatlichen Hochschulen (BayHSchWO) zu regeln. Zur Umsetzung der Entscheidung von Staatsm</w:t>
      </w:r>
      <w:r>
        <w:t>i</w:t>
      </w:r>
      <w:r>
        <w:t xml:space="preserve">nister Dr. </w:t>
      </w:r>
      <w:r w:rsidR="00DE65E5">
        <w:t>Ludwig Spaenle (dazu unter „Auswirkungen auf die Wahlbeteiligung“</w:t>
      </w:r>
      <w:r>
        <w:t>) war ursprünglich daran gedacht, in Abschnitt II einen neuen § 20 einzuführen, der hinsichtlich der Einführung von Online-Wahlen eine Grundordnungsermächtigung schafft. Nach näherer</w:t>
      </w:r>
      <w:r w:rsidR="00DE65E5">
        <w:t xml:space="preserve"> Prüfung ist eine solche Ermäch</w:t>
      </w:r>
      <w:r>
        <w:t>tigung allerdings nicht möglich, weil Art. 38 Abs. 1 Satz 4 BayHSchG eine vollständige R</w:t>
      </w:r>
      <w:r>
        <w:t>e</w:t>
      </w:r>
      <w:r>
        <w:t>gelung einer solchen Wahl in der Wahlordnun</w:t>
      </w:r>
      <w:r w:rsidR="00DE65E5">
        <w:t>g selbst verlangt und eine Dele</w:t>
      </w:r>
      <w:r>
        <w:t>gation an den Hoc</w:t>
      </w:r>
      <w:r>
        <w:t>h</w:t>
      </w:r>
      <w:r>
        <w:t>schul-Satzungsgeber daher nicht statthaft ist. Da wir mangels belastbarer Erfahrungen mit Online-Wahlen noch nicht wissen, welchen Problemen und Gefährdungen durch entsprechende Regelu</w:t>
      </w:r>
      <w:r>
        <w:t>n</w:t>
      </w:r>
      <w:r>
        <w:t>gen zu begegnen ist, haben wir von der geplanten Regelung in der Hochschulwahlordnung z</w:t>
      </w:r>
      <w:r>
        <w:t>u</w:t>
      </w:r>
      <w:r>
        <w:t>nächst Abstand nehmen müssen. Allerdings haben die Hochschulen durc</w:t>
      </w:r>
      <w:r w:rsidR="00DE65E5">
        <w:t>h die Änderungen im Hochschulge</w:t>
      </w:r>
      <w:r>
        <w:t xml:space="preserve">setz zum </w:t>
      </w:r>
      <w:r w:rsidR="00DE65E5">
        <w:t>01.07.</w:t>
      </w:r>
      <w:r>
        <w:t>2018 die Möglichkeit, Wahlen zur Studierendenvertretung in der Grundordnung zu regeln. Ungeachtet der Tatsache, dass wir die Hochschulen bitten werden, bei diesen Regelungen so weit wie möglich auf die Hochschulwahlordnung zu verweisen, bietet dies die Möglichkeit, dass die Hochschulen für diese Vertretungsorgane auch Online-Wahlen auf der Grundlage entsprechender Grundordnungsbestimmungen durchführen können. Auf die dort g</w:t>
      </w:r>
      <w:r>
        <w:t>e</w:t>
      </w:r>
      <w:r>
        <w:t>wonnenen Erfahrungen kann dann bei einer späteren Änderung der Hochschulwahlordnung für O</w:t>
      </w:r>
      <w:r>
        <w:t>n</w:t>
      </w:r>
      <w:r>
        <w:t>line-Wahlen zum Senat und Fakultätsrat zurückgegriffen werden.</w:t>
      </w:r>
    </w:p>
    <w:p w:rsidR="00B95CCD" w:rsidRPr="00DE65E5" w:rsidRDefault="00B95CCD" w:rsidP="00B95CCD">
      <w:pPr>
        <w:pStyle w:val="LTAntwortRessortText"/>
        <w:rPr>
          <w:u w:val="single"/>
        </w:rPr>
      </w:pPr>
      <w:r w:rsidRPr="00DE65E5">
        <w:rPr>
          <w:u w:val="single"/>
        </w:rPr>
        <w:t>Zeitpunkt der Einführung</w:t>
      </w:r>
      <w:r w:rsidR="00DE65E5">
        <w:rPr>
          <w:u w:val="single"/>
        </w:rPr>
        <w:t>:</w:t>
      </w:r>
    </w:p>
    <w:p w:rsidR="00B95CCD" w:rsidRDefault="00B95CCD" w:rsidP="00DE65E5">
      <w:pPr>
        <w:pStyle w:val="LTAntwortRessortText"/>
        <w:spacing w:before="120"/>
      </w:pPr>
      <w:r>
        <w:t>Soll eine Online-Wahl in der Grundordnung vera</w:t>
      </w:r>
      <w:r w:rsidR="00DE65E5">
        <w:t>nkert werden, muss die Grundord</w:t>
      </w:r>
      <w:r>
        <w:t>nung die Rechte der Wähler, insbesondere auf eine gleiche, freie und geheime Wahl hinreichend sicherstellen. Be</w:t>
      </w:r>
      <w:r>
        <w:t>i</w:t>
      </w:r>
      <w:r>
        <w:t>spielsweise sollten Re</w:t>
      </w:r>
      <w:r w:rsidR="00DE65E5">
        <w:t>gelungen enthalten sein zum Ver</w:t>
      </w:r>
      <w:r>
        <w:t>fahren bei auftretenden technischen Störu</w:t>
      </w:r>
      <w:r>
        <w:t>n</w:t>
      </w:r>
      <w:r>
        <w:t>gen wä</w:t>
      </w:r>
      <w:r w:rsidR="00DE65E5">
        <w:t>hrend der Wahl, zur obligatoris</w:t>
      </w:r>
      <w:r>
        <w:t>chen Nutzung von Virenschutzprogrammen während der Wahl, zur Möglichkeit des Wählers oder der Wählerin abgegebene Stimmen vor endgültiger Erfa</w:t>
      </w:r>
      <w:r>
        <w:t>s</w:t>
      </w:r>
      <w:r>
        <w:t>sung zu überprüfen, zur Überprüfung der unverfälschten Erfassung der über das Wahlsystem a</w:t>
      </w:r>
      <w:r>
        <w:t>b</w:t>
      </w:r>
      <w:r>
        <w:t>gegebenen Stimmen vom Wahlgerät, zur nachvollziehbaren Zuordnung gültiger Stimmen zu den Wahlvorsc</w:t>
      </w:r>
      <w:r w:rsidR="00DE65E5">
        <w:t>hlägen, zur Authentifikation der Wählerin bzw. des Wählers und zur Stimm</w:t>
      </w:r>
      <w:r>
        <w:t>abgabe, zur Übertragungsintegrität, zu individueller und universeller Verifizierbarkeit und zur Sicherstellung des Wahlgeheimnisses. Angesichts der Herausforderung, vor die die Einführung von Online-Wahlen die Hochschulen stellt, erscheint es sinnvoll, wenn zunächst die Hochschulen in geeigneten Foren die Probleme erfassen und nach einer geeigneten Form suchen, wie man Online-Wahlen einführen kann. Die Staatsregierung wird die Hochschulverbünde bitten, entsprechende Vorschläge für die Wahlen zu den Studierendenvertretungen zu erarbeiten. Die Benennung eines konkreten Zeitpun</w:t>
      </w:r>
      <w:r>
        <w:t>k</w:t>
      </w:r>
      <w:r>
        <w:t>tes für die Einführung von Online-Wahlen erscheint angesichts dessen verfrüht.</w:t>
      </w:r>
    </w:p>
    <w:p w:rsidR="00FE6B32" w:rsidRDefault="00FE6B32" w:rsidP="00DE65E5">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Martin</w:t>
            </w:r>
            <w:r w:rsidRPr="00B95CCD">
              <w:rPr>
                <w:b/>
              </w:rPr>
              <w:br/>
              <w:t>Stümpfig</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27" w:name="_Toc508873862"/>
            <w:r>
              <w:instrText>Stümpfig, Martin (BÜNDNIS 90/DIE GRÜNEN)</w:instrText>
            </w:r>
            <w:r>
              <w:br/>
              <w:instrText>Systembetreuung an Schulen</w:instrText>
            </w:r>
            <w:bookmarkEnd w:id="27"/>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viele Stellen sind pro weiterführender Sch</w:t>
            </w:r>
            <w:r>
              <w:t>u</w:t>
            </w:r>
            <w:r>
              <w:t>le bzw. Berufsschule für die Verbesserung der schulischen Systembetreuung an den weiterführenden Schulen einschließlich Berufsschulen geplant, ist der Einsatz externer Systembetreuer die keine Lehrkräfte sind, wie im Paket BA</w:t>
            </w:r>
            <w:r>
              <w:t>Y</w:t>
            </w:r>
            <w:r>
              <w:t>ERN DIGITAL beschrieben, vorgesehen und ab wann können Schulen mit der Unterstützung durch Systembetreuer rechnen?</w:t>
            </w:r>
          </w:p>
          <w:p w:rsidR="00B95CCD" w:rsidRDefault="00B95CCD" w:rsidP="00B95CCD">
            <w:pPr>
              <w:pStyle w:val="LTAnfrageText"/>
            </w:pPr>
          </w:p>
        </w:tc>
      </w:tr>
    </w:tbl>
    <w:p w:rsidR="00B95CCD" w:rsidRDefault="00B95CCD" w:rsidP="00F4523A">
      <w:pPr>
        <w:pStyle w:val="LTUeberschrAntwortRessort"/>
        <w:spacing w:before="0"/>
      </w:pPr>
      <w:r>
        <w:t>Antwort des Staatsministeriums für Bildung und Kultus, Wissenschaft und Kunst</w:t>
      </w:r>
    </w:p>
    <w:p w:rsidR="00B95CCD" w:rsidRDefault="00B95CCD" w:rsidP="00B95CCD">
      <w:pPr>
        <w:pStyle w:val="LTAntwortRessortText"/>
      </w:pPr>
      <w:r>
        <w:t xml:space="preserve">In der Anfrage </w:t>
      </w:r>
      <w:r w:rsidR="00A679AC">
        <w:t xml:space="preserve">zum Plenum </w:t>
      </w:r>
      <w:r>
        <w:t>wird unterschieden zwischen der schulischen Systembetreuung, also der pädagogischen Systembetreuung und dem Einsatz externer Systembetreuer, also die techn</w:t>
      </w:r>
      <w:r>
        <w:t>i</w:t>
      </w:r>
      <w:r>
        <w:t>sche Systembetreuung.</w:t>
      </w:r>
    </w:p>
    <w:p w:rsidR="00B95CCD" w:rsidRDefault="00B95CCD" w:rsidP="00F4523A">
      <w:pPr>
        <w:pStyle w:val="LTAntwortRessortText"/>
        <w:spacing w:before="120"/>
      </w:pPr>
      <w:r>
        <w:t xml:space="preserve">Die pädagogische Systembetreuung an den Schulen ist mit </w:t>
      </w:r>
      <w:r w:rsidR="00A679AC">
        <w:rPr>
          <w:rStyle w:val="st"/>
        </w:rPr>
        <w:t>Kultusministerielle Bekanntmachung (</w:t>
      </w:r>
      <w:r>
        <w:t>KMBeK</w:t>
      </w:r>
      <w:r w:rsidR="00A679AC">
        <w:t>) vom 17.03.</w:t>
      </w:r>
      <w:r>
        <w:t>2000 geregelt, hier heißt es:</w:t>
      </w:r>
    </w:p>
    <w:p w:rsidR="00B95CCD" w:rsidRDefault="00105D40" w:rsidP="00A679AC">
      <w:pPr>
        <w:pStyle w:val="LTAntwortRessortText"/>
        <w:spacing w:before="120"/>
      </w:pPr>
      <w:r>
        <w:t>„</w:t>
      </w:r>
      <w:r w:rsidR="00B95CCD">
        <w:t>Die Tätigkeit der als Systembetreuer(in) eingesetz</w:t>
      </w:r>
      <w:r w:rsidR="00A679AC">
        <w:t>ten Lehrkraft, die den Computer</w:t>
      </w:r>
      <w:r w:rsidR="00B95CCD">
        <w:t>einsatz im Unte</w:t>
      </w:r>
      <w:r w:rsidR="00B95CCD">
        <w:t>r</w:t>
      </w:r>
      <w:r w:rsidR="00B95CCD">
        <w:t>richt und in der Schule betreut, ist i</w:t>
      </w:r>
      <w:r w:rsidR="00A679AC">
        <w:t>m organisatorischen bzw. koordi</w:t>
      </w:r>
      <w:r w:rsidR="00B95CCD">
        <w:t>nierenden sowie vor allem im pädagogischen und didaktisch-methodischen Bereich angesiedelt.</w:t>
      </w:r>
      <w:r>
        <w:t>“</w:t>
      </w:r>
    </w:p>
    <w:p w:rsidR="00B95CCD" w:rsidRDefault="00B95CCD" w:rsidP="00B95CCD">
      <w:pPr>
        <w:pStyle w:val="LTAntwortRessortText"/>
      </w:pPr>
      <w:r>
        <w:t>Mit dem Schuljahr 2017/2018 wurde an die weiterführenden Schulen mit dem größten Bedarf j</w:t>
      </w:r>
      <w:r>
        <w:t>e</w:t>
      </w:r>
      <w:r>
        <w:t>weils eine zusätzliche Anrechnungsstunde für die pädagogische Systembetreuung vergeben. Im Nachtragshaushalt 2018 sind weitere Stellenäquivalente vorgesehen, die ab dem Schuljahr 2018/2019 als zusätzliche Anrechnungsstunde für die pädagogische Systembetreuung an weitere Schulen vergeben werden.</w:t>
      </w:r>
    </w:p>
    <w:p w:rsidR="00B95CCD" w:rsidRDefault="00B95CCD" w:rsidP="00B95CCD">
      <w:pPr>
        <w:pStyle w:val="LTAntwortRessortText"/>
      </w:pPr>
      <w:r>
        <w:t>Zur externen (technischen) Systembetreuung:</w:t>
      </w:r>
    </w:p>
    <w:p w:rsidR="00B95CCD" w:rsidRDefault="00B95CCD" w:rsidP="00A679AC">
      <w:pPr>
        <w:pStyle w:val="LTAntwortRessortText"/>
        <w:spacing w:before="60"/>
      </w:pPr>
      <w:r>
        <w:t>Die Zuständigkeit für die externe technische Systembetreuung liegt beim jeweiligen Sachaufwand</w:t>
      </w:r>
      <w:r>
        <w:t>s</w:t>
      </w:r>
      <w:r>
        <w:t>träger.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Ruth</w:t>
            </w:r>
            <w:r w:rsidRPr="00B95CCD">
              <w:rPr>
                <w:b/>
              </w:rPr>
              <w:br/>
              <w:t>Waldmann</w:t>
            </w:r>
            <w:r w:rsidRPr="00B95CCD">
              <w:rPr>
                <w:b/>
              </w:rPr>
              <w:br/>
            </w:r>
            <w:r w:rsidRPr="00B95CCD">
              <w:t>(SPD)</w:t>
            </w:r>
            <w:r>
              <w:fldChar w:fldCharType="begin"/>
            </w:r>
            <w:r>
              <w:instrText xml:space="preserve"> TC </w:instrText>
            </w:r>
            <w:r w:rsidR="00105D40">
              <w:instrText>„</w:instrText>
            </w:r>
            <w:bookmarkStart w:id="28" w:name="_Toc508873863"/>
            <w:r>
              <w:instrText>Waldmann, Ruth (SPD)</w:instrText>
            </w:r>
            <w:r>
              <w:br/>
              <w:instrText>Verfassungstreueverfahren bei Lehramtskandidatinnen und -kanditaten</w:instrText>
            </w:r>
            <w:bookmarkEnd w:id="28"/>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F4523A">
            <w:pPr>
              <w:pStyle w:val="LTAnfrageText"/>
            </w:pPr>
            <w:r>
              <w:t xml:space="preserve">Ich frage die Staatsregierung, wie beurteilt sie </w:t>
            </w:r>
            <w:r w:rsidR="00E36164">
              <w:t>–</w:t>
            </w:r>
            <w:r>
              <w:t xml:space="preserve"> vor dem Hintergrund, dass bei der Prüfung der Verfassungstreue im Rahmen einer für den jeweiligen Einze</w:t>
            </w:r>
            <w:r>
              <w:t>l</w:t>
            </w:r>
            <w:r>
              <w:t>fall angestellten Eignungsprüfung durch die Einstellungsbehörde zu entsche</w:t>
            </w:r>
            <w:r>
              <w:t>i</w:t>
            </w:r>
            <w:r>
              <w:t xml:space="preserve">den ist und nach höchstrichterlicher Rechtsprechung die Gewinnung eines persönlichen Eindrucks eine herausgestellte Bedeutung hat </w:t>
            </w:r>
            <w:r w:rsidR="00E36164">
              <w:t>–</w:t>
            </w:r>
            <w:r>
              <w:t xml:space="preserve"> die Tatsache, dass im Fall des Herrn Benedikt G. (vgl. Artikel in der </w:t>
            </w:r>
            <w:r w:rsidR="00105D40">
              <w:t>„</w:t>
            </w:r>
            <w:r>
              <w:t>Süddeutschen Zeitung</w:t>
            </w:r>
            <w:r w:rsidR="00105D40">
              <w:t>“</w:t>
            </w:r>
            <w:r>
              <w:t xml:space="preserve"> vom 10.03.2018) im Zuge der Prüfung zur Zulassung zum Vorbereitungsdienst und Ernennung zum Lehramtsanwärter an Mittelschulen die Regierung von Oberbayern als zuständige Einstellungsbehörde nach der persönlichen Anh</w:t>
            </w:r>
            <w:r>
              <w:t>ö</w:t>
            </w:r>
            <w:r>
              <w:t>rung am 11.01.2018 zu einem positiven Eindruck kam und eine Einstellung des Herrn G. befürwortete, wieso wurde dem späteren ablehnenden Bescheid der Regierung von Oberbayern ein Einspruch des Staatsministeriums für Bi</w:t>
            </w:r>
            <w:r>
              <w:t>l</w:t>
            </w:r>
            <w:r>
              <w:t>dung und Kultus, Wissenschaft und Kunst (StMBW) zugrunde gelegt, in dem das StMBW lediglich nach Aktenlage Bedenken gegen die Verfassungstreue des Bewerbers äußerte und wie häufig kommt es vor, dass sich das StMBW nach einer positiven Überprüfung durch die eigentlich zuständige Einste</w:t>
            </w:r>
            <w:r>
              <w:t>l</w:t>
            </w:r>
            <w:r>
              <w:t>lungsbehörde einschaltet ohne einen persönlichen Eindruck der Bewerberin bzw. des Bewerbers?</w:t>
            </w:r>
          </w:p>
        </w:tc>
      </w:tr>
    </w:tbl>
    <w:p w:rsidR="00B95CCD" w:rsidRDefault="00B95CCD" w:rsidP="00B95CCD">
      <w:pPr>
        <w:pStyle w:val="LTUeberschrAntwortRessort"/>
      </w:pPr>
      <w:r>
        <w:lastRenderedPageBreak/>
        <w:t>Antwort des Staatsministeriums für Bildung und Kultus, Wissenschaft und Kunst</w:t>
      </w:r>
    </w:p>
    <w:p w:rsidR="00B95CCD" w:rsidRDefault="00B95CCD" w:rsidP="00B95CCD">
      <w:pPr>
        <w:pStyle w:val="LTAntwortRessortText"/>
      </w:pPr>
      <w:r>
        <w:t>Dem Staatsministerium</w:t>
      </w:r>
      <w:r w:rsidR="00E36164">
        <w:t xml:space="preserve"> für Bildung und Kultus, Wissenschaft und Kunst (StMBW)</w:t>
      </w:r>
      <w:r>
        <w:t xml:space="preserve"> ist die Rech</w:t>
      </w:r>
      <w:r>
        <w:t>t</w:t>
      </w:r>
      <w:r>
        <w:t>sprechung zur Prüfung der Verfassungstreue bekannt, wonach im Einzelfall die Gewinnung eines persönlichen Eindrucks eine besondere Bedeutung bei der Eignungsprüfung hat. In der Äußerung gegenüber der Regierung von Oberbayern wurde daher herausgestellt, dass eine Bewertung des Falles nur aufgrund der schriftlich vorliegenden Dokumente erfolgte, zum persönlichen Eindruck j</w:t>
      </w:r>
      <w:r>
        <w:t>e</w:t>
      </w:r>
      <w:r>
        <w:t>doch nicht Stellung genommen werden könne. Die Aktenlage gab dabei durchaus zu Bedenken A</w:t>
      </w:r>
      <w:r>
        <w:t>n</w:t>
      </w:r>
      <w:r>
        <w:t xml:space="preserve">lass, die auch das Landesamt für Verfassungsschutz deutlich gemacht hatte. </w:t>
      </w:r>
    </w:p>
    <w:p w:rsidR="00B95CCD" w:rsidRDefault="00B95CCD" w:rsidP="00B95CCD">
      <w:pPr>
        <w:pStyle w:val="LTAntwortRessortText"/>
      </w:pPr>
      <w:r>
        <w:t>Es ist jedoch kein Einspruch gegen eine Entscheidung der Regierung erfolgt, vielmehr hat die pe</w:t>
      </w:r>
      <w:r>
        <w:t>r</w:t>
      </w:r>
      <w:r>
        <w:t xml:space="preserve">sonalverwaltend zuständige Regierung das </w:t>
      </w:r>
      <w:r w:rsidR="00E36164">
        <w:t>StMBW</w:t>
      </w:r>
      <w:r>
        <w:t xml:space="preserve"> von sich aus um beratende Bewertung geb</w:t>
      </w:r>
      <w:r>
        <w:t>e</w:t>
      </w:r>
      <w:r>
        <w:t xml:space="preserve">ten. Eine Weisung an die Regierung oder Vergleichbares ist ebenfalls nicht erfolgt. </w:t>
      </w:r>
    </w:p>
    <w:p w:rsidR="00B95CCD" w:rsidRDefault="00B95CCD" w:rsidP="00B95CCD">
      <w:pPr>
        <w:pStyle w:val="LTAntwortRessortText"/>
      </w:pPr>
      <w:r>
        <w:t>Stellungnahmen zu Anfragen der Regierungen wegen Beratung zu bestimmten Sachverhalten, um einen bayernweit einheitlichen Vollzug sicherzustellen, erfolgen anlassbezogen zu unterschiedlich</w:t>
      </w:r>
      <w:r>
        <w:t>s</w:t>
      </w:r>
      <w:r>
        <w:t>ten Rechtsfragen.</w:t>
      </w:r>
    </w:p>
    <w:p w:rsidR="00E36164" w:rsidRDefault="00E36164">
      <w:pPr>
        <w:rPr>
          <w:rFonts w:cs="Arial"/>
          <w:b/>
          <w:sz w:val="22"/>
          <w:szCs w:val="22"/>
        </w:rPr>
      </w:pPr>
      <w:r>
        <w:br w:type="page"/>
      </w:r>
    </w:p>
    <w:p w:rsidR="00B95CCD" w:rsidRDefault="00B95CCD" w:rsidP="00B95CCD">
      <w:pPr>
        <w:pStyle w:val="LTUeberschrRessort"/>
      </w:pPr>
      <w:r>
        <w:lastRenderedPageBreak/>
        <w:t>Geschäftsbereich des Staatsministeriums der Finanzen, für Landesentwicklung und Heimat</w:t>
      </w:r>
      <w:r>
        <w:fldChar w:fldCharType="begin"/>
      </w:r>
      <w:r>
        <w:instrText xml:space="preserve"> TC </w:instrText>
      </w:r>
      <w:r w:rsidR="00105D40">
        <w:instrText>„</w:instrText>
      </w:r>
      <w:bookmarkStart w:id="29" w:name="_Toc508873864"/>
      <w:r>
        <w:instrText>Geschäftsbereich des Staatsministeriums der Finanzen, für Landesentwicklung und Heimat</w:instrText>
      </w:r>
      <w:bookmarkEnd w:id="29"/>
      <w:r w:rsidR="00105D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Klaus</w:t>
            </w:r>
            <w:r w:rsidRPr="00B95CCD">
              <w:rPr>
                <w:b/>
              </w:rPr>
              <w:br/>
              <w:t>Adelt</w:t>
            </w:r>
            <w:r w:rsidRPr="00B95CCD">
              <w:rPr>
                <w:b/>
              </w:rPr>
              <w:br/>
            </w:r>
            <w:r w:rsidRPr="00B95CCD">
              <w:t>(SPD)</w:t>
            </w:r>
            <w:r>
              <w:fldChar w:fldCharType="begin"/>
            </w:r>
            <w:r>
              <w:instrText xml:space="preserve"> TC </w:instrText>
            </w:r>
            <w:r w:rsidR="00105D40">
              <w:instrText>„</w:instrText>
            </w:r>
            <w:bookmarkStart w:id="30" w:name="_Toc508873865"/>
            <w:r>
              <w:instrText>Adelt, Klaus (SPD)</w:instrText>
            </w:r>
            <w:r>
              <w:br/>
              <w:instrText>Fragen zum dritten Jahrestag zum Startschuss der Behördenverlagerungen in Bayern</w:instrText>
            </w:r>
            <w:bookmarkEnd w:id="30"/>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viele Mittel hat sie im Zuge des dritten Ja</w:t>
            </w:r>
            <w:r>
              <w:t>h</w:t>
            </w:r>
            <w:r>
              <w:t>restages zum Startschuss der Behördenverlagerungen in Bayern für Mark</w:t>
            </w:r>
            <w:r>
              <w:t>e</w:t>
            </w:r>
            <w:r>
              <w:t xml:space="preserve">tingmaßnahmen (Zeitungsannoncen, Broschüren etc.) ausgegeben, wie viele Mittel wurden für die Durchführung öffentlichkeitswirksamer Veranstaltungen wie beispielsweise </w:t>
            </w:r>
            <w:r w:rsidR="00105D40">
              <w:t>„</w:t>
            </w:r>
            <w:r>
              <w:t>Tage der offenen Tür</w:t>
            </w:r>
            <w:r w:rsidR="00105D40">
              <w:t>“</w:t>
            </w:r>
            <w:r>
              <w:t xml:space="preserve"> veranschlagt und welchen Nutzen verspricht sich die Staatsregierung von den Anzeigen und Veranstaltungen?</w:t>
            </w:r>
          </w:p>
          <w:p w:rsidR="00B95CCD" w:rsidRDefault="00B95CCD" w:rsidP="00B95CCD">
            <w:pPr>
              <w:pStyle w:val="LTAnfrageText"/>
            </w:pPr>
          </w:p>
        </w:tc>
      </w:tr>
    </w:tbl>
    <w:p w:rsidR="00B95CCD" w:rsidRDefault="00B95CCD" w:rsidP="00FE6B32">
      <w:pPr>
        <w:pStyle w:val="LTUeberschrAntwortRessort"/>
        <w:spacing w:before="0"/>
      </w:pPr>
      <w:r>
        <w:t>Antwort des Staatsministeriums der Finanzen, für Landesentwicklung und Heimat</w:t>
      </w:r>
    </w:p>
    <w:p w:rsidR="00B95CCD" w:rsidRDefault="00B95CCD" w:rsidP="00B95CCD">
      <w:pPr>
        <w:pStyle w:val="LTAntwortRessortText"/>
      </w:pPr>
      <w:r>
        <w:t xml:space="preserve">Die Durchführung eines </w:t>
      </w:r>
      <w:r w:rsidR="0075359F">
        <w:t>„</w:t>
      </w:r>
      <w:r>
        <w:t>Tages der offenen Tür</w:t>
      </w:r>
      <w:r w:rsidR="0075359F">
        <w:t>“</w:t>
      </w:r>
      <w:r>
        <w:t xml:space="preserve"> ist ein gä</w:t>
      </w:r>
      <w:r w:rsidR="0075359F">
        <w:t>ngiger und vielfach praktizier</w:t>
      </w:r>
      <w:r>
        <w:t>ter Teil der Öffentlichkeitsarbeit. Ein solcher ist auch bei bayerischen Behörden üblich und findet regelmäßig statt. Die Behördenverlagerung ist als eine der fünf Säulen der Heimatstrategie ein zentrales I</w:t>
      </w:r>
      <w:r>
        <w:t>n</w:t>
      </w:r>
      <w:r>
        <w:t xml:space="preserve">strument aktiver Strukturpolitik in Bayern. Sie schafft sichere Arbeitsplätze, dient der Wirtschaft als Vorbild und stärkt die Infrastruktur. Die Umsetzung der Maßnahmen aus den Konzepten </w:t>
      </w:r>
      <w:r w:rsidR="00105D40">
        <w:t>„</w:t>
      </w:r>
      <w:r>
        <w:t>Regional</w:t>
      </w:r>
      <w:r>
        <w:t>i</w:t>
      </w:r>
      <w:r>
        <w:t>sierung von Verwaltung</w:t>
      </w:r>
      <w:r w:rsidR="00105D40">
        <w:t>“</w:t>
      </w:r>
      <w:r>
        <w:t xml:space="preserve"> sowie Strukturkonzept </w:t>
      </w:r>
      <w:r w:rsidR="00105D40">
        <w:t>„</w:t>
      </w:r>
      <w:r>
        <w:t>Chancen im ganzen Land</w:t>
      </w:r>
      <w:r w:rsidR="00105D40">
        <w:t>“</w:t>
      </w:r>
      <w:r>
        <w:t xml:space="preserve"> erfolgt ressortveran</w:t>
      </w:r>
      <w:r>
        <w:t>t</w:t>
      </w:r>
      <w:r>
        <w:t xml:space="preserve">wortlich. Dies gilt auch für die Beteiligung am Aktionstag </w:t>
      </w:r>
      <w:r w:rsidR="00105D40">
        <w:t>„</w:t>
      </w:r>
      <w:r>
        <w:t>Tag der offenen Behördentür</w:t>
      </w:r>
      <w:r w:rsidR="00105D40">
        <w:t>“</w:t>
      </w:r>
      <w:r>
        <w:t>, der im Ra</w:t>
      </w:r>
      <w:r w:rsidR="0075359F">
        <w:t>h</w:t>
      </w:r>
      <w:r>
        <w:t>men verfügbarer Haushaltsmittel (</w:t>
      </w:r>
      <w:r w:rsidR="0075359F">
        <w:t>Tit.</w:t>
      </w:r>
      <w:r w:rsidR="005F4C0D">
        <w:t xml:space="preserve"> 531 </w:t>
      </w:r>
      <w:r>
        <w:t>21 des jeweiligen Haushaltsplans) sowie überwi</w:t>
      </w:r>
      <w:r>
        <w:t>e</w:t>
      </w:r>
      <w:r>
        <w:t>gend mit ber</w:t>
      </w:r>
      <w:r w:rsidR="0075359F">
        <w:t>eits vorhandenen Ressourcen (z. B. Informationsstände) durch</w:t>
      </w:r>
      <w:r>
        <w:t>geführt wurde. Zahlen über Ausgaben aller beteiligter R</w:t>
      </w:r>
      <w:r w:rsidR="0075359F">
        <w:t>essorts liegen der Staatsregie</w:t>
      </w:r>
      <w:r>
        <w:t xml:space="preserve">rung daher nicht vor und konnten in der </w:t>
      </w:r>
      <w:r w:rsidR="0075359F">
        <w:t xml:space="preserve">Kürze der für die Beantwortung einer Anfrage zum Plenum </w:t>
      </w:r>
      <w:r>
        <w:t>zur Verfügun</w:t>
      </w:r>
      <w:r w:rsidR="0075359F">
        <w:t>g stehenden Zeit auch nicht er</w:t>
      </w:r>
      <w:r>
        <w:t>mitt</w:t>
      </w:r>
      <w:r w:rsidR="005F4C0D">
        <w:t>elt werden. Ziel des Aktionstag</w:t>
      </w:r>
      <w:r>
        <w:t xml:space="preserve">s </w:t>
      </w:r>
      <w:r w:rsidR="00105D40">
        <w:t>„</w:t>
      </w:r>
      <w:r>
        <w:t>Tag der offenen Behördentür</w:t>
      </w:r>
      <w:r w:rsidR="00105D40">
        <w:t>“</w:t>
      </w:r>
      <w:r w:rsidR="0075359F">
        <w:t xml:space="preserve"> war die Informa</w:t>
      </w:r>
      <w:r>
        <w:t>tion der Bürgerinnen und Bürger vor Ort über Aufgaben, Umfang und Unterbringung der neuen Behörde sowie die Präsentation der Ausbildu</w:t>
      </w:r>
      <w:r w:rsidR="0075359F">
        <w:t>ngsberufe der öffentlichen Ver</w:t>
      </w:r>
      <w:r>
        <w:t>waltung und der Studiengänge an der Hochschule für den öffentlichen Dienst in Bayern an ausgewählten Verlagerungsprojekten. Letzteres</w:t>
      </w:r>
      <w:r w:rsidR="0075359F">
        <w:t xml:space="preserve"> diente auch der Personalgewin</w:t>
      </w:r>
      <w:r>
        <w:t>nung.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Hubert</w:t>
            </w:r>
            <w:r w:rsidRPr="00B95CCD">
              <w:rPr>
                <w:b/>
              </w:rPr>
              <w:br/>
              <w:t>Aiwanger</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31" w:name="_Toc508873866"/>
            <w:r>
              <w:instrText>Aiwanger, Hubert (FREIE WÄHLER)</w:instrText>
            </w:r>
            <w:r>
              <w:br/>
              <w:instrText>Netzausbau in Bayern</w:instrText>
            </w:r>
            <w:bookmarkEnd w:id="31"/>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FE6B32">
            <w:pPr>
              <w:pStyle w:val="LTAnfrageText"/>
            </w:pPr>
            <w:r>
              <w:t>Angesichts der unhaltbaren Situation, dass der Netzausbau für schnelles I</w:t>
            </w:r>
            <w:r>
              <w:t>n</w:t>
            </w:r>
            <w:r>
              <w:t>ternet in Bayern auch deshalb so schleppend vorangeht, weil die Netzanbieter für den Netzausbau in vielen Gebieten gar keine Angebote mehr abgeben oder nur zu sprunghaft steigenden Kosten und langen Ausbauzeiten von rund vier Jahren, frage ich die Staatsregierung, ob sie mit der Ausbaugeschwindi</w:t>
            </w:r>
            <w:r>
              <w:t>g</w:t>
            </w:r>
            <w:r>
              <w:t>keit zufrieden ist, welche Maßnahmen sie unternimmt in dem Falle, dass sie nicht zufrieden ist und was sie davon hält, mindestens in Gebieten, in denen die Netzanbieter keine oder keine akzeptablen Angebote zum Ausbau abg</w:t>
            </w:r>
            <w:r>
              <w:t>e</w:t>
            </w:r>
            <w:r>
              <w:t>ben, mit einer eigenen öffentlichen Gesellschaft tätig zu werden?</w:t>
            </w:r>
          </w:p>
        </w:tc>
      </w:tr>
    </w:tbl>
    <w:p w:rsidR="00FE6B32" w:rsidRDefault="00FE6B32" w:rsidP="00B95CCD">
      <w:pPr>
        <w:pStyle w:val="LTUeberschrAntwortRessort"/>
      </w:pPr>
    </w:p>
    <w:p w:rsidR="00B95CCD" w:rsidRDefault="00B95CCD" w:rsidP="00FE6B32">
      <w:pPr>
        <w:pStyle w:val="LTUeberschrAntwortRessort"/>
        <w:spacing w:before="0"/>
      </w:pPr>
      <w:r>
        <w:t>Antwort des Staatsministeriums der Finanzen, für Landesentwicklung und Heimat</w:t>
      </w:r>
    </w:p>
    <w:p w:rsidR="00B95CCD" w:rsidRDefault="00B95CCD" w:rsidP="00B95CCD">
      <w:pPr>
        <w:pStyle w:val="LTAntwortRessortText"/>
      </w:pPr>
      <w:r>
        <w:t xml:space="preserve">Von über 2.500 Ausschreibungen sind dem </w:t>
      </w:r>
      <w:r w:rsidR="0075359F">
        <w:t>Staatsministerium der Finanzen, für Landesentwicklung und Heimat (</w:t>
      </w:r>
      <w:r>
        <w:t>StMFLH</w:t>
      </w:r>
      <w:r w:rsidR="0075359F">
        <w:t>)</w:t>
      </w:r>
      <w:r>
        <w:t xml:space="preserve"> aktuell </w:t>
      </w:r>
      <w:r w:rsidR="0075359F">
        <w:t>fünf</w:t>
      </w:r>
      <w:r>
        <w:t xml:space="preserve"> Fälle und damit weniger als 0,2 Prozent bekannt, in denen Ko</w:t>
      </w:r>
      <w:r>
        <w:t>m</w:t>
      </w:r>
      <w:r>
        <w:t xml:space="preserve">munen kein Angebot eines Netzbetreibers auf eine Ausschreibung erhalten haben. Das StMFLH und das Bayerische Breitbandzentrum Amberg unterstützen diese Kommunen und nehmen Kontakt mit den </w:t>
      </w:r>
      <w:r w:rsidR="0075359F">
        <w:rPr>
          <w:rStyle w:val="st"/>
        </w:rPr>
        <w:t xml:space="preserve">Telekommunikationsunternehmen </w:t>
      </w:r>
      <w:r>
        <w:t>auf.</w:t>
      </w:r>
    </w:p>
    <w:p w:rsidR="00B95CCD" w:rsidRDefault="00B95CCD" w:rsidP="00B95CCD">
      <w:pPr>
        <w:pStyle w:val="LTAntwortRessortText"/>
      </w:pPr>
      <w:r>
        <w:lastRenderedPageBreak/>
        <w:t>Der Breitbandausbau in Bayern schreitet massiv voran. Aktuell befinden sich in Bayern über 1.100 Breitband-Förderprojekte im Bau, über 1.000 wurden bereits fertiggestellt. In diesen ist das gefö</w:t>
      </w:r>
      <w:r>
        <w:t>r</w:t>
      </w:r>
      <w:r>
        <w:t>der</w:t>
      </w:r>
      <w:r w:rsidR="0075359F">
        <w:t>te Breitbandnetz bereits in Be</w:t>
      </w:r>
      <w:r>
        <w:t>trieb. Dabei werden rund 40.000 km Glasfaserkabel neu errichtet oder sind bereits verlegt. Die Kommunen vereinbaren den Zeitpunkt der Inbe</w:t>
      </w:r>
      <w:r w:rsidR="0075359F">
        <w:t>trieb</w:t>
      </w:r>
      <w:r>
        <w:t>nahme im Ra</w:t>
      </w:r>
      <w:r>
        <w:t>h</w:t>
      </w:r>
      <w:r>
        <w:t>men des Vergabeverfahrens und vereinbaren in der Regel mit den Netzbetreibern Vertragsstrafen bei nicht fristgerechter Fertigstellung. Den Kommunen stehen somit wirksame Mitt</w:t>
      </w:r>
      <w:r w:rsidR="0075359F">
        <w:t>el zur Verfügung, um einen ver</w:t>
      </w:r>
      <w:r>
        <w:t>tragsgemäßen Ausbau zu realisieren.</w:t>
      </w:r>
    </w:p>
    <w:p w:rsidR="00B95CCD" w:rsidRDefault="00B95CCD" w:rsidP="00B95CCD">
      <w:pPr>
        <w:pStyle w:val="LTAntwortRessortText"/>
      </w:pPr>
      <w:r>
        <w:t>Den dem Bayerischen Breitbandzentrum seit September 2014 vorliegenden Angeboten der Netzb</w:t>
      </w:r>
      <w:r>
        <w:t>e</w:t>
      </w:r>
      <w:r>
        <w:t>treiber ist zu entnehmen, dass seit dieser Zeit die durchschnittlichen Tiefbaukosten um etwa 10</w:t>
      </w:r>
      <w:r w:rsidR="0075359F">
        <w:t> </w:t>
      </w:r>
      <w:r>
        <w:t>Prozent gestiegen sind. Die vom Breitbandzentrum beobachteten Preise in den übrigen Koste</w:t>
      </w:r>
      <w:r>
        <w:t>n</w:t>
      </w:r>
      <w:r>
        <w:t>arten (z.</w:t>
      </w:r>
      <w:r w:rsidR="0075359F">
        <w:t> </w:t>
      </w:r>
      <w:r>
        <w:t>B. Leerrohre und Glasfaserleitungen) haben si</w:t>
      </w:r>
      <w:r w:rsidR="0075359F">
        <w:t>ch über diesen Zeitraum nur ge</w:t>
      </w:r>
      <w:r>
        <w:t>ringfügig g</w:t>
      </w:r>
      <w:r>
        <w:t>e</w:t>
      </w:r>
      <w:r>
        <w:t>ändert.</w:t>
      </w:r>
    </w:p>
    <w:p w:rsidR="00B95CCD" w:rsidRDefault="0075359F" w:rsidP="00B95CCD">
      <w:pPr>
        <w:pStyle w:val="LTAntwortRessortText"/>
      </w:pPr>
      <w:r>
        <w:t>Z</w:t>
      </w:r>
      <w:r w:rsidR="00B95CCD">
        <w:t>ahlreiche Gemeinden planen aktuell im Außenbereich beso</w:t>
      </w:r>
      <w:r>
        <w:t xml:space="preserve">nders abseits gelegene Anwesen bzw. </w:t>
      </w:r>
      <w:r w:rsidR="00B95CCD">
        <w:t>Betriebe zu erschließen. Um Kommune</w:t>
      </w:r>
      <w:r>
        <w:t>n bei diesem be</w:t>
      </w:r>
      <w:r w:rsidR="00B95CCD">
        <w:t>sonderen Aufwand zu unterstützen, hat die Staatsregierung den</w:t>
      </w:r>
      <w:r>
        <w:t xml:space="preserve"> </w:t>
      </w:r>
      <w:r w:rsidR="00105D40">
        <w:t>„</w:t>
      </w:r>
      <w:r w:rsidR="00B95CCD">
        <w:t>Höfebonus</w:t>
      </w:r>
      <w:r w:rsidR="00105D40">
        <w:t>“</w:t>
      </w:r>
      <w:r w:rsidR="00B95CCD">
        <w:t xml:space="preserve"> zum </w:t>
      </w:r>
      <w:r>
        <w:t>01.07.</w:t>
      </w:r>
      <w:r w:rsidR="00B95CCD">
        <w:t xml:space="preserve">2017 eingeführt. Die Kommunen können bei Bedarf nochmals auf Ihren individuellen Förderhöchstbetrag mit Fördersätzen von 80 </w:t>
      </w:r>
      <w:r w:rsidR="00105D40">
        <w:t>Prozent</w:t>
      </w:r>
      <w:r w:rsidR="00B95CCD">
        <w:t xml:space="preserve"> bzw. 90 </w:t>
      </w:r>
      <w:r w:rsidR="00105D40">
        <w:t>Pr</w:t>
      </w:r>
      <w:r w:rsidR="00105D40">
        <w:t>o</w:t>
      </w:r>
      <w:r w:rsidR="00105D40">
        <w:t>zent</w:t>
      </w:r>
      <w:r w:rsidR="00B95CCD">
        <w:t xml:space="preserve"> zugreifen.</w:t>
      </w:r>
    </w:p>
    <w:p w:rsidR="00B95CCD" w:rsidRDefault="00B95CCD" w:rsidP="00B95CCD">
      <w:pPr>
        <w:pStyle w:val="LTAntwortRessortText"/>
      </w:pPr>
      <w:r>
        <w:t>Die Voraussetzung für die Gründung einer Gesellschaft im Eigentum des Freistaat</w:t>
      </w:r>
      <w:r w:rsidR="0075359F">
        <w:t>e</w:t>
      </w:r>
      <w:r>
        <w:t>s Bayern für E</w:t>
      </w:r>
      <w:r>
        <w:t>r</w:t>
      </w:r>
      <w:r>
        <w:t xml:space="preserve">richtung und Betrieb von Breitbandnetzen gemäß Art. 65 </w:t>
      </w:r>
      <w:r w:rsidR="005F4C0D">
        <w:t>Bayerische</w:t>
      </w:r>
      <w:r w:rsidR="0075359F">
        <w:t xml:space="preserve"> Haushaltsordnung (</w:t>
      </w:r>
      <w:r>
        <w:t>BayHO</w:t>
      </w:r>
      <w:r w:rsidR="0075359F">
        <w:t>)</w:t>
      </w:r>
      <w:r>
        <w:t xml:space="preserve"> liegen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Florian</w:t>
            </w:r>
            <w:r w:rsidRPr="00B95CCD">
              <w:rPr>
                <w:b/>
              </w:rPr>
              <w:br/>
              <w:t>Streibl</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32" w:name="_Toc508873867"/>
            <w:r>
              <w:instrText>Streibl, Florian (FREIE WÄHLER)</w:instrText>
            </w:r>
            <w:r>
              <w:br/>
              <w:instrText>Beförderungen</w:instrText>
            </w:r>
            <w:bookmarkEnd w:id="32"/>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viele Beförderungen gab es seit dem 01.01.2011 bis einschließlich 31.12.2017 aus den einzelnen Besoldungsgru</w:t>
            </w:r>
            <w:r>
              <w:t>p</w:t>
            </w:r>
            <w:r>
              <w:t>pen der Besoldungsordnungen A und B (bitte aufgeschlüsselt nach den ei</w:t>
            </w:r>
            <w:r>
              <w:t>n</w:t>
            </w:r>
            <w:r>
              <w:t>zelnen Staatsministerien sowie den nachgeordneten Einrichtungen, dem Alter der jeweils Beförderten sowie der Aufteilung nach Geschlecht)?</w:t>
            </w:r>
          </w:p>
          <w:p w:rsidR="00B95CCD" w:rsidRDefault="00B95CCD" w:rsidP="00B95CCD">
            <w:pPr>
              <w:pStyle w:val="LTAnfrageText"/>
            </w:pPr>
          </w:p>
        </w:tc>
      </w:tr>
    </w:tbl>
    <w:p w:rsidR="00B95CCD" w:rsidRDefault="00B95CCD" w:rsidP="00B95CCD">
      <w:pPr>
        <w:pStyle w:val="LTUeberschrAntwortRessort"/>
      </w:pPr>
      <w:r>
        <w:t>Antwort des Staatsministeriums der Finanzen, für Landesentwicklung und Heimat</w:t>
      </w:r>
    </w:p>
    <w:p w:rsidR="00B95CCD" w:rsidRDefault="00B95CCD" w:rsidP="00B95CCD">
      <w:pPr>
        <w:pStyle w:val="LTAntwortRessortText"/>
      </w:pPr>
      <w:r>
        <w:t>Das Staatsministerium der Finanzen, für Landesentwicklung und Heimat kann innerhalb der geset</w:t>
      </w:r>
      <w:r>
        <w:t>z</w:t>
      </w:r>
      <w:r>
        <w:t>ten Frist</w:t>
      </w:r>
      <w:r w:rsidR="00AB1AA3">
        <w:t xml:space="preserve"> für die Beantwortung einer Anfrage zum Plenum</w:t>
      </w:r>
      <w:r>
        <w:t xml:space="preserve"> nur die Anzahl der Stellenhebungen mi</w:t>
      </w:r>
      <w:r>
        <w:t>t</w:t>
      </w:r>
      <w:r>
        <w:t>teilen. Bei der Aufschlüsselung der Beso</w:t>
      </w:r>
      <w:r w:rsidR="009B3900">
        <w:t>ldungsgruppen wurden aus Daten</w:t>
      </w:r>
      <w:r>
        <w:t>schutzgründen mehrere zusammengefasst. D</w:t>
      </w:r>
      <w:r w:rsidR="00AB1AA3">
        <w:t>ie tatsächlich erfolgten Beför</w:t>
      </w:r>
      <w:r>
        <w:t>derungen, eine Aufschlüsselung nach den nac</w:t>
      </w:r>
      <w:r>
        <w:t>h</w:t>
      </w:r>
      <w:r>
        <w:t>geordneten Behörden, dem Alter und dem Geschlecht sind als Dateien nicht verfügbar.</w:t>
      </w:r>
    </w:p>
    <w:p w:rsidR="00B95CCD" w:rsidRDefault="00B95CCD" w:rsidP="00B95CCD">
      <w:pPr>
        <w:pStyle w:val="LTAntwortRessortText"/>
      </w:pPr>
      <w:r>
        <w:t xml:space="preserve">In dem abgefragten Zeitraum wurden insgesamt </w:t>
      </w:r>
      <w:r w:rsidR="00DA6EDD">
        <w:t>rund</w:t>
      </w:r>
      <w:r>
        <w:t xml:space="preserve"> 33.570 Stellenhebungen vorgenommen. Die Verteilung auf die Ressorts und die Aufschlüsselung nach Besoldungsgruppen ergibt sich aus der Anlage</w:t>
      </w:r>
      <w:r w:rsidR="00DA6EDD">
        <w:t>*</w:t>
      </w:r>
      <w:r>
        <w:t>.</w:t>
      </w:r>
    </w:p>
    <w:p w:rsidR="00B95CCD" w:rsidRPr="00DA6EDD" w:rsidRDefault="00DA6EDD" w:rsidP="00B95CCD">
      <w:pPr>
        <w:pStyle w:val="LTAntwortRessortText"/>
        <w:rPr>
          <w:sz w:val="24"/>
          <w:vertAlign w:val="superscript"/>
        </w:rPr>
      </w:pPr>
      <w:r w:rsidRPr="00DA6EDD">
        <w:rPr>
          <w:sz w:val="24"/>
          <w:vertAlign w:val="superscript"/>
        </w:rPr>
        <w:t xml:space="preserve">*) Von einem Abdruck wurde abgesehen. Die Anlage ist als pdf-Dokument </w:t>
      </w:r>
      <w:hyperlink r:id="rId15" w:history="1">
        <w:r w:rsidRPr="00E21A44">
          <w:rPr>
            <w:rStyle w:val="Hyperlink"/>
            <w:sz w:val="24"/>
            <w:vertAlign w:val="superscript"/>
          </w:rPr>
          <w:t>hier</w:t>
        </w:r>
      </w:hyperlink>
      <w:r w:rsidRPr="00DA6EDD">
        <w:rPr>
          <w:sz w:val="24"/>
          <w:vertAlign w:val="superscript"/>
        </w:rPr>
        <w:t xml:space="preserve"> einsehbar. </w:t>
      </w:r>
    </w:p>
    <w:p w:rsidR="00DA6EDD" w:rsidRDefault="00DA6EDD">
      <w:pPr>
        <w:rPr>
          <w:rFonts w:cs="Arial"/>
          <w:b/>
          <w:sz w:val="22"/>
          <w:szCs w:val="22"/>
        </w:rPr>
      </w:pPr>
      <w:r>
        <w:br w:type="page"/>
      </w:r>
    </w:p>
    <w:p w:rsidR="00B95CCD" w:rsidRDefault="00B95CCD" w:rsidP="00B95CCD">
      <w:pPr>
        <w:pStyle w:val="LTUeberschrRessort"/>
      </w:pPr>
      <w:r>
        <w:lastRenderedPageBreak/>
        <w:t>Geschäftsbereich des Staatsministeriums für Umwelt und Verbraucherschutz</w:t>
      </w:r>
      <w:r>
        <w:fldChar w:fldCharType="begin"/>
      </w:r>
      <w:r>
        <w:instrText xml:space="preserve"> TC </w:instrText>
      </w:r>
      <w:r w:rsidR="00105D40">
        <w:instrText>„</w:instrText>
      </w:r>
      <w:bookmarkStart w:id="33" w:name="_Toc508873868"/>
      <w:r>
        <w:instrText>Geschäftsbereich des Staatsministeriums für Umwelt und Verbraucherschutz</w:instrText>
      </w:r>
      <w:bookmarkEnd w:id="33"/>
      <w:r w:rsidR="00105D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Prof. (Univ. L</w:t>
            </w:r>
            <w:r w:rsidRPr="00B95CCD">
              <w:rPr>
                <w:b/>
              </w:rPr>
              <w:t>i</w:t>
            </w:r>
            <w:r w:rsidRPr="00B95CCD">
              <w:rPr>
                <w:b/>
              </w:rPr>
              <w:t>ma) Dr. Peter</w:t>
            </w:r>
            <w:r w:rsidRPr="00B95CCD">
              <w:rPr>
                <w:b/>
              </w:rPr>
              <w:br/>
              <w:t>Bauer</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34" w:name="_Toc508873869"/>
            <w:r>
              <w:instrText>Prof. (Univ. Lima) Dr. Bauer, Peter (FREIE WÄHLER)</w:instrText>
            </w:r>
            <w:r>
              <w:br/>
              <w:instrText>Mülldeponie Cronheim</w:instrText>
            </w:r>
            <w:bookmarkEnd w:id="34"/>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darf auf der Mülldeponie Cronheim, Lkr. We</w:t>
            </w:r>
            <w:r>
              <w:t>i</w:t>
            </w:r>
            <w:r>
              <w:t>ßenburg-Gunzenhausen, jetzt auch Gewerbemüll bzw. Bodenaushub z.</w:t>
            </w:r>
            <w:r w:rsidR="00CB58F7">
              <w:t> </w:t>
            </w:r>
            <w:r>
              <w:t>B. von Stuttgart 21 eingebracht werden, ist sichergestellt, dass die Belastung des Bodenaushubs kontrolliert bzw. dokumentiert wird und welche genauen Veru</w:t>
            </w:r>
            <w:r>
              <w:t>n</w:t>
            </w:r>
            <w:r>
              <w:t>reinigungen des Grundwassers sind bereits heute bekannt?</w:t>
            </w:r>
          </w:p>
          <w:p w:rsidR="00B95CCD" w:rsidRDefault="00B95CCD" w:rsidP="00B95CCD">
            <w:pPr>
              <w:pStyle w:val="LTAnfrageText"/>
            </w:pPr>
          </w:p>
        </w:tc>
      </w:tr>
    </w:tbl>
    <w:p w:rsidR="00B95CCD" w:rsidRDefault="00B95CCD" w:rsidP="00B95CCD">
      <w:pPr>
        <w:pStyle w:val="LTUeberschrAntwortRessort"/>
      </w:pPr>
      <w:r>
        <w:t>Antwort des Staatsministeriums für Umwelt und Verbraucherschutz</w:t>
      </w:r>
    </w:p>
    <w:p w:rsidR="00B95CCD" w:rsidRDefault="00B95CCD" w:rsidP="00B95CCD">
      <w:pPr>
        <w:pStyle w:val="LTAntwortRessortText"/>
      </w:pPr>
      <w:r>
        <w:t>Grundsätzlich ist eine Beseitigung von Abfällen aufgrund der in § 6 Abs. 1 Kreislaufwirtschaftsg</w:t>
      </w:r>
      <w:r>
        <w:t>e</w:t>
      </w:r>
      <w:r>
        <w:t>setz definierten Hierarchie nur zulässig, sofern die jeweiligen Abfälle nicht verwertet werden können bzw. eine Verwertung ausnahmsweise technisch unmöglich oder wirtschaftlich unzumutbar wäre. Sollte eine Verwertung der Abfälle nicht in Frage kommen, ist eine Ablagerung von Abfällen be</w:t>
      </w:r>
      <w:r>
        <w:t>i</w:t>
      </w:r>
      <w:r>
        <w:t>spielsweise auf der Deponie Cronheim (Deponieklasse II gemäß Deponieverordnung) zulässig, s</w:t>
      </w:r>
      <w:r>
        <w:t>o</w:t>
      </w:r>
      <w:r>
        <w:t>fern die jeweiligen Abfälle die Ablagerungsvoraussetzungen nach der Deponieverordnung erfüllen, also insbesondere die in Anhang 3 Nr. 2 für Deponien der Klasse II aufgeführten Zuordnungswerte unterschreiten. Für die Deponie Cronheim wurde in Nr. 1.2.21</w:t>
      </w:r>
      <w:r w:rsidR="005F4C0D">
        <w:t>.3 des Plangenehmigungsbescheid</w:t>
      </w:r>
      <w:r>
        <w:t>s der Regierung von Mittelfranken vom 09.02.2018 die Herkunft der abzulagernden Abfälle auf den Regierungsbezirk Mittelfranken, die</w:t>
      </w:r>
      <w:r w:rsidR="00CB58F7">
        <w:t xml:space="preserve"> Landkreise Eichstätt, Neumarkt i. d. </w:t>
      </w:r>
      <w:r>
        <w:t>Opf., Forchheim, Neuburg-Schrobenhausen sowie die kreisfreie Stadt Ingolstadt begrenzt. Sofern diese Regelung bestand</w:t>
      </w:r>
      <w:r>
        <w:t>s</w:t>
      </w:r>
      <w:r>
        <w:t xml:space="preserve">kräftig werden sollte (dies ist noch nicht der Fall), hätte </w:t>
      </w:r>
      <w:r w:rsidR="00CB58F7">
        <w:t>dies zur Folge, dass Abfälle z. </w:t>
      </w:r>
      <w:r>
        <w:t xml:space="preserve">B. aus dem Raum Stuttgart </w:t>
      </w:r>
      <w:r w:rsidR="00CB58F7">
        <w:t>–</w:t>
      </w:r>
      <w:r>
        <w:t xml:space="preserve"> unabhängig von ihrer sonstigen Eignung </w:t>
      </w:r>
      <w:r w:rsidR="00CB58F7">
        <w:t>–</w:t>
      </w:r>
      <w:r>
        <w:t xml:space="preserve"> nicht auf der Deponie Cronheim abg</w:t>
      </w:r>
      <w:r>
        <w:t>e</w:t>
      </w:r>
      <w:r>
        <w:t>lagert werden dürften.</w:t>
      </w:r>
    </w:p>
    <w:p w:rsidR="00B95CCD" w:rsidRDefault="00B95CCD" w:rsidP="00B95CCD">
      <w:pPr>
        <w:pStyle w:val="LTAntwortRessortText"/>
      </w:pPr>
      <w:r>
        <w:t>Deponien der De</w:t>
      </w:r>
      <w:r w:rsidR="00CB58F7">
        <w:t>ponieklasse II werden vom</w:t>
      </w:r>
      <w:r>
        <w:t xml:space="preserve"> Landesamt für Umwelt regelmäßig und anlassbezogen im Rahmen seiner Funktion als Überwachungsbehörde kontrolliert. Diese Kontrolle umfasst sowohl die deponiebezogenen Anforderungen, als auch die Einhaltung der ablagerungsspezifischen Anfo</w:t>
      </w:r>
      <w:r>
        <w:t>r</w:t>
      </w:r>
      <w:r>
        <w:t>derungen. Gleichzeitig obliegen gemäß Deponieverordnung dem Deponiebetreiber regelmäßig durchzuführende Kontrollen, deren Ergebnisse ebenfalls der Überwachung durch das Landesamt für Umwelt unterliegen. Die von ihm durchgeführten Kontrollen sind vom Deponiebetreiber zu d</w:t>
      </w:r>
      <w:r>
        <w:t>o</w:t>
      </w:r>
      <w:r>
        <w:t>kumentieren.</w:t>
      </w:r>
    </w:p>
    <w:p w:rsidR="00B95CCD" w:rsidRDefault="00B95CCD" w:rsidP="00B95CCD">
      <w:pPr>
        <w:pStyle w:val="LTAntwortRessortText"/>
      </w:pPr>
      <w:r>
        <w:t>Im oberflächennahen Grundwasserstockwerk sind im Abstrom der Deponie deponiespezifische o</w:t>
      </w:r>
      <w:r>
        <w:t>r</w:t>
      </w:r>
      <w:r>
        <w:t>ganische Stoffe (DOC, Permanganat-Index) lokal nachweisbar. In den weiteren Abstr</w:t>
      </w:r>
      <w:r w:rsidR="00CB58F7">
        <w:t>ommessste</w:t>
      </w:r>
      <w:r w:rsidR="00CB58F7">
        <w:t>l</w:t>
      </w:r>
      <w:r>
        <w:t>len findet durch Verdünnung und organischen Abbau eine deutliche Reduzierung statt. Das tiefere Grundwasserstockwerk des Sandsteinkeupers, welches durch mächtige, gering durchlässige To</w:t>
      </w:r>
      <w:r>
        <w:t>n</w:t>
      </w:r>
      <w:r>
        <w:t>steinschichten abgetrennt ist, zeigt keinen Einfluss der Deponie.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Nikolaus</w:t>
            </w:r>
            <w:r w:rsidRPr="00B95CCD">
              <w:rPr>
                <w:b/>
              </w:rPr>
              <w:br/>
              <w:t>Kraus</w:t>
            </w:r>
            <w:r w:rsidRPr="00B95CCD">
              <w:rPr>
                <w:b/>
              </w:rPr>
              <w:br/>
            </w:r>
            <w:r w:rsidRPr="00B95CCD">
              <w:t>(FREIE WÄ</w:t>
            </w:r>
            <w:r w:rsidRPr="00B95CCD">
              <w:t>H</w:t>
            </w:r>
            <w:r w:rsidRPr="00B95CCD">
              <w:t>LER)</w:t>
            </w:r>
            <w:r>
              <w:fldChar w:fldCharType="begin"/>
            </w:r>
            <w:r>
              <w:instrText xml:space="preserve"> TC </w:instrText>
            </w:r>
            <w:r w:rsidR="00105D40">
              <w:instrText>„</w:instrText>
            </w:r>
            <w:bookmarkStart w:id="35" w:name="_Toc508873870"/>
            <w:r>
              <w:instrText>Kraus, Nikolaus (FREIE WÄHLER)</w:instrText>
            </w:r>
            <w:r>
              <w:br/>
              <w:instrText>Drittes Wolfspaar in Bayern</w:instrText>
            </w:r>
            <w:bookmarkEnd w:id="35"/>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welche kurz- bzw. langfristigen Maßnahmen plant sie bezüglich des dritten in Bayern nachgewiesenen Wolfspaars?</w:t>
            </w:r>
          </w:p>
          <w:p w:rsidR="00B95CCD" w:rsidRDefault="00B95CCD" w:rsidP="00B95CCD">
            <w:pPr>
              <w:pStyle w:val="LTAnfrageText"/>
            </w:pPr>
          </w:p>
        </w:tc>
      </w:tr>
    </w:tbl>
    <w:p w:rsidR="00B95CCD" w:rsidRDefault="00B95CCD" w:rsidP="00B95CCD">
      <w:pPr>
        <w:pStyle w:val="LTUeberschrAntwortRessort"/>
      </w:pPr>
      <w:r>
        <w:lastRenderedPageBreak/>
        <w:t>Antwort des Staatsministeriums für Umwelt und Verbraucherschutz</w:t>
      </w:r>
    </w:p>
    <w:p w:rsidR="00B95CCD" w:rsidRDefault="00B95CCD" w:rsidP="00B95CCD">
      <w:pPr>
        <w:pStyle w:val="LTAntwortRessortText"/>
      </w:pPr>
      <w:r>
        <w:t>Die Staatsregierung beobachtet die weitere Entwicklung der Wolfspopulation sehr genau. Über die jüngsten Wolfsbeobachtungen im Veldensteiner Forst hat die Staatsregierung die Öffentlichkeit wie regelmäßig über die Medien informiert sowie gesondert auch die regionalen Nutztierhalter.</w:t>
      </w:r>
    </w:p>
    <w:p w:rsidR="00B95CCD" w:rsidRDefault="00B95CCD" w:rsidP="00B95CCD">
      <w:pPr>
        <w:pStyle w:val="LTAntwortRessortText"/>
      </w:pPr>
      <w:r>
        <w:t xml:space="preserve">Bayern hat im </w:t>
      </w:r>
      <w:r w:rsidR="00105D40">
        <w:t>„</w:t>
      </w:r>
      <w:r>
        <w:t>Managementplan Wölfe in Bayern Stufe 2</w:t>
      </w:r>
      <w:r w:rsidR="00105D40">
        <w:t>“</w:t>
      </w:r>
      <w:r>
        <w:t xml:space="preserve"> bereits ausführlich dargelegt, welche Maßnahmen im Umgang mit Wölfen veranlasst sind. Betroffene Nutztierhalter können sich bei Fr</w:t>
      </w:r>
      <w:r>
        <w:t>a</w:t>
      </w:r>
      <w:r>
        <w:t xml:space="preserve">gen jederzeit an das Landesamt für Umwelt wenden. Mit Hilfe des bestehenden Präventionsfonds ist es außerdem möglich, Unterstützungsleistungen wie beispielsweise eine Beratung oder Ausleihe von Elektrozäunen zu erhalten. Aktuell wird der </w:t>
      </w:r>
      <w:r w:rsidR="00105D40">
        <w:t>„</w:t>
      </w:r>
      <w:r>
        <w:t>Managementplan Wölfe in Bayern Stufe 3</w:t>
      </w:r>
      <w:r w:rsidR="00105D40">
        <w:t>“</w:t>
      </w:r>
      <w:r>
        <w:t xml:space="preserve"> erstellt, der der aktuellen Situation in Bayern Rechnung trägt.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Dr. Christian</w:t>
            </w:r>
            <w:r w:rsidRPr="00B95CCD">
              <w:rPr>
                <w:b/>
              </w:rPr>
              <w:br/>
              <w:t>Magerl</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36" w:name="_Toc508873871"/>
            <w:r>
              <w:instrText>Dr. Magerl, Christian (BÜNDNIS 90/DIE GRÜNEN)</w:instrText>
            </w:r>
            <w:r>
              <w:br/>
              <w:instrText>Naturschutzwacht in Bayern</w:instrText>
            </w:r>
            <w:bookmarkEnd w:id="36"/>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ist der aktuelle Stand bei der Novellierung der Naturschutzwacht-Verordnung (insbesondere in Bezug auf die Themenb</w:t>
            </w:r>
            <w:r>
              <w:t>e</w:t>
            </w:r>
            <w:r>
              <w:t xml:space="preserve">reiche betreffend </w:t>
            </w:r>
            <w:r w:rsidR="00105D40">
              <w:t>„</w:t>
            </w:r>
            <w:r>
              <w:t>Fahrtkosten</w:t>
            </w:r>
            <w:r w:rsidR="00105D40">
              <w:t>“</w:t>
            </w:r>
            <w:r>
              <w:t xml:space="preserve"> siehe Frage 5 und betreffend den </w:t>
            </w:r>
            <w:r w:rsidR="00105D40">
              <w:t>„</w:t>
            </w:r>
            <w:r>
              <w:t>neuen Dienstausweis</w:t>
            </w:r>
            <w:r w:rsidR="00105D40">
              <w:t>“</w:t>
            </w:r>
            <w:r>
              <w:t xml:space="preserve"> siehe Frage 7 auf der Drs. 17/18062), was sind die Ergebnisse der Gespräche mit der Arbeitsgemeinschaft der Angehörigen der Natu</w:t>
            </w:r>
            <w:r>
              <w:t>r</w:t>
            </w:r>
            <w:r>
              <w:t>schutzwacht in Bayern e. V. (AGNA) bezüglich weiterer Möglichkeiten zur B</w:t>
            </w:r>
            <w:r>
              <w:t>e</w:t>
            </w:r>
            <w:r>
              <w:t>stellung von kostenfreier bzw. kostengünstiger Dienstkleidung und hat die Staatsregierung Kenntnis darüber, inwieweit die Bitte der Staatsregierung an die Landratsämter, die Aufwandsentschädigung mit den benachbarten Behö</w:t>
            </w:r>
            <w:r>
              <w:t>r</w:t>
            </w:r>
            <w:r>
              <w:t>den abzustimmen und sich bei der Bemessung der Aufwandsentschädigung möglichst an der in der Bekanntmachung festgelegten Obergrenze zu orienti</w:t>
            </w:r>
            <w:r>
              <w:t>e</w:t>
            </w:r>
            <w:r>
              <w:t>ren, zu Veränderung bei der Aufwandsentschädigung geführt hat?</w:t>
            </w:r>
          </w:p>
          <w:p w:rsidR="00B95CCD" w:rsidRDefault="00B95CCD" w:rsidP="00B95CCD">
            <w:pPr>
              <w:pStyle w:val="LTAnfrageText"/>
            </w:pPr>
          </w:p>
        </w:tc>
      </w:tr>
    </w:tbl>
    <w:p w:rsidR="00B95CCD" w:rsidRDefault="00B95CCD" w:rsidP="00B95CCD">
      <w:pPr>
        <w:pStyle w:val="LTUeberschrAntwortRessort"/>
      </w:pPr>
      <w:r>
        <w:t>Antwort des Staatsministeriums für Umwelt und Verbraucherschutz</w:t>
      </w:r>
    </w:p>
    <w:p w:rsidR="00B95CCD" w:rsidRDefault="00B95CCD" w:rsidP="00B95CCD">
      <w:pPr>
        <w:pStyle w:val="LTAntwortRessortText"/>
      </w:pPr>
      <w:r>
        <w:t>Im Rahmen der Änderung der Verordnung über die Naturschutzwacht und der zugehörigen B</w:t>
      </w:r>
      <w:r>
        <w:t>e</w:t>
      </w:r>
      <w:r>
        <w:t>kanntmachung sind die internen Vorabstimmungen und eine Vorab-Beteiligung der betroffenen Ressorts sowie der Arbeitsgemeinschaft der Angehörigen der Naturschutzwacht</w:t>
      </w:r>
      <w:r w:rsidR="005F4C0D">
        <w:t xml:space="preserve"> in Bayern</w:t>
      </w:r>
      <w:r>
        <w:t xml:space="preserve"> e.</w:t>
      </w:r>
      <w:r w:rsidR="005F4C0D">
        <w:t> </w:t>
      </w:r>
      <w:r>
        <w:t>V. (AGNA), der Arbeitsgemeinschaft der amtlichen Fachreferenten für Naturschutz und Landschaft</w:t>
      </w:r>
      <w:r>
        <w:t>s</w:t>
      </w:r>
      <w:r>
        <w:t>pflege in Bayern e.V.</w:t>
      </w:r>
      <w:r w:rsidR="005F4C0D">
        <w:t xml:space="preserve"> (AgN)</w:t>
      </w:r>
      <w:r>
        <w:t>, der Akademie für Naturschutz und Landschaftspflege und des Ober</w:t>
      </w:r>
      <w:r>
        <w:t>s</w:t>
      </w:r>
      <w:r>
        <w:t xml:space="preserve">ten Naturschutzbeirats abgeschlossen. Die förmliche Ressortanhörung wird voraussichtlich im April beginnen. Der Entwurf der Bekanntmachung sieht eine Regelung zu Fahrtkosten und einen neuen zeitgemäßen Dienstausweis vor. Das </w:t>
      </w:r>
      <w:r w:rsidR="00C80BDC">
        <w:t xml:space="preserve">Staatsministerium für Umwelt und Verbraucherschutz </w:t>
      </w:r>
      <w:r>
        <w:t>wird sich für beide Neuerungen einsetzen, dem Ergebnis der Ressortanhörung kann jedoch nicht vorg</w:t>
      </w:r>
      <w:r>
        <w:t>e</w:t>
      </w:r>
      <w:r>
        <w:t>griffen werden.</w:t>
      </w:r>
    </w:p>
    <w:p w:rsidR="00B95CCD" w:rsidRDefault="00C80BDC" w:rsidP="00B95CCD">
      <w:pPr>
        <w:pStyle w:val="LTAntwortRessortText"/>
      </w:pPr>
      <w:r>
        <w:t>Die</w:t>
      </w:r>
      <w:r>
        <w:tab/>
        <w:t xml:space="preserve">AGNA hat in Eigeninitiative von der Polizei nicht </w:t>
      </w:r>
      <w:r w:rsidR="00B95CCD">
        <w:t>me</w:t>
      </w:r>
      <w:r>
        <w:t xml:space="preserve">hr benötigte Parkas </w:t>
      </w:r>
      <w:r w:rsidR="00B95CCD">
        <w:t>an Naturschutzwächt</w:t>
      </w:r>
      <w:r w:rsidR="00B95CCD">
        <w:t>e</w:t>
      </w:r>
      <w:r w:rsidR="00B95CCD">
        <w:t>r</w:t>
      </w:r>
      <w:r>
        <w:t>innen und Naturschutzwächter</w:t>
      </w:r>
      <w:r w:rsidR="00B95CCD">
        <w:t xml:space="preserve"> verteilt.</w:t>
      </w:r>
    </w:p>
    <w:p w:rsidR="00B95CCD" w:rsidRDefault="00B95CCD" w:rsidP="00B95CCD">
      <w:pPr>
        <w:pStyle w:val="LTAntwortRessortText"/>
      </w:pPr>
      <w:r>
        <w:t>Weitere Informationen liegen der Staatsregierung nicht vor, da die konkrete Ausgestaltung der Au</w:t>
      </w:r>
      <w:r>
        <w:t>f</w:t>
      </w:r>
      <w:r>
        <w:t>wandsentschädigung und die Abstimmung hierüber in alleiniger Zuständigkeit der Landkreise li</w:t>
      </w:r>
      <w:r>
        <w:t>e</w:t>
      </w:r>
      <w:r>
        <w:t>gen.</w:t>
      </w:r>
    </w:p>
    <w:p w:rsidR="00C80BDC" w:rsidRDefault="00C80BDC">
      <w:pPr>
        <w:rPr>
          <w:rFonts w:cs="Arial"/>
          <w:b/>
          <w:sz w:val="22"/>
          <w:szCs w:val="22"/>
        </w:rPr>
      </w:pPr>
      <w:r>
        <w:br w:type="page"/>
      </w:r>
    </w:p>
    <w:p w:rsidR="00B95CCD" w:rsidRDefault="00B95CCD" w:rsidP="00B95CCD">
      <w:pPr>
        <w:pStyle w:val="LTUeberschrRessort"/>
      </w:pPr>
      <w:r>
        <w:lastRenderedPageBreak/>
        <w:t>Geschäftsbereich des Staatsministeriums für Ernährung, Landwirtschaft und Forsten</w:t>
      </w:r>
      <w:r>
        <w:fldChar w:fldCharType="begin"/>
      </w:r>
      <w:r>
        <w:instrText xml:space="preserve"> TC </w:instrText>
      </w:r>
      <w:r w:rsidR="00105D40">
        <w:instrText>„</w:instrText>
      </w:r>
      <w:bookmarkStart w:id="37" w:name="_Toc508873872"/>
      <w:r>
        <w:instrText>Geschäftsbereich des Staatsministeriums für Ernährung, Landwirtschaft und Forsten</w:instrText>
      </w:r>
      <w:bookmarkEnd w:id="37"/>
      <w:r w:rsidR="00105D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w:t>
            </w:r>
            <w:r w:rsidRPr="00B95CCD">
              <w:br/>
            </w:r>
            <w:r w:rsidRPr="00B95CCD">
              <w:rPr>
                <w:b/>
              </w:rPr>
              <w:t>Gisela</w:t>
            </w:r>
            <w:r w:rsidRPr="00B95CCD">
              <w:rPr>
                <w:b/>
              </w:rPr>
              <w:br/>
              <w:t>Sengl</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38" w:name="_Toc508873873"/>
            <w:r>
              <w:instrText>Sengl, Gisela (BÜNDNIS 90/DIE GRÜNEN)</w:instrText>
            </w:r>
            <w:r>
              <w:br/>
              <w:instrText>Gelbschalen zur Ermittlung von Schädlingsbefall</w:instrText>
            </w:r>
            <w:bookmarkEnd w:id="38"/>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 xml:space="preserve">Ich frage die Staatsregierung, wird im Rahmen von Cross-Compliance-Kontrollen im Ackerbau das Vorhandensein von Gelbschalen zur Ermittlung des Schädlingsbefalls kontrolliert, da ja zur </w:t>
            </w:r>
            <w:r w:rsidR="00105D40">
              <w:t>„</w:t>
            </w:r>
            <w:r>
              <w:t>guten fachlichen Praxis</w:t>
            </w:r>
            <w:r w:rsidR="00105D40">
              <w:t>“</w:t>
            </w:r>
            <w:r>
              <w:t xml:space="preserve"> gemäß Pflanzenschutzgesetz vor der Bekämpfung von Schädlingen festzustellen ist, wie hoch der Befall ist und ob dieser bekämpfungswürdig ist, wenn ja, ob ein Fehlen beanstandet wird und welche Konsequenzen sich daraus ergeben?</w:t>
            </w:r>
          </w:p>
          <w:p w:rsidR="00B95CCD" w:rsidRDefault="00B95CCD" w:rsidP="00B95CCD">
            <w:pPr>
              <w:pStyle w:val="LTAnfrageText"/>
            </w:pPr>
          </w:p>
        </w:tc>
      </w:tr>
    </w:tbl>
    <w:p w:rsidR="00B95CCD" w:rsidRDefault="00B95CCD" w:rsidP="00B95CCD">
      <w:pPr>
        <w:pStyle w:val="LTUeberschrAntwortRessort"/>
      </w:pPr>
      <w:r>
        <w:t>Antwort des Staatsministeriums für Ernährung, Landwirtschaft und Forsten</w:t>
      </w:r>
    </w:p>
    <w:p w:rsidR="00B95CCD" w:rsidRDefault="00B95CCD" w:rsidP="00B95CCD">
      <w:pPr>
        <w:pStyle w:val="LTAntwortRessortText"/>
      </w:pPr>
      <w:r>
        <w:t>Der Einsatz von Gelbschalen zur Befa</w:t>
      </w:r>
      <w:r w:rsidR="00563BAE">
        <w:t>llsprognose und Befallseinschät</w:t>
      </w:r>
      <w:r>
        <w:t>zung bei Rapsschädlingen und die Nutz</w:t>
      </w:r>
      <w:r w:rsidR="00563BAE">
        <w:t>ung von Schwellenwerten zur Ent</w:t>
      </w:r>
      <w:r>
        <w:t>scheidungsfindung beim Einsatz von Pflanze</w:t>
      </w:r>
      <w:r>
        <w:t>n</w:t>
      </w:r>
      <w:r>
        <w:t>schutzmitteln fällt unter die im Anhang III der Richtlinie 2009/128/EG über einen Aktionsrahmen der Gemeinschaft für die nachhaltige Verwendung von Pestiziden genannten Grundsätze des integrie</w:t>
      </w:r>
      <w:r>
        <w:t>r</w:t>
      </w:r>
      <w:r>
        <w:t xml:space="preserve">ten Pflanzenschutzes. </w:t>
      </w:r>
    </w:p>
    <w:p w:rsidR="00B95CCD" w:rsidRDefault="00B95CCD" w:rsidP="00B95CCD">
      <w:pPr>
        <w:pStyle w:val="LTAntwortRessortText"/>
      </w:pPr>
      <w:r>
        <w:t xml:space="preserve">Diese Grundsätze werden auch im § </w:t>
      </w:r>
      <w:r w:rsidR="00563BAE">
        <w:t xml:space="preserve">3 </w:t>
      </w:r>
      <w:r w:rsidR="005F4C0D">
        <w:t>Pflanzenschutzgesetz</w:t>
      </w:r>
      <w:r w:rsidR="00563BAE">
        <w:t xml:space="preserve"> er</w:t>
      </w:r>
      <w:r>
        <w:t xml:space="preserve">wähnt. Nach Anhang II der VO (EU) Nr. 1306/2013 sind jedoch nur die Sätze 1 und 2 des </w:t>
      </w:r>
      <w:r w:rsidR="00563BAE">
        <w:t>Art.</w:t>
      </w:r>
      <w:r>
        <w:t xml:space="preserve"> 55 der Verordnung (EG) Nr.</w:t>
      </w:r>
      <w:r w:rsidR="00563BAE">
        <w:t> </w:t>
      </w:r>
      <w:r>
        <w:t>1107/2009 über das Inverkehrbringen von Pflanzenschutzmitteln und zur Aufhebung der Richtlinien 79/117/EWG und 91/414/EWG des Rates Cross Compliance (CC)-relevant.</w:t>
      </w:r>
    </w:p>
    <w:p w:rsidR="00B95CCD" w:rsidRDefault="00B95CCD" w:rsidP="00B95CCD">
      <w:pPr>
        <w:pStyle w:val="LTAntwortRessortText"/>
      </w:pPr>
      <w:r>
        <w:t>Demnach müssen Pflanzenschutzmittel sachgerecht angewendet werden. Dies umfasst die Befo</w:t>
      </w:r>
      <w:r>
        <w:t>l</w:t>
      </w:r>
      <w:r>
        <w:t>gung der guten P</w:t>
      </w:r>
      <w:r w:rsidR="00563BAE">
        <w:t>flanzenschutzpraxis und die Ein</w:t>
      </w:r>
      <w:r>
        <w:t>haltung der auf dem jeweiligen Etikett angege</w:t>
      </w:r>
      <w:r w:rsidR="00563BAE">
        <w:t>b</w:t>
      </w:r>
      <w:r w:rsidR="00563BAE">
        <w:t>e</w:t>
      </w:r>
      <w:r w:rsidR="00563BAE">
        <w:t>nen Bedingungen. Das heißt</w:t>
      </w:r>
      <w:r>
        <w:t xml:space="preserve">, es müssen die jeweiligen Vorschriften </w:t>
      </w:r>
      <w:r w:rsidR="001C0D76">
        <w:t>für die Anwendung der betre</w:t>
      </w:r>
      <w:r w:rsidR="001C0D76">
        <w:t>f</w:t>
      </w:r>
      <w:r w:rsidR="001C0D76">
        <w:t>fen</w:t>
      </w:r>
      <w:r>
        <w:t xml:space="preserve">den Mittel und Abstandsauflagen eingehalten und Aufzeichnungspflichten erfüllt werden. </w:t>
      </w:r>
    </w:p>
    <w:p w:rsidR="00B95CCD" w:rsidRDefault="00B95CCD" w:rsidP="00B95CCD">
      <w:pPr>
        <w:pStyle w:val="LTAntwortRessortText"/>
      </w:pPr>
      <w:r>
        <w:t>Vorschriften zum integrierten Pflanzenschutz sind derzeit nicht Teil der CC-Regelungen.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Reinhold</w:t>
            </w:r>
            <w:r w:rsidRPr="00B95CCD">
              <w:rPr>
                <w:b/>
              </w:rPr>
              <w:br/>
              <w:t>Strobl</w:t>
            </w:r>
            <w:r w:rsidRPr="00B95CCD">
              <w:rPr>
                <w:b/>
              </w:rPr>
              <w:br/>
            </w:r>
            <w:r w:rsidRPr="00B95CCD">
              <w:t>(SPD)</w:t>
            </w:r>
            <w:r>
              <w:fldChar w:fldCharType="begin"/>
            </w:r>
            <w:r>
              <w:instrText xml:space="preserve"> TC </w:instrText>
            </w:r>
            <w:r w:rsidR="00105D40">
              <w:instrText>„</w:instrText>
            </w:r>
            <w:bookmarkStart w:id="39" w:name="_Toc508873874"/>
            <w:r>
              <w:instrText>Strobl, Reinhold (SPD)</w:instrText>
            </w:r>
            <w:r>
              <w:br/>
              <w:instrText>Wasserberater</w:instrText>
            </w:r>
            <w:bookmarkEnd w:id="39"/>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FE6B32">
            <w:pPr>
              <w:pStyle w:val="LTAnfrageText"/>
            </w:pPr>
            <w:r>
              <w:t>Bezugnehmend auf die Antwort des Staatsministeriums für Ernährung, Lan</w:t>
            </w:r>
            <w:r>
              <w:t>d</w:t>
            </w:r>
            <w:r>
              <w:t xml:space="preserve">wirtschaft und Forsten auf die Schriftliche Anfrage der Abgeordneten Ruth Müller betreffend </w:t>
            </w:r>
            <w:r w:rsidR="00105D40">
              <w:t>„</w:t>
            </w:r>
            <w:r>
              <w:t>Fachberater Erosionsschutz und Wasserrückhaltung an den Ämtern für Ernährung, Landwirtschaft und Forsten in Bayern</w:t>
            </w:r>
            <w:r w:rsidR="00105D40">
              <w:t>“</w:t>
            </w:r>
            <w:r>
              <w:t xml:space="preserve"> (Drs. 17/16663) mit den Aussagen: </w:t>
            </w:r>
            <w:r w:rsidR="00105D40">
              <w:t>„</w:t>
            </w:r>
            <w:r>
              <w:t xml:space="preserve">...Im Zeitraum 2010 </w:t>
            </w:r>
            <w:r w:rsidR="001C0D76">
              <w:t>–</w:t>
            </w:r>
            <w:r>
              <w:t xml:space="preserve"> 2016 waren bayernweit im Durc</w:t>
            </w:r>
            <w:r>
              <w:t>h</w:t>
            </w:r>
            <w:r>
              <w:t>schnitt insgesamt 18 Wasserberater tätig...</w:t>
            </w:r>
            <w:r w:rsidR="00105D40">
              <w:t>“</w:t>
            </w:r>
            <w:r>
              <w:t xml:space="preserve">, </w:t>
            </w:r>
            <w:r w:rsidR="00105D40">
              <w:t>„</w:t>
            </w:r>
            <w:r>
              <w:t>Im Laufe des Jahres 2017 ist eine Verdoppelung der Anzahl der Wasserberater vorgesehen...</w:t>
            </w:r>
            <w:r w:rsidR="00105D40">
              <w:t>“</w:t>
            </w:r>
            <w:r>
              <w:t xml:space="preserve">. </w:t>
            </w:r>
            <w:r w:rsidR="00105D40">
              <w:t>„</w:t>
            </w:r>
            <w:r>
              <w:t>Das Staatsministerium für Ernährung, Landwirtschaft und Forsten hat deshalb im Rahmen des Wasserpaktes ein Maßnahmenpaket geschnürt, das u. a. auch eine Verdoppelung der Wasserberater ab dem Jahr 2017 umfasst...</w:t>
            </w:r>
            <w:r w:rsidR="00105D40">
              <w:t>“</w:t>
            </w:r>
            <w:r>
              <w:t xml:space="preserve"> und a</w:t>
            </w:r>
            <w:r>
              <w:t>n</w:t>
            </w:r>
            <w:r>
              <w:t>gesichts der Antwort des Staatsministeriums für Ernährung, Landwirtschaft und Forsten auf die Anfrage zum Plenum (Drs. 17/19092, S. 50) der Abgeor</w:t>
            </w:r>
            <w:r>
              <w:t>d</w:t>
            </w:r>
            <w:r>
              <w:t>neten Johanna Werner-Muggendorfer vom 16.11.2017, wonach zusätzlich 26</w:t>
            </w:r>
            <w:r w:rsidR="001C0D76">
              <w:t> </w:t>
            </w:r>
            <w:r>
              <w:t>Voll</w:t>
            </w:r>
            <w:r w:rsidR="001C0D76">
              <w:t>-A</w:t>
            </w:r>
            <w:r>
              <w:t>rbeitskräfte Wasserberater in den letzten Jahren eingestellt wurden, frage ich die Staatsregierung, wie viele Wasserberater an den Ämtern für E</w:t>
            </w:r>
            <w:r>
              <w:t>r</w:t>
            </w:r>
            <w:r>
              <w:t>nähr</w:t>
            </w:r>
            <w:r w:rsidR="00563BAE">
              <w:t>ung, Landwirtschaft und Forsten</w:t>
            </w:r>
            <w:r>
              <w:t xml:space="preserve"> (AELF) derzeit tatsächlich beschäftigt sind (bitte aufgeteilt nach Bezirken und deren AELF)?</w:t>
            </w:r>
          </w:p>
        </w:tc>
      </w:tr>
    </w:tbl>
    <w:p w:rsidR="00B95CCD" w:rsidRDefault="00B95CCD" w:rsidP="00B95CCD">
      <w:pPr>
        <w:pStyle w:val="LTUeberschrAntwortRessort"/>
      </w:pPr>
      <w:r>
        <w:lastRenderedPageBreak/>
        <w:t>Antwort des Staatsministeriums für Ernährung, Landwirtschaft und Forsten</w:t>
      </w:r>
    </w:p>
    <w:p w:rsidR="00B95CCD" w:rsidRDefault="00B95CCD" w:rsidP="00B95CCD">
      <w:pPr>
        <w:pStyle w:val="LTAntwortRessortText"/>
      </w:pPr>
      <w:r>
        <w:t>Die erbetene Aufteilung der beschäftig</w:t>
      </w:r>
      <w:r w:rsidR="00563BAE">
        <w:t>ten Wasserberater kann der nach</w:t>
      </w:r>
      <w:r>
        <w:t>folgenden Tabelle en</w:t>
      </w:r>
      <w:r>
        <w:t>t</w:t>
      </w:r>
      <w:r>
        <w:t>nommen werden:</w:t>
      </w:r>
    </w:p>
    <w:p w:rsidR="00B95CCD" w:rsidRDefault="00B95CCD" w:rsidP="00B95CCD">
      <w:pPr>
        <w:pStyle w:val="LTAntwortRessortText"/>
      </w:pPr>
    </w:p>
    <w:tbl>
      <w:tblPr>
        <w:tblStyle w:val="Tabellenraster"/>
        <w:tblW w:w="0" w:type="auto"/>
        <w:tblInd w:w="392" w:type="dxa"/>
        <w:tblLook w:val="04A0" w:firstRow="1" w:lastRow="0" w:firstColumn="1" w:lastColumn="0" w:noHBand="0" w:noVBand="1"/>
      </w:tblPr>
      <w:tblGrid>
        <w:gridCol w:w="2518"/>
        <w:gridCol w:w="2552"/>
        <w:gridCol w:w="1559"/>
        <w:gridCol w:w="2018"/>
      </w:tblGrid>
      <w:tr w:rsidR="00563BAE" w:rsidTr="001C0D76">
        <w:tc>
          <w:tcPr>
            <w:tcW w:w="2518" w:type="dxa"/>
          </w:tcPr>
          <w:p w:rsidR="00563BAE" w:rsidRPr="002642F9" w:rsidRDefault="00563BAE" w:rsidP="00BC6FD0">
            <w:pPr>
              <w:spacing w:line="400" w:lineRule="exact"/>
              <w:rPr>
                <w:b/>
              </w:rPr>
            </w:pPr>
            <w:r w:rsidRPr="002642F9">
              <w:rPr>
                <w:b/>
              </w:rPr>
              <w:t>Bezirk</w:t>
            </w:r>
          </w:p>
        </w:tc>
        <w:tc>
          <w:tcPr>
            <w:tcW w:w="2552" w:type="dxa"/>
          </w:tcPr>
          <w:p w:rsidR="00563BAE" w:rsidRPr="002642F9" w:rsidRDefault="00563BAE" w:rsidP="00BC6FD0">
            <w:pPr>
              <w:spacing w:line="400" w:lineRule="exact"/>
              <w:rPr>
                <w:b/>
              </w:rPr>
            </w:pPr>
            <w:r w:rsidRPr="002642F9">
              <w:rPr>
                <w:b/>
              </w:rPr>
              <w:t>AELF</w:t>
            </w:r>
          </w:p>
        </w:tc>
        <w:tc>
          <w:tcPr>
            <w:tcW w:w="1559" w:type="dxa"/>
          </w:tcPr>
          <w:p w:rsidR="00563BAE" w:rsidRPr="002642F9" w:rsidRDefault="00563BAE" w:rsidP="00BC6FD0">
            <w:pPr>
              <w:spacing w:line="400" w:lineRule="exact"/>
              <w:jc w:val="right"/>
              <w:rPr>
                <w:b/>
              </w:rPr>
            </w:pPr>
            <w:r w:rsidRPr="002642F9">
              <w:rPr>
                <w:b/>
              </w:rPr>
              <w:t>Personen</w:t>
            </w:r>
          </w:p>
        </w:tc>
        <w:tc>
          <w:tcPr>
            <w:tcW w:w="2018" w:type="dxa"/>
          </w:tcPr>
          <w:p w:rsidR="00563BAE" w:rsidRPr="002642F9" w:rsidRDefault="001C0D76" w:rsidP="001C0D76">
            <w:pPr>
              <w:spacing w:line="400" w:lineRule="exact"/>
              <w:jc w:val="right"/>
              <w:rPr>
                <w:b/>
              </w:rPr>
            </w:pPr>
            <w:r>
              <w:rPr>
                <w:b/>
              </w:rPr>
              <w:t>Voll-Arbeitskräfte</w:t>
            </w:r>
          </w:p>
        </w:tc>
      </w:tr>
      <w:tr w:rsidR="00563BAE" w:rsidTr="001C0D76">
        <w:tc>
          <w:tcPr>
            <w:tcW w:w="2518" w:type="dxa"/>
          </w:tcPr>
          <w:p w:rsidR="00563BAE" w:rsidRDefault="00563BAE" w:rsidP="00BC6FD0">
            <w:pPr>
              <w:spacing w:line="400" w:lineRule="exact"/>
            </w:pPr>
            <w:r>
              <w:t>Unterfranken</w:t>
            </w:r>
          </w:p>
        </w:tc>
        <w:tc>
          <w:tcPr>
            <w:tcW w:w="2552" w:type="dxa"/>
          </w:tcPr>
          <w:p w:rsidR="00563BAE" w:rsidRDefault="00563BAE" w:rsidP="00BC6FD0">
            <w:pPr>
              <w:spacing w:line="400" w:lineRule="exact"/>
            </w:pPr>
            <w:r>
              <w:t>Karlstadt</w:t>
            </w:r>
          </w:p>
        </w:tc>
        <w:tc>
          <w:tcPr>
            <w:tcW w:w="1559" w:type="dxa"/>
          </w:tcPr>
          <w:p w:rsidR="00563BAE" w:rsidRDefault="00563BAE" w:rsidP="00BC6FD0">
            <w:pPr>
              <w:spacing w:line="400" w:lineRule="exact"/>
              <w:jc w:val="right"/>
            </w:pPr>
            <w:r>
              <w:t>4</w:t>
            </w:r>
          </w:p>
        </w:tc>
        <w:tc>
          <w:tcPr>
            <w:tcW w:w="2018" w:type="dxa"/>
          </w:tcPr>
          <w:p w:rsidR="00563BAE" w:rsidRDefault="00563BAE" w:rsidP="00BC6FD0">
            <w:pPr>
              <w:spacing w:line="400" w:lineRule="exact"/>
              <w:jc w:val="right"/>
            </w:pPr>
            <w:r>
              <w:t>3,00</w:t>
            </w:r>
          </w:p>
        </w:tc>
      </w:tr>
      <w:tr w:rsidR="00563BAE" w:rsidTr="001C0D76">
        <w:tc>
          <w:tcPr>
            <w:tcW w:w="2518" w:type="dxa"/>
          </w:tcPr>
          <w:p w:rsidR="00563BAE" w:rsidRDefault="00563BAE" w:rsidP="00BC6FD0">
            <w:pPr>
              <w:spacing w:line="400" w:lineRule="exact"/>
            </w:pPr>
            <w:r>
              <w:t>Oberfranken</w:t>
            </w:r>
          </w:p>
        </w:tc>
        <w:tc>
          <w:tcPr>
            <w:tcW w:w="2552" w:type="dxa"/>
          </w:tcPr>
          <w:p w:rsidR="00563BAE" w:rsidRDefault="00563BAE" w:rsidP="00BC6FD0">
            <w:pPr>
              <w:spacing w:line="400" w:lineRule="exact"/>
            </w:pPr>
            <w:r>
              <w:t>Coburg</w:t>
            </w:r>
          </w:p>
        </w:tc>
        <w:tc>
          <w:tcPr>
            <w:tcW w:w="1559" w:type="dxa"/>
          </w:tcPr>
          <w:p w:rsidR="00563BAE" w:rsidRDefault="00563BAE" w:rsidP="00BC6FD0">
            <w:pPr>
              <w:spacing w:line="400" w:lineRule="exact"/>
              <w:jc w:val="right"/>
            </w:pPr>
            <w:r>
              <w:t>4</w:t>
            </w:r>
          </w:p>
        </w:tc>
        <w:tc>
          <w:tcPr>
            <w:tcW w:w="2018" w:type="dxa"/>
          </w:tcPr>
          <w:p w:rsidR="00563BAE" w:rsidRDefault="00563BAE" w:rsidP="00BC6FD0">
            <w:pPr>
              <w:spacing w:line="400" w:lineRule="exact"/>
              <w:jc w:val="right"/>
            </w:pPr>
            <w:r>
              <w:t>2,55</w:t>
            </w:r>
          </w:p>
        </w:tc>
      </w:tr>
      <w:tr w:rsidR="00563BAE" w:rsidTr="001C0D76">
        <w:tc>
          <w:tcPr>
            <w:tcW w:w="2518" w:type="dxa"/>
          </w:tcPr>
          <w:p w:rsidR="00563BAE" w:rsidRDefault="00563BAE" w:rsidP="00BC6FD0">
            <w:pPr>
              <w:spacing w:line="400" w:lineRule="exact"/>
            </w:pPr>
            <w:r>
              <w:t>Mittelfranken</w:t>
            </w:r>
          </w:p>
        </w:tc>
        <w:tc>
          <w:tcPr>
            <w:tcW w:w="2552" w:type="dxa"/>
          </w:tcPr>
          <w:p w:rsidR="00563BAE" w:rsidRDefault="00563BAE" w:rsidP="00BC6FD0">
            <w:pPr>
              <w:spacing w:line="400" w:lineRule="exact"/>
            </w:pPr>
            <w:r>
              <w:t>Uffenheim</w:t>
            </w:r>
          </w:p>
        </w:tc>
        <w:tc>
          <w:tcPr>
            <w:tcW w:w="1559" w:type="dxa"/>
          </w:tcPr>
          <w:p w:rsidR="00563BAE" w:rsidRDefault="00563BAE" w:rsidP="00BC6FD0">
            <w:pPr>
              <w:spacing w:line="400" w:lineRule="exact"/>
              <w:jc w:val="right"/>
            </w:pPr>
            <w:r>
              <w:t>5</w:t>
            </w:r>
          </w:p>
        </w:tc>
        <w:tc>
          <w:tcPr>
            <w:tcW w:w="2018" w:type="dxa"/>
          </w:tcPr>
          <w:p w:rsidR="00563BAE" w:rsidRDefault="00563BAE" w:rsidP="00BC6FD0">
            <w:pPr>
              <w:spacing w:line="400" w:lineRule="exact"/>
              <w:jc w:val="right"/>
            </w:pPr>
            <w:r>
              <w:t>3,50</w:t>
            </w:r>
          </w:p>
        </w:tc>
      </w:tr>
      <w:tr w:rsidR="00563BAE" w:rsidTr="001C0D76">
        <w:tc>
          <w:tcPr>
            <w:tcW w:w="2518" w:type="dxa"/>
          </w:tcPr>
          <w:p w:rsidR="00563BAE" w:rsidRDefault="00563BAE" w:rsidP="00BC6FD0">
            <w:pPr>
              <w:spacing w:line="400" w:lineRule="exact"/>
            </w:pPr>
            <w:r>
              <w:t>Schwaben</w:t>
            </w:r>
          </w:p>
        </w:tc>
        <w:tc>
          <w:tcPr>
            <w:tcW w:w="2552" w:type="dxa"/>
          </w:tcPr>
          <w:p w:rsidR="00563BAE" w:rsidRDefault="00563BAE" w:rsidP="00BC6FD0">
            <w:pPr>
              <w:spacing w:line="400" w:lineRule="exact"/>
            </w:pPr>
            <w:r>
              <w:t>Krumbach</w:t>
            </w:r>
          </w:p>
        </w:tc>
        <w:tc>
          <w:tcPr>
            <w:tcW w:w="1559" w:type="dxa"/>
          </w:tcPr>
          <w:p w:rsidR="00563BAE" w:rsidRDefault="00563BAE" w:rsidP="00BC6FD0">
            <w:pPr>
              <w:spacing w:line="400" w:lineRule="exact"/>
              <w:jc w:val="right"/>
            </w:pPr>
            <w:r>
              <w:t>5</w:t>
            </w:r>
          </w:p>
        </w:tc>
        <w:tc>
          <w:tcPr>
            <w:tcW w:w="2018" w:type="dxa"/>
          </w:tcPr>
          <w:p w:rsidR="00563BAE" w:rsidRDefault="00563BAE" w:rsidP="00BC6FD0">
            <w:pPr>
              <w:spacing w:line="400" w:lineRule="exact"/>
              <w:jc w:val="right"/>
            </w:pPr>
            <w:r>
              <w:t>3,88</w:t>
            </w:r>
          </w:p>
        </w:tc>
      </w:tr>
      <w:tr w:rsidR="00563BAE" w:rsidTr="001C0D76">
        <w:tc>
          <w:tcPr>
            <w:tcW w:w="2518" w:type="dxa"/>
          </w:tcPr>
          <w:p w:rsidR="00563BAE" w:rsidRDefault="00563BAE" w:rsidP="00BC6FD0">
            <w:pPr>
              <w:spacing w:line="400" w:lineRule="exact"/>
            </w:pPr>
            <w:r>
              <w:t>Oberbayern</w:t>
            </w:r>
          </w:p>
        </w:tc>
        <w:tc>
          <w:tcPr>
            <w:tcW w:w="2552" w:type="dxa"/>
          </w:tcPr>
          <w:p w:rsidR="00563BAE" w:rsidRDefault="00563BAE" w:rsidP="00BC6FD0">
            <w:pPr>
              <w:spacing w:line="400" w:lineRule="exact"/>
            </w:pPr>
            <w:r>
              <w:t>Pfaffenhofen/Ilm</w:t>
            </w:r>
          </w:p>
        </w:tc>
        <w:tc>
          <w:tcPr>
            <w:tcW w:w="1559" w:type="dxa"/>
          </w:tcPr>
          <w:p w:rsidR="00563BAE" w:rsidRDefault="00563BAE" w:rsidP="00BC6FD0">
            <w:pPr>
              <w:spacing w:line="400" w:lineRule="exact"/>
              <w:jc w:val="right"/>
            </w:pPr>
            <w:r>
              <w:t>6</w:t>
            </w:r>
          </w:p>
        </w:tc>
        <w:tc>
          <w:tcPr>
            <w:tcW w:w="2018" w:type="dxa"/>
          </w:tcPr>
          <w:p w:rsidR="00563BAE" w:rsidRDefault="00563BAE" w:rsidP="00BC6FD0">
            <w:pPr>
              <w:spacing w:line="400" w:lineRule="exact"/>
              <w:jc w:val="right"/>
            </w:pPr>
            <w:r>
              <w:t>4,00</w:t>
            </w:r>
          </w:p>
        </w:tc>
      </w:tr>
      <w:tr w:rsidR="00563BAE" w:rsidTr="001C0D76">
        <w:tc>
          <w:tcPr>
            <w:tcW w:w="2518" w:type="dxa"/>
          </w:tcPr>
          <w:p w:rsidR="00563BAE" w:rsidRDefault="00563BAE" w:rsidP="00BC6FD0">
            <w:pPr>
              <w:spacing w:line="400" w:lineRule="exact"/>
            </w:pPr>
            <w:r>
              <w:t>Niederbayern</w:t>
            </w:r>
          </w:p>
        </w:tc>
        <w:tc>
          <w:tcPr>
            <w:tcW w:w="2552" w:type="dxa"/>
          </w:tcPr>
          <w:p w:rsidR="00563BAE" w:rsidRDefault="00563BAE" w:rsidP="00BC6FD0">
            <w:pPr>
              <w:spacing w:line="400" w:lineRule="exact"/>
            </w:pPr>
            <w:r>
              <w:t>Straubing</w:t>
            </w:r>
          </w:p>
        </w:tc>
        <w:tc>
          <w:tcPr>
            <w:tcW w:w="1559" w:type="dxa"/>
          </w:tcPr>
          <w:p w:rsidR="00563BAE" w:rsidRDefault="00563BAE" w:rsidP="00BC6FD0">
            <w:pPr>
              <w:spacing w:line="400" w:lineRule="exact"/>
              <w:jc w:val="right"/>
            </w:pPr>
            <w:r>
              <w:t>8</w:t>
            </w:r>
          </w:p>
        </w:tc>
        <w:tc>
          <w:tcPr>
            <w:tcW w:w="2018" w:type="dxa"/>
          </w:tcPr>
          <w:p w:rsidR="00563BAE" w:rsidRDefault="00563BAE" w:rsidP="00BC6FD0">
            <w:pPr>
              <w:spacing w:line="400" w:lineRule="exact"/>
              <w:jc w:val="right"/>
            </w:pPr>
            <w:r>
              <w:t>6,15</w:t>
            </w:r>
          </w:p>
        </w:tc>
      </w:tr>
      <w:tr w:rsidR="00563BAE" w:rsidTr="001C0D76">
        <w:tc>
          <w:tcPr>
            <w:tcW w:w="2518" w:type="dxa"/>
          </w:tcPr>
          <w:p w:rsidR="00563BAE" w:rsidRDefault="00563BAE" w:rsidP="00BC6FD0">
            <w:pPr>
              <w:spacing w:line="400" w:lineRule="exact"/>
            </w:pPr>
            <w:r>
              <w:t>Oberpfalz</w:t>
            </w:r>
          </w:p>
        </w:tc>
        <w:tc>
          <w:tcPr>
            <w:tcW w:w="2552" w:type="dxa"/>
          </w:tcPr>
          <w:p w:rsidR="00563BAE" w:rsidRDefault="00563BAE" w:rsidP="00BC6FD0">
            <w:pPr>
              <w:spacing w:line="400" w:lineRule="exact"/>
            </w:pPr>
            <w:r>
              <w:t>Amberg</w:t>
            </w:r>
          </w:p>
        </w:tc>
        <w:tc>
          <w:tcPr>
            <w:tcW w:w="1559" w:type="dxa"/>
          </w:tcPr>
          <w:p w:rsidR="00563BAE" w:rsidRDefault="00563BAE" w:rsidP="00BC6FD0">
            <w:pPr>
              <w:spacing w:line="400" w:lineRule="exact"/>
              <w:jc w:val="right"/>
            </w:pPr>
            <w:r>
              <w:t>4</w:t>
            </w:r>
          </w:p>
        </w:tc>
        <w:tc>
          <w:tcPr>
            <w:tcW w:w="2018" w:type="dxa"/>
          </w:tcPr>
          <w:p w:rsidR="00563BAE" w:rsidRDefault="00563BAE" w:rsidP="00BC6FD0">
            <w:pPr>
              <w:spacing w:line="400" w:lineRule="exact"/>
              <w:jc w:val="right"/>
            </w:pPr>
            <w:r>
              <w:t>2,95</w:t>
            </w:r>
          </w:p>
        </w:tc>
      </w:tr>
      <w:tr w:rsidR="00563BAE" w:rsidTr="001C0D76">
        <w:tc>
          <w:tcPr>
            <w:tcW w:w="2518" w:type="dxa"/>
          </w:tcPr>
          <w:p w:rsidR="00563BAE" w:rsidRPr="002642F9" w:rsidRDefault="00563BAE" w:rsidP="00BC6FD0">
            <w:pPr>
              <w:spacing w:line="400" w:lineRule="exact"/>
              <w:rPr>
                <w:b/>
              </w:rPr>
            </w:pPr>
            <w:r w:rsidRPr="002642F9">
              <w:rPr>
                <w:b/>
              </w:rPr>
              <w:t>Bayern</w:t>
            </w:r>
          </w:p>
        </w:tc>
        <w:tc>
          <w:tcPr>
            <w:tcW w:w="2552" w:type="dxa"/>
          </w:tcPr>
          <w:p w:rsidR="00563BAE" w:rsidRPr="002642F9" w:rsidRDefault="00563BAE" w:rsidP="00BC6FD0">
            <w:pPr>
              <w:spacing w:line="400" w:lineRule="exact"/>
              <w:rPr>
                <w:b/>
              </w:rPr>
            </w:pPr>
            <w:r>
              <w:rPr>
                <w:b/>
              </w:rPr>
              <w:t>Stand 12.03.2018</w:t>
            </w:r>
          </w:p>
        </w:tc>
        <w:tc>
          <w:tcPr>
            <w:tcW w:w="1559" w:type="dxa"/>
          </w:tcPr>
          <w:p w:rsidR="00563BAE" w:rsidRPr="002642F9" w:rsidRDefault="00563BAE" w:rsidP="00BC6FD0">
            <w:pPr>
              <w:spacing w:line="400" w:lineRule="exact"/>
              <w:jc w:val="right"/>
              <w:rPr>
                <w:b/>
              </w:rPr>
            </w:pPr>
            <w:r w:rsidRPr="002642F9">
              <w:rPr>
                <w:b/>
              </w:rPr>
              <w:t>36</w:t>
            </w:r>
          </w:p>
        </w:tc>
        <w:tc>
          <w:tcPr>
            <w:tcW w:w="2018" w:type="dxa"/>
          </w:tcPr>
          <w:p w:rsidR="00563BAE" w:rsidRPr="002642F9" w:rsidRDefault="00563BAE" w:rsidP="00BC6FD0">
            <w:pPr>
              <w:spacing w:line="400" w:lineRule="exact"/>
              <w:jc w:val="right"/>
              <w:rPr>
                <w:b/>
              </w:rPr>
            </w:pPr>
            <w:r w:rsidRPr="002642F9">
              <w:rPr>
                <w:b/>
              </w:rPr>
              <w:t>25,98</w:t>
            </w:r>
          </w:p>
        </w:tc>
      </w:tr>
    </w:tbl>
    <w:p w:rsidR="00B95CCD" w:rsidRDefault="00B95CCD" w:rsidP="00B95CCD">
      <w:pPr>
        <w:pStyle w:val="LTAntwortRessortText"/>
      </w:pPr>
      <w:r>
        <w:t>Die 18 Wasserberater wurden somit auf 3</w:t>
      </w:r>
      <w:r w:rsidR="00563BAE">
        <w:t>6 Wasserberater verdoppelt. Ins</w:t>
      </w:r>
      <w:r>
        <w:t>gesamt wurden seit 2010 rund 26 Voll-Arbeitskräfte eingestellt.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Herbert</w:t>
            </w:r>
            <w:r w:rsidRPr="00B95CCD">
              <w:rPr>
                <w:b/>
              </w:rPr>
              <w:br/>
              <w:t>Woerlein</w:t>
            </w:r>
            <w:r w:rsidRPr="00B95CCD">
              <w:rPr>
                <w:b/>
              </w:rPr>
              <w:br/>
            </w:r>
            <w:r w:rsidRPr="00B95CCD">
              <w:t>(SPD)</w:t>
            </w:r>
            <w:r>
              <w:fldChar w:fldCharType="begin"/>
            </w:r>
            <w:r>
              <w:instrText xml:space="preserve"> TC </w:instrText>
            </w:r>
            <w:r w:rsidR="00105D40">
              <w:instrText>„</w:instrText>
            </w:r>
            <w:bookmarkStart w:id="40" w:name="_Toc508873875"/>
            <w:r>
              <w:instrText>Woerlein, Herbert (SPD)</w:instrText>
            </w:r>
            <w:r>
              <w:br/>
              <w:instrText>Fischotter in Bayern</w:instrText>
            </w:r>
            <w:bookmarkEnd w:id="40"/>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hoch ist der aktuelle Fischotterbestand in Bayern (bitte aufschlüsseln nach Landkreisen und dortigen Gewässern), wie wird der günstige Erhaltungszustand (der Fischotter steht in Anhang IV der Fauna-Flora-Habitat-Richtlinie) für den Fischotter definiert und welche Ma</w:t>
            </w:r>
            <w:r>
              <w:t>ß</w:t>
            </w:r>
            <w:r>
              <w:t>nahmen werden ergriffen, um den günstigen Erhaltungszustand des Fischo</w:t>
            </w:r>
            <w:r>
              <w:t>t</w:t>
            </w:r>
            <w:r>
              <w:t>ters zu erreichen bzw. zu erhalten?</w:t>
            </w:r>
          </w:p>
          <w:p w:rsidR="00B95CCD" w:rsidRDefault="00B95CCD" w:rsidP="00B95CCD">
            <w:pPr>
              <w:pStyle w:val="LTAnfrageText"/>
            </w:pPr>
          </w:p>
        </w:tc>
      </w:tr>
    </w:tbl>
    <w:p w:rsidR="00B95CCD" w:rsidRDefault="00B95CCD" w:rsidP="00B95CCD">
      <w:pPr>
        <w:pStyle w:val="LTUeberschrAntwortRessort"/>
      </w:pPr>
      <w:r>
        <w:t>Antwort des Staatsministeriums für Ernährung, Landwirtschaft und Forsten</w:t>
      </w:r>
    </w:p>
    <w:p w:rsidR="00B95CCD" w:rsidRDefault="00B95CCD" w:rsidP="00B95CCD">
      <w:pPr>
        <w:pStyle w:val="LTAntwortRessortText"/>
      </w:pPr>
      <w:r>
        <w:t xml:space="preserve">Im Rahmen der Berichtspflicht zu </w:t>
      </w:r>
      <w:r w:rsidR="00563BAE">
        <w:t>FFH-Arten (FFH = Fauna-Flora-Habitat) im Sechsj</w:t>
      </w:r>
      <w:r>
        <w:t xml:space="preserve">ahresrhythmus wird im Bericht 2013 des </w:t>
      </w:r>
      <w:r w:rsidR="00563BAE" w:rsidRPr="00563BAE">
        <w:rPr>
          <w:rStyle w:val="Hervorhebung"/>
          <w:i w:val="0"/>
        </w:rPr>
        <w:t>Landesamt</w:t>
      </w:r>
      <w:r w:rsidR="00563BAE">
        <w:rPr>
          <w:rStyle w:val="Hervorhebung"/>
          <w:i w:val="0"/>
        </w:rPr>
        <w:t>s</w:t>
      </w:r>
      <w:r w:rsidR="00563BAE" w:rsidRPr="00563BAE">
        <w:rPr>
          <w:rStyle w:val="Hervorhebung"/>
          <w:i w:val="0"/>
        </w:rPr>
        <w:t xml:space="preserve"> für Umwelt</w:t>
      </w:r>
      <w:r w:rsidR="00563BAE" w:rsidRPr="00563BAE">
        <w:t xml:space="preserve"> </w:t>
      </w:r>
      <w:r w:rsidR="00563BAE">
        <w:t>(</w:t>
      </w:r>
      <w:r>
        <w:t>LfU</w:t>
      </w:r>
      <w:r w:rsidR="00563BAE">
        <w:t>)</w:t>
      </w:r>
      <w:r>
        <w:t xml:space="preserve"> zum Vorkommen des Fischotters in Bayern für die Population eine grobe Spanne von 100 bis 500 Tieren geschätzt.</w:t>
      </w:r>
    </w:p>
    <w:p w:rsidR="00B95CCD" w:rsidRDefault="00B95CCD" w:rsidP="00B95CCD">
      <w:pPr>
        <w:pStyle w:val="LTAntwortRessortText"/>
      </w:pPr>
      <w:r>
        <w:t xml:space="preserve">Als Reaktion auf die drastische Zunahme </w:t>
      </w:r>
      <w:r w:rsidR="00563BAE">
        <w:t>der Fischverluste in niederbaye</w:t>
      </w:r>
      <w:r>
        <w:t>rischen Teichanlagen b</w:t>
      </w:r>
      <w:r>
        <w:t>e</w:t>
      </w:r>
      <w:r>
        <w:t xml:space="preserve">auftragte das </w:t>
      </w:r>
      <w:r w:rsidR="00563BAE">
        <w:t>Staatsministerium für Ernährung, Landwirtschaft und Forsten (</w:t>
      </w:r>
      <w:r>
        <w:t>StMELF</w:t>
      </w:r>
      <w:r w:rsidR="00563BAE">
        <w:t>)</w:t>
      </w:r>
      <w:r>
        <w:t xml:space="preserve"> die </w:t>
      </w:r>
      <w:r w:rsidR="00563BAE">
        <w:t>Lande</w:t>
      </w:r>
      <w:r w:rsidR="00563BAE">
        <w:t>s</w:t>
      </w:r>
      <w:r w:rsidR="00563BAE">
        <w:t>an</w:t>
      </w:r>
      <w:r>
        <w:t>stalt für Wald und Forstwirtschaft, ein Fischotter-Monitoring in Ostbayern durchzuführen. Dabei wurden die hauptsä</w:t>
      </w:r>
      <w:r w:rsidR="00563BAE">
        <w:t>chlich betroffenen Gebiete nörd</w:t>
      </w:r>
      <w:r>
        <w:t xml:space="preserve">lich der Donau in ein Raster von 5 mal 5 km </w:t>
      </w:r>
      <w:r w:rsidR="00563BAE">
        <w:t>–</w:t>
      </w:r>
      <w:r>
        <w:t xml:space="preserve"> Quadranten aufgeteilt. Die gefundenen Losungen wurden mittels DNA-Analyse untersucht, um die Zahl der Individuen festzustellen. Im Bericht von 2012 wird aufgezeigt, dass nur in 10 </w:t>
      </w:r>
      <w:r w:rsidR="00105D40">
        <w:t>Prozent</w:t>
      </w:r>
      <w:r>
        <w:t xml:space="preserve"> der Quadranten kein Nachweis möglich war. Das Gebiet Niederbayern nördlich der Donau kann d</w:t>
      </w:r>
      <w:r w:rsidR="00563BAE">
        <w:t>e</w:t>
      </w:r>
      <w:r w:rsidR="00563BAE">
        <w:t>m</w:t>
      </w:r>
      <w:r w:rsidR="00563BAE">
        <w:t>nach bereits 2012 als flächen</w:t>
      </w:r>
      <w:r>
        <w:t>deckend mit Fischottern</w:t>
      </w:r>
      <w:r w:rsidR="00563BAE">
        <w:t xml:space="preserve"> besiedelt dargestellt werden. </w:t>
      </w:r>
      <w:r>
        <w:t>Eine Hochrec</w:t>
      </w:r>
      <w:r>
        <w:t>h</w:t>
      </w:r>
      <w:r>
        <w:t xml:space="preserve">nung ergab für das Monitoringgebiet eine Zahl von 240 Individuen. Derzeit wird ein umfassendes </w:t>
      </w:r>
      <w:r>
        <w:lastRenderedPageBreak/>
        <w:t>Monitoring für einzelne Teichgebiete der Oberpfalz begonnen, da hier die Schäden in den letzt</w:t>
      </w:r>
      <w:r w:rsidR="00563BAE">
        <w:t>en Jahren ebenfalls extrem zu</w:t>
      </w:r>
      <w:r>
        <w:t>nahmen. Die Fraßschäden durch den Fischotter in ostbayerischen Te</w:t>
      </w:r>
      <w:r>
        <w:t>i</w:t>
      </w:r>
      <w:r>
        <w:t xml:space="preserve">chen </w:t>
      </w:r>
      <w:r w:rsidR="005F4C0D">
        <w:t>hatten 2016 ein Volumen von 280.</w:t>
      </w:r>
      <w:r>
        <w:t xml:space="preserve">000 </w:t>
      </w:r>
      <w:r w:rsidR="00105D40">
        <w:t>Euro</w:t>
      </w:r>
      <w:r>
        <w:t xml:space="preserve"> erreicht und werden 2107 etwa bei einer Mio. </w:t>
      </w:r>
      <w:r w:rsidR="00105D40">
        <w:t>E</w:t>
      </w:r>
      <w:r w:rsidR="00105D40">
        <w:t>u</w:t>
      </w:r>
      <w:r w:rsidR="00105D40">
        <w:t>ro</w:t>
      </w:r>
      <w:r>
        <w:t xml:space="preserve"> liegen.</w:t>
      </w:r>
    </w:p>
    <w:p w:rsidR="00B95CCD" w:rsidRDefault="00B95CCD" w:rsidP="00B95CCD">
      <w:pPr>
        <w:pStyle w:val="LTAntwortRessortText"/>
      </w:pPr>
      <w:r>
        <w:t xml:space="preserve">Die erbetene Aufschlüsselung der Fischotterzahlen nach Landkreisen und einzelnen Gewässern ist im Rahmen der </w:t>
      </w:r>
      <w:r w:rsidR="00563BAE">
        <w:t>für eine Beantwortung einer Anf</w:t>
      </w:r>
      <w:r>
        <w:t>rage zum Plenum zur Verfügung stehend</w:t>
      </w:r>
      <w:r w:rsidR="00563BAE">
        <w:t>en Zeit nicht möglich. Diese Er</w:t>
      </w:r>
      <w:r>
        <w:t>hebungen wären nur mit einem unverhältnismäßigen Kosten- und Zeitau</w:t>
      </w:r>
      <w:r>
        <w:t>f</w:t>
      </w:r>
      <w:r>
        <w:t xml:space="preserve">wand zu ermitteln. </w:t>
      </w:r>
    </w:p>
    <w:p w:rsidR="00B95CCD" w:rsidRDefault="00B95CCD" w:rsidP="00B95CCD">
      <w:pPr>
        <w:pStyle w:val="LTAntwortRessortText"/>
      </w:pPr>
      <w:r>
        <w:t>Der Erhaltungszustand wird bereits im Be</w:t>
      </w:r>
      <w:r w:rsidR="00563BAE">
        <w:t>richt des LfU für 2013 als güns</w:t>
      </w:r>
      <w:r w:rsidR="000F22AD">
        <w:t>tig bezeichnet.</w:t>
      </w:r>
      <w:r w:rsidR="00563BAE">
        <w:t xml:space="preserve"> </w:t>
      </w:r>
      <w:r>
        <w:t>Im FFH-Bericht wird unterschieden z</w:t>
      </w:r>
      <w:r w:rsidR="005F4C0D">
        <w:t>wischen biogeograf</w:t>
      </w:r>
      <w:r w:rsidR="00563BAE">
        <w:t>ischen Regio</w:t>
      </w:r>
      <w:r>
        <w:t>nen, die von der EU definiert sind. Bayern</w:t>
      </w:r>
      <w:r w:rsidR="00563BAE">
        <w:t xml:space="preserve"> betreffen die kontinentale bio</w:t>
      </w:r>
      <w:r>
        <w:t>geografische und die alpine biogeografische Region.</w:t>
      </w:r>
    </w:p>
    <w:p w:rsidR="00B95CCD" w:rsidRPr="00563BAE" w:rsidRDefault="00B95CCD" w:rsidP="00B95CCD">
      <w:pPr>
        <w:pStyle w:val="LTAntwortRessortText"/>
        <w:rPr>
          <w:u w:val="single"/>
        </w:rPr>
      </w:pPr>
      <w:r w:rsidRPr="00563BAE">
        <w:rPr>
          <w:u w:val="single"/>
        </w:rPr>
        <w:t>Kontinentale biogeografische Region 2013:</w:t>
      </w:r>
    </w:p>
    <w:p w:rsidR="00B95CCD" w:rsidRDefault="00B95CCD" w:rsidP="00563BAE">
      <w:pPr>
        <w:pStyle w:val="LTAntwortRessortText"/>
        <w:spacing w:before="120"/>
      </w:pPr>
      <w:r>
        <w:t>Im Rahmen des FFH-Berichts 2013 wur</w:t>
      </w:r>
      <w:r w:rsidR="000F22AD">
        <w:t>de der Fischotter für Bayern be</w:t>
      </w:r>
      <w:r>
        <w:t>züglich Gesamtb</w:t>
      </w:r>
      <w:r w:rsidR="00AF034A">
        <w:t xml:space="preserve">ewertung mit günstig bewertet. </w:t>
      </w:r>
      <w:r>
        <w:t>Die Gesamtbewertung ergibt sich aus der Bewertung der Parameter Verbre</w:t>
      </w:r>
      <w:r>
        <w:t>i</w:t>
      </w:r>
      <w:r>
        <w:t>tung, Population (Größe, Altersstruktur), Habitat (Größe, Eignung), Zukunftsaussichten. Diese P</w:t>
      </w:r>
      <w:r>
        <w:t>a</w:t>
      </w:r>
      <w:r>
        <w:t>rameter wurden ebenfalls durchweg mit günstig bewertet.</w:t>
      </w:r>
    </w:p>
    <w:p w:rsidR="00B95CCD" w:rsidRPr="000F22AD" w:rsidRDefault="00B95CCD" w:rsidP="00B95CCD">
      <w:pPr>
        <w:pStyle w:val="LTAntwortRessortText"/>
        <w:rPr>
          <w:u w:val="single"/>
        </w:rPr>
      </w:pPr>
      <w:r w:rsidRPr="000F22AD">
        <w:rPr>
          <w:u w:val="single"/>
        </w:rPr>
        <w:t>Alpine biogeografische Region 2013:</w:t>
      </w:r>
    </w:p>
    <w:p w:rsidR="00B95CCD" w:rsidRDefault="00B95CCD" w:rsidP="000F22AD">
      <w:pPr>
        <w:pStyle w:val="LTAntwortRessortText"/>
        <w:spacing w:before="120"/>
      </w:pPr>
      <w:r>
        <w:t xml:space="preserve">Hier wurde der Fischotter durchweg mit unbekannt beurteilt, da damals nur wenige, </w:t>
      </w:r>
      <w:r w:rsidR="000F22AD">
        <w:t>zum Teil</w:t>
      </w:r>
      <w:r>
        <w:t xml:space="preserve"> vage Informationen vorlagen.</w:t>
      </w:r>
    </w:p>
    <w:p w:rsidR="00B95CCD" w:rsidRDefault="00B95CCD" w:rsidP="00B95CCD">
      <w:pPr>
        <w:pStyle w:val="LTAntwortRessortText"/>
      </w:pPr>
      <w:r>
        <w:t>Für den FFH-Bericht 2019 zeichnet sich</w:t>
      </w:r>
      <w:r w:rsidR="005F4C0D">
        <w:t xml:space="preserve"> weiterhin eine günstige Gesamt</w:t>
      </w:r>
      <w:r>
        <w:t>bewertung ab, diesmal für beide biogeog</w:t>
      </w:r>
      <w:r w:rsidR="000F22AD">
        <w:t>rafische Regionen. Die Populati</w:t>
      </w:r>
      <w:r>
        <w:t>onsgröße bemisst sich für diesen FFH-Bericht nicht in Individuen, sondern wird als Anzahl TK25-Quadranten (</w:t>
      </w:r>
      <w:r w:rsidR="005F4C0D">
        <w:t xml:space="preserve">TK25Q </w:t>
      </w:r>
      <w:r>
        <w:t>als Populationseinheit) gemessen. Voraussichtlich handelt es sich um ca. 320</w:t>
      </w:r>
      <w:r w:rsidR="000F22AD">
        <w:t xml:space="preserve"> TK25Q für die kontinentale bio</w:t>
      </w:r>
      <w:r>
        <w:t>geografische Region (</w:t>
      </w:r>
      <w:r w:rsidR="000F22AD">
        <w:t>vor allem</w:t>
      </w:r>
      <w:r>
        <w:t xml:space="preserve"> ostba</w:t>
      </w:r>
      <w:r w:rsidR="005F4C0D">
        <w:t>yerischer Raum) und ca. 12 TK25</w:t>
      </w:r>
      <w:r>
        <w:t>Q für die alpine. Es wird von einem positiven Trend der</w:t>
      </w:r>
      <w:r w:rsidR="000F22AD">
        <w:t xml:space="preserve"> Entwicklung der baye</w:t>
      </w:r>
      <w:r>
        <w:t>rischen Otterpopulation in den letzten 12 Jahren ausgegangen.</w:t>
      </w:r>
    </w:p>
    <w:p w:rsidR="00B95CCD" w:rsidRDefault="00B95CCD" w:rsidP="00B95CCD">
      <w:pPr>
        <w:pStyle w:val="LTAntwortRessortText"/>
      </w:pPr>
      <w:r>
        <w:t xml:space="preserve">Der günstige Erhaltungszustand ist erreicht. Im Übrigen verweist der Fischotter-Managementplan des StMELF auf Maßnahmen, die auch dem </w:t>
      </w:r>
      <w:r w:rsidR="000F22AD">
        <w:t xml:space="preserve">Schutz des Fischotters dienen, </w:t>
      </w:r>
      <w:r>
        <w:t>wie z.</w:t>
      </w:r>
      <w:r w:rsidR="000F22AD">
        <w:t> B. lebensrau</w:t>
      </w:r>
      <w:r w:rsidR="000F22AD">
        <w:t>m</w:t>
      </w:r>
      <w:r w:rsidR="000F22AD">
        <w:t>verbessernde Maß</w:t>
      </w:r>
      <w:r>
        <w:t xml:space="preserve">nahmen in </w:t>
      </w:r>
      <w:r w:rsidR="000F22AD">
        <w:t xml:space="preserve">Gewässern, Biotopverbünde oder </w:t>
      </w:r>
      <w:r>
        <w:t>Reduzierung von verkehrs-bedingten Otterverlusten.</w:t>
      </w:r>
    </w:p>
    <w:p w:rsidR="00FE6B32" w:rsidRDefault="00FE6B32">
      <w:pPr>
        <w:rPr>
          <w:rFonts w:cs="Arial"/>
          <w:b/>
          <w:sz w:val="22"/>
          <w:szCs w:val="22"/>
        </w:rPr>
      </w:pPr>
      <w:r>
        <w:br w:type="page"/>
      </w:r>
    </w:p>
    <w:p w:rsidR="00B95CCD" w:rsidRDefault="00B95CCD" w:rsidP="00B95CCD">
      <w:pPr>
        <w:pStyle w:val="LTUeberschrRessort"/>
      </w:pPr>
      <w:r>
        <w:lastRenderedPageBreak/>
        <w:t>Geschäftsbereich des Staatsministeriums für Arbeit und Soziales, Familie und Integr</w:t>
      </w:r>
      <w:r>
        <w:t>a</w:t>
      </w:r>
      <w:r>
        <w:t>tion</w:t>
      </w:r>
      <w:r>
        <w:fldChar w:fldCharType="begin"/>
      </w:r>
      <w:r>
        <w:instrText xml:space="preserve"> TC </w:instrText>
      </w:r>
      <w:r w:rsidR="00105D40">
        <w:instrText>„</w:instrText>
      </w:r>
      <w:bookmarkStart w:id="41" w:name="_Toc508873876"/>
      <w:r>
        <w:instrText>Geschäftsbereich des Staatsministeriums für Arbeit und Soziales, Familie und Integration</w:instrText>
      </w:r>
      <w:bookmarkEnd w:id="41"/>
      <w:r w:rsidR="00105D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Thomas</w:t>
            </w:r>
            <w:r w:rsidRPr="00B95CCD">
              <w:rPr>
                <w:b/>
              </w:rPr>
              <w:br/>
              <w:t>Mütze</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42" w:name="_Toc508873877"/>
            <w:r>
              <w:instrText>Mütze, Thomas (BÜNDNIS 90/DIE GRÜNEN)</w:instrText>
            </w:r>
            <w:r>
              <w:br/>
              <w:instrText>Einheitliche Regelung für verkaufsoffene Sonntage</w:instrText>
            </w:r>
            <w:bookmarkEnd w:id="42"/>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 xml:space="preserve">Ich frage die Staatsregierung, wie verhindert sie einen </w:t>
            </w:r>
            <w:r w:rsidR="00105D40">
              <w:t>„</w:t>
            </w:r>
            <w:r>
              <w:t>Fleckenteppich</w:t>
            </w:r>
            <w:r w:rsidR="00105D40">
              <w:t>“</w:t>
            </w:r>
            <w:r>
              <w:t xml:space="preserve"> an unterschiedlichen Genehmigungen von verkaufsoffenen Sonntagen in Bayern und damit einen unfairen Wettbewerb zwischen den Gemeinden nach den Urteilen des Bundesverwaltungsgerichts vom 11.11.2015 und des Bayerischen Verwaltungsgerichtshofs vom 24.05.2017 (Az. N 17.527), in denen die Anfo</w:t>
            </w:r>
            <w:r>
              <w:t>r</w:t>
            </w:r>
            <w:r>
              <w:t>derungen an Dauerverordnungen zur Einrichtung von verkaufsoffenen Son</w:t>
            </w:r>
            <w:r>
              <w:t>n</w:t>
            </w:r>
            <w:r>
              <w:t>tagen verschärft wurden, wird es vonseiten der Staatsregierung in absehbarer Zeit eine Handreichung für alle Kommunen in Bayern dazu geben und warum genehmigen momentan die Bezirksregierungen in einigen Kommunen ve</w:t>
            </w:r>
            <w:r>
              <w:t>r</w:t>
            </w:r>
            <w:r>
              <w:t>kaufsoffene Sonntage, während sie in anderen z. B. der Stadt Aschaffenburg darauf drängen die Dauerverordnungen aufzuheben?</w:t>
            </w:r>
          </w:p>
          <w:p w:rsidR="00B95CCD" w:rsidRDefault="00B95CCD" w:rsidP="00B95CCD">
            <w:pPr>
              <w:pStyle w:val="LTAnfrageText"/>
            </w:pPr>
          </w:p>
        </w:tc>
      </w:tr>
    </w:tbl>
    <w:p w:rsidR="00B95CCD" w:rsidRDefault="00B95CCD" w:rsidP="00FE6B32">
      <w:pPr>
        <w:pStyle w:val="LTUeberschrAntwortRessort"/>
        <w:spacing w:before="960"/>
      </w:pPr>
      <w:r>
        <w:t>Antwort des Staatsministeriums für Arbeit und Soziales, Familie und Integration</w:t>
      </w:r>
    </w:p>
    <w:p w:rsidR="00B95CCD" w:rsidRDefault="00B95CCD" w:rsidP="00FE6B32">
      <w:pPr>
        <w:pStyle w:val="LTAntwortRessortText"/>
        <w:spacing w:before="360"/>
      </w:pPr>
      <w:r>
        <w:t>Für die Zulassung sogenannter verkaufsoffener Sonntage ist</w:t>
      </w:r>
      <w:r w:rsidR="00D56FF7">
        <w:t xml:space="preserve"> </w:t>
      </w:r>
      <w:r>
        <w:t>§</w:t>
      </w:r>
      <w:r w:rsidR="00D56FF7">
        <w:t> </w:t>
      </w:r>
      <w:r>
        <w:t xml:space="preserve">14 </w:t>
      </w:r>
      <w:r w:rsidR="005F4C0D">
        <w:t>Ladenschlussgesetz</w:t>
      </w:r>
      <w:r w:rsidR="00D56FF7">
        <w:t xml:space="preserve"> (</w:t>
      </w:r>
      <w:r>
        <w:t>LadSchlG</w:t>
      </w:r>
      <w:r w:rsidR="00D56FF7">
        <w:t>)</w:t>
      </w:r>
      <w:r>
        <w:t xml:space="preserve"> einschlägig. Nach g</w:t>
      </w:r>
      <w:r w:rsidR="00D56FF7">
        <w:t>eltender Rechtslage dürfen Ver</w:t>
      </w:r>
      <w:r>
        <w:t>kaufsstellen aus Anlass von Märkte</w:t>
      </w:r>
      <w:r w:rsidR="00D56FF7">
        <w:t>n, Messen oder ähnlichen Veran</w:t>
      </w:r>
      <w:r>
        <w:t>staltungen an jährlich höchstens vier Sonn- und Feiertagen geöffnet sein, wenn diese Tage von den Landesregierungen oder den von ihnen bestimmten Stellen durch Rechtsver</w:t>
      </w:r>
      <w:r w:rsidR="00D56FF7">
        <w:t>ordnung freigegeben werden. Da</w:t>
      </w:r>
      <w:r>
        <w:t>bei dürfen gem. § 14 Abs. 3 LadS</w:t>
      </w:r>
      <w:r w:rsidR="00D56FF7">
        <w:t>chlG Sonn- und Feie</w:t>
      </w:r>
      <w:r w:rsidR="00D56FF7">
        <w:t>r</w:t>
      </w:r>
      <w:r w:rsidR="00D56FF7">
        <w:t>tage im De</w:t>
      </w:r>
      <w:r>
        <w:t xml:space="preserve">zember nicht freigegeben werden. Zuständig hierfür sind in Bayern die Gemeinden (§ 11 Nr. 1 </w:t>
      </w:r>
      <w:r w:rsidR="005F4C0D">
        <w:t>Bayerische</w:t>
      </w:r>
      <w:r>
        <w:t xml:space="preserve"> Delegationsverordnung).</w:t>
      </w:r>
    </w:p>
    <w:p w:rsidR="00B95CCD" w:rsidRDefault="00B95CCD" w:rsidP="00FE6B32">
      <w:pPr>
        <w:pStyle w:val="LTAntwortRessortText"/>
        <w:spacing w:before="360"/>
      </w:pPr>
      <w:r>
        <w:t xml:space="preserve">Das Staatsministerium für Arbeit und Soziales, Familie und Integration </w:t>
      </w:r>
      <w:r w:rsidR="00D56FF7">
        <w:t xml:space="preserve">(StMAS) </w:t>
      </w:r>
      <w:r>
        <w:t>hat bereits in der Bekanntmachung vom 10.</w:t>
      </w:r>
      <w:r w:rsidR="00D56FF7">
        <w:t>11.</w:t>
      </w:r>
      <w:r>
        <w:t xml:space="preserve">2004, Az. I2/3693/1/04, die am </w:t>
      </w:r>
      <w:r w:rsidR="00D56FF7">
        <w:t>01.01.</w:t>
      </w:r>
      <w:r>
        <w:t>2</w:t>
      </w:r>
      <w:r w:rsidR="00D56FF7">
        <w:t>005 in Kraft getreten ist, allg</w:t>
      </w:r>
      <w:r>
        <w:t>e</w:t>
      </w:r>
      <w:r>
        <w:t>meine Grundsätze für die Genehm</w:t>
      </w:r>
      <w:r w:rsidR="00D56FF7">
        <w:t>igung von verkaufsoffenen Sonn</w:t>
      </w:r>
      <w:r>
        <w:t>tagen erlassen, die weiterhin gültig sind und auch durch die erwähnten Urteile keiner Korrektur bedürfen.</w:t>
      </w:r>
    </w:p>
    <w:p w:rsidR="00B95CCD" w:rsidRDefault="00B95CCD" w:rsidP="00FE6B32">
      <w:pPr>
        <w:pStyle w:val="LTAntwortRessortText"/>
        <w:spacing w:before="360"/>
      </w:pPr>
      <w:r>
        <w:t xml:space="preserve">Das </w:t>
      </w:r>
      <w:r w:rsidR="00D56FF7">
        <w:t>StMAS</w:t>
      </w:r>
      <w:r>
        <w:t xml:space="preserve"> hat mehrfach und zulet</w:t>
      </w:r>
      <w:r w:rsidR="00D56FF7">
        <w:t>zt mit Schreiben vom 17.01.</w:t>
      </w:r>
      <w:r>
        <w:t>2017 die Regierungen gebeten, die Kommunen im Rahmen der Rechtsaufsicht beim Erlass rechtskonformer Verordnungen im Sinne der o.</w:t>
      </w:r>
      <w:r w:rsidR="00D56FF7">
        <w:t> </w:t>
      </w:r>
      <w:r>
        <w:t>g. Bekanntmachung und unter Berücksichtigung der aktuellen Rechtsprechung zu unterstü</w:t>
      </w:r>
      <w:r>
        <w:t>t</w:t>
      </w:r>
      <w:r>
        <w:t>zen, um einen bayernweit einheitlichen Vollzug sicherzustellen. Da es sich</w:t>
      </w:r>
      <w:r w:rsidR="00D56FF7">
        <w:t xml:space="preserve"> bei diesen Verordnu</w:t>
      </w:r>
      <w:r w:rsidR="00D56FF7">
        <w:t>n</w:t>
      </w:r>
      <w:r w:rsidR="00D56FF7">
        <w:t>gen grund</w:t>
      </w:r>
      <w:r>
        <w:t>sätzlich um Entscheidungen im Einzelfall handelt, ist nic</w:t>
      </w:r>
      <w:r w:rsidR="00D56FF7">
        <w:t>ht auszu</w:t>
      </w:r>
      <w:r>
        <w:t>schließen, dass hierbei einzelne Verordnungen durch die Regierungen beanstandet werden.</w:t>
      </w:r>
    </w:p>
    <w:p w:rsidR="00AC379B" w:rsidRDefault="00AC379B" w:rsidP="00FE6B32">
      <w:pPr>
        <w:spacing w:before="360"/>
        <w:rPr>
          <w:rFonts w:cs="Arial"/>
          <w:b/>
          <w:sz w:val="22"/>
          <w:szCs w:val="22"/>
        </w:rPr>
      </w:pPr>
      <w:r>
        <w:br w:type="page"/>
      </w:r>
    </w:p>
    <w:p w:rsidR="00B95CCD" w:rsidRDefault="00B95CCD" w:rsidP="00B95CCD">
      <w:pPr>
        <w:pStyle w:val="LTUeberschrRessort"/>
      </w:pPr>
      <w:r>
        <w:lastRenderedPageBreak/>
        <w:t>Geschäftsbereich des Staatsministeriums für Gesundheit und Pflege</w:t>
      </w:r>
      <w:r>
        <w:fldChar w:fldCharType="begin"/>
      </w:r>
      <w:r>
        <w:instrText xml:space="preserve"> TC </w:instrText>
      </w:r>
      <w:r w:rsidR="00105D40">
        <w:instrText>„</w:instrText>
      </w:r>
      <w:bookmarkStart w:id="43" w:name="_Toc508873878"/>
      <w:r>
        <w:instrText>Geschäftsbereich des Staatsministeriums für Gesundheit und Pflege</w:instrText>
      </w:r>
      <w:bookmarkEnd w:id="43"/>
      <w:r w:rsidR="00105D40">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t>Abgeordneter</w:t>
            </w:r>
            <w:r w:rsidRPr="00B95CCD">
              <w:br/>
            </w:r>
            <w:r w:rsidRPr="00B95CCD">
              <w:rPr>
                <w:b/>
              </w:rPr>
              <w:t>Ulrich</w:t>
            </w:r>
            <w:r w:rsidRPr="00B95CCD">
              <w:rPr>
                <w:b/>
              </w:rPr>
              <w:br/>
              <w:t>Leiner</w:t>
            </w:r>
            <w:r w:rsidRPr="00B95CCD">
              <w:rPr>
                <w:b/>
              </w:rPr>
              <w:br/>
            </w:r>
            <w:r w:rsidRPr="00B95CCD">
              <w:t>(BÜNDNIS 90/DIE GR</w:t>
            </w:r>
            <w:r w:rsidRPr="00B95CCD">
              <w:t>Ü</w:t>
            </w:r>
            <w:r w:rsidRPr="00B95CCD">
              <w:t>NEN)</w:t>
            </w:r>
            <w:r>
              <w:fldChar w:fldCharType="begin"/>
            </w:r>
            <w:r>
              <w:instrText xml:space="preserve"> TC </w:instrText>
            </w:r>
            <w:r w:rsidR="00105D40">
              <w:instrText>„</w:instrText>
            </w:r>
            <w:bookmarkStart w:id="44" w:name="_Toc508873879"/>
            <w:r>
              <w:instrText>Leiner, Ulrich (BÜNDNIS 90/DIE GRÜNEN)</w:instrText>
            </w:r>
            <w:r>
              <w:br/>
              <w:instrText>Vorhalten von Kurzzeitpflegeplätzen fördern</w:instrText>
            </w:r>
            <w:bookmarkEnd w:id="44"/>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Nachdem zwei Drittel der pflegebedürftigen Bürgerinnen und Bürger im häusl</w:t>
            </w:r>
            <w:r>
              <w:t>i</w:t>
            </w:r>
            <w:r>
              <w:t>chen Umfeld gepflegt werden und in Bayern Kurzzeitpflegeplätze seit Jahren abgebaut werden, frage ich die Staatsregierung, beabsichtigt sie das Vorha</w:t>
            </w:r>
            <w:r>
              <w:t>l</w:t>
            </w:r>
            <w:r>
              <w:t>ten von Kurzzeitpflegeplätzen zu fördern, wenn ja in welcher Form und auf welcher Rechtsgrundlage?</w:t>
            </w:r>
          </w:p>
          <w:p w:rsidR="00B95CCD" w:rsidRDefault="00B95CCD" w:rsidP="00B95CCD">
            <w:pPr>
              <w:pStyle w:val="LTAnfrageText"/>
            </w:pPr>
          </w:p>
        </w:tc>
      </w:tr>
    </w:tbl>
    <w:p w:rsidR="00B95CCD" w:rsidRDefault="00B95CCD" w:rsidP="00B95CCD">
      <w:pPr>
        <w:pStyle w:val="LTUeberschrAntwortRessort"/>
      </w:pPr>
      <w:r>
        <w:t>Antwort des Staatsministeriums für Gesundheit und Pflege</w:t>
      </w:r>
    </w:p>
    <w:p w:rsidR="00B95CCD" w:rsidRDefault="00B95CCD" w:rsidP="00B95CCD">
      <w:pPr>
        <w:pStyle w:val="LTAntwortRessortText"/>
      </w:pPr>
      <w:r>
        <w:t>Die Landespflegesatzkommission hat in i</w:t>
      </w:r>
      <w:r w:rsidR="00AC379B">
        <w:t>hrer 73. Sitzung am 12.10.</w:t>
      </w:r>
      <w:r>
        <w:t>2017 einen einstimmigen B</w:t>
      </w:r>
      <w:r>
        <w:t>e</w:t>
      </w:r>
      <w:r>
        <w:t>schluss zur Verbesserung der Rahmenbedingungen für die Kurzzeitpflegeversorgung in Bayern</w:t>
      </w:r>
      <w:r w:rsidR="00521D26">
        <w:t xml:space="preserve"> </w:t>
      </w:r>
      <w:r>
        <w:t>g</w:t>
      </w:r>
      <w:r>
        <w:t>e</w:t>
      </w:r>
      <w:r>
        <w:t>fasst. Vollstationäre Pflegeeinrichtungen, die sich verpflichten eine feste Anzahl an Plätzen zu def</w:t>
      </w:r>
      <w:r>
        <w:t>i</w:t>
      </w:r>
      <w:r>
        <w:t>nieren, welche ausschließlich für die Belegung von Kurzzeitpflegegästen verwendet werden kö</w:t>
      </w:r>
      <w:r>
        <w:t>n</w:t>
      </w:r>
      <w:r>
        <w:t>nen, erhalten verbesserte wirtschaftliche Rahmenbedingungen für Vergütungsvereinbarungen. D</w:t>
      </w:r>
      <w:r>
        <w:t>a</w:t>
      </w:r>
      <w:r>
        <w:t>bei gilt eine Mindestplatzzahl für fixe Kurzzeitpflegeplätze je nach Größe der Einrichtung. Die ve</w:t>
      </w:r>
      <w:r>
        <w:t>r</w:t>
      </w:r>
      <w:r>
        <w:t>besserten wirtschaftlichen Rahmenbedingungen ergeben sich durch die Berücksichtigung einer größeren Anzahl von Nicht-Belegungstagen in der Kalkulation sowie durch eine verbesserte Pers</w:t>
      </w:r>
      <w:r>
        <w:t>o</w:t>
      </w:r>
      <w:r>
        <w:t>na</w:t>
      </w:r>
      <w:r w:rsidR="00AC379B">
        <w:t>lschlüsselkomponente bei den so</w:t>
      </w:r>
      <w:r>
        <w:t>genannten sonstigen Diensten.</w:t>
      </w:r>
    </w:p>
    <w:p w:rsidR="00B95CCD" w:rsidRDefault="00B95CCD" w:rsidP="00B95CCD">
      <w:pPr>
        <w:pStyle w:val="LTAntwortRessortText"/>
      </w:pPr>
      <w:r>
        <w:t>Zudem ist die Staatsregierung bereits tätig geworden und bereitet eine finanzielle Unterstützung aus Landesmitteln vor, die zum Ziel hat, die besonderen Belastungen der Pflegeeinrichtungen, die im Zusammenhang mit der Bereitstellung von Kurzzeitpflegeplätzen entstehen, im Rahmen vorha</w:t>
      </w:r>
      <w:r>
        <w:t>n</w:t>
      </w:r>
      <w:r>
        <w:t>dener Stellen und Mittel abzufedern. Damit wird beabsichtigt, Mindererträge, die in dieser Verso</w:t>
      </w:r>
      <w:r>
        <w:t>r</w:t>
      </w:r>
      <w:r>
        <w:t>gungsform durch naturgemäß auftretende Nachfrageschwankungen und</w:t>
      </w:r>
      <w:r w:rsidR="00AC379B">
        <w:t xml:space="preserve"> damit verbundene Lee</w:t>
      </w:r>
      <w:r w:rsidR="00AC379B">
        <w:t>r</w:t>
      </w:r>
      <w:r w:rsidR="00AC379B">
        <w:t>s</w:t>
      </w:r>
      <w:r>
        <w:t>tandszeiten entstehen können, finanziell deutlich abzuschwächen. Betreiber sollen durch Gewä</w:t>
      </w:r>
      <w:r>
        <w:t>h</w:t>
      </w:r>
      <w:r>
        <w:t>rung einer finanziellen Unterstützung für Zeiten einer Nichtbelegung dazu ermuntert werden, wieder vermehrt dauerhafte Kurzzeitpflegeplätze anzubieten. Diese können durch die finanzielle Unterstü</w:t>
      </w:r>
      <w:r>
        <w:t>t</w:t>
      </w:r>
      <w:r>
        <w:t>zung aus Landesmitteln wirtschaftlich tragfähiger betrieben werden.</w:t>
      </w:r>
    </w:p>
    <w:p w:rsidR="00B95CCD" w:rsidRDefault="00B95CCD" w:rsidP="00B95CCD">
      <w:pPr>
        <w:pStyle w:val="LTAntwortRessortText"/>
      </w:pPr>
      <w:r>
        <w:t>Dieses Vorhaben ist auch Gegenstand des L</w:t>
      </w:r>
      <w:r w:rsidR="00AC379B">
        <w:t>andtagsbeschlusses vom 21.06.</w:t>
      </w:r>
      <w:r>
        <w:t>2017 mit der Bezeic</w:t>
      </w:r>
      <w:r>
        <w:t>h</w:t>
      </w:r>
      <w:r>
        <w:t xml:space="preserve">nung </w:t>
      </w:r>
      <w:r w:rsidR="00105D40">
        <w:t>„</w:t>
      </w:r>
      <w:r>
        <w:t>Kurzzeitpflege stärken</w:t>
      </w:r>
      <w:r w:rsidR="00105D40">
        <w:t>“</w:t>
      </w:r>
      <w:r>
        <w:t xml:space="preserve"> (</w:t>
      </w:r>
      <w:r w:rsidR="00AC379B">
        <w:t>Drs.</w:t>
      </w:r>
      <w:r>
        <w:t xml:space="preserve"> Nr. 17/17335).</w:t>
      </w:r>
    </w:p>
    <w:p w:rsidR="00B95CCD" w:rsidRDefault="001C7E44" w:rsidP="00B95CCD">
      <w:pPr>
        <w:pStyle w:val="LTAntwortRessortText"/>
      </w:pPr>
      <w:r>
        <w:t xml:space="preserve">Gegenwärtig befindet sich das Staatsministerium für Gesundheit und Pflege </w:t>
      </w:r>
      <w:r w:rsidR="00B95CCD">
        <w:t>in einem sorgfältigen Prozess der Erarbeitung der Förderdetails und der Schaffung der rechtlichen Grundlage für das neue Handlungsfeld. Der</w:t>
      </w:r>
      <w:r>
        <w:t xml:space="preserve"> </w:t>
      </w:r>
      <w:r w:rsidR="00B95CCD">
        <w:t xml:space="preserve">Landtag hat den Nachtragshaushalt 2018 in seiner Sitzung am </w:t>
      </w:r>
      <w:r>
        <w:t>27.02.</w:t>
      </w:r>
      <w:r w:rsidR="00B95CCD">
        <w:t>2018 beschlossen. Dieser ist Grundlage für die finanzielle Ausstattung des Förderpr</w:t>
      </w:r>
      <w:r w:rsidR="00B95CCD">
        <w:t>o</w:t>
      </w:r>
      <w:r w:rsidR="00B95CCD">
        <w:t>gramms.</w:t>
      </w:r>
    </w:p>
    <w:p w:rsidR="00B95CCD" w:rsidRDefault="001C7E44" w:rsidP="00B95CCD">
      <w:pPr>
        <w:pStyle w:val="LTAntwortRessortText"/>
      </w:pPr>
      <w:r>
        <w:t>Darüber hinaus verfolgt der o. </w:t>
      </w:r>
      <w:r w:rsidR="00CA5EAB">
        <w:t>g. Landtagsbeschluss</w:t>
      </w:r>
      <w:r w:rsidR="00B95CCD">
        <w:t xml:space="preserve"> </w:t>
      </w:r>
      <w:r>
        <w:t xml:space="preserve">(Drs. 17/17335) </w:t>
      </w:r>
      <w:r w:rsidR="00B95CCD">
        <w:t>die Intention, gutachtlich u</w:t>
      </w:r>
      <w:r w:rsidR="00B95CCD">
        <w:t>n</w:t>
      </w:r>
      <w:r w:rsidR="00B95CCD">
        <w:t>tersuchen zu lassen, welche Bedarfe an Kurzzeitpflege auf Kreisebene und auf Ebene der krei</w:t>
      </w:r>
      <w:r w:rsidR="00B95CCD">
        <w:t>s</w:t>
      </w:r>
      <w:r w:rsidR="00B95CCD">
        <w:t>freien Städte bestehen und welche Hemmnisse für die Vorhaltung entsprechender Plätze existi</w:t>
      </w:r>
      <w:r w:rsidR="00B95CCD">
        <w:t>e</w:t>
      </w:r>
      <w:r w:rsidR="00B95CCD">
        <w:t>ren. Das Vergabeverfahren für einen Gutachtenauftrag ist bereits weit gediehen. Es ist in naher Z</w:t>
      </w:r>
      <w:r w:rsidR="00B95CCD">
        <w:t>u</w:t>
      </w:r>
      <w:r w:rsidR="00B95CCD">
        <w:t xml:space="preserve">kunft mit der Auftragsvergabe zu rechnen. Des Weiteren </w:t>
      </w:r>
      <w:r w:rsidR="00521D26">
        <w:t>sollen nach dem</w:t>
      </w:r>
      <w:r w:rsidR="00B95CCD">
        <w:t xml:space="preserve"> Koalitionsver</w:t>
      </w:r>
      <w:r w:rsidR="00521D26">
        <w:t xml:space="preserve">trag </w:t>
      </w:r>
      <w:r w:rsidR="00B95CCD">
        <w:t>auf Bundesebene die Leistungen der Pflegeversicherung wie die Kurzzeit- und Verhinderungspflege, die Tages- und Nachtpflege sowie die unterschiedlichen Betreuungsformen durch die Einführung von Budgets besser und flexibler aufeinander abge</w:t>
      </w:r>
      <w:r w:rsidR="00521D26">
        <w:t>stimmt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B95CCD" w:rsidTr="00B95CCD">
        <w:tc>
          <w:tcPr>
            <w:tcW w:w="2050" w:type="dxa"/>
            <w:shd w:val="clear" w:color="auto" w:fill="auto"/>
          </w:tcPr>
          <w:p w:rsidR="00B95CCD" w:rsidRPr="00B95CCD" w:rsidRDefault="00B95CCD" w:rsidP="00B95CCD">
            <w:pPr>
              <w:pStyle w:val="LTNumAnfrageIni1"/>
            </w:pPr>
            <w:r w:rsidRPr="00B95CCD">
              <w:lastRenderedPageBreak/>
              <w:t>Abgeordnete</w:t>
            </w:r>
            <w:r w:rsidRPr="00B95CCD">
              <w:br/>
            </w:r>
            <w:r w:rsidRPr="00B95CCD">
              <w:rPr>
                <w:b/>
              </w:rPr>
              <w:t>Kathrin</w:t>
            </w:r>
            <w:r w:rsidRPr="00B95CCD">
              <w:rPr>
                <w:b/>
              </w:rPr>
              <w:br/>
              <w:t>Sonnenholzner</w:t>
            </w:r>
            <w:r w:rsidRPr="00B95CCD">
              <w:rPr>
                <w:b/>
              </w:rPr>
              <w:br/>
            </w:r>
            <w:r w:rsidRPr="00B95CCD">
              <w:t>(SPD)</w:t>
            </w:r>
            <w:r>
              <w:fldChar w:fldCharType="begin"/>
            </w:r>
            <w:r>
              <w:instrText xml:space="preserve"> TC </w:instrText>
            </w:r>
            <w:r w:rsidR="00105D40">
              <w:instrText>„</w:instrText>
            </w:r>
            <w:bookmarkStart w:id="45" w:name="_Toc508873880"/>
            <w:r>
              <w:instrText>Sonnenholzner, Kathrin (SPD)</w:instrText>
            </w:r>
            <w:r>
              <w:br/>
              <w:instrText>Generalistische Pflegeausbildung</w:instrText>
            </w:r>
            <w:bookmarkEnd w:id="45"/>
            <w:r>
              <w:instrText xml:space="preserve"> </w:instrText>
            </w:r>
            <w:r w:rsidR="00105D40">
              <w:instrText>„</w:instrText>
            </w:r>
            <w:r>
              <w:instrText xml:space="preserve"> \l 2 </w:instrText>
            </w:r>
            <w:r>
              <w:fldChar w:fldCharType="end"/>
            </w:r>
          </w:p>
        </w:tc>
        <w:tc>
          <w:tcPr>
            <w:tcW w:w="7200" w:type="dxa"/>
            <w:shd w:val="clear" w:color="auto" w:fill="auto"/>
          </w:tcPr>
          <w:p w:rsidR="00B95CCD" w:rsidRDefault="00B95CCD" w:rsidP="00B95CCD">
            <w:pPr>
              <w:pStyle w:val="LTAnfrageText"/>
            </w:pPr>
            <w:r>
              <w:t>Ich frage die Staatsregierung, wie wird bei der Umsetzung der generalistischen Pflegeausbildung sichergestellt, dass die vorhandenen Ausbildungsplätze in Kranken- und Altenpflege auch in der Zukunft erhalten werden und dass kleine Träger geeignete Kooperationspartner finden und welche Möglichkeiten zur Information haben die Träger?</w:t>
            </w:r>
          </w:p>
          <w:p w:rsidR="00B95CCD" w:rsidRDefault="00B95CCD" w:rsidP="00B95CCD">
            <w:pPr>
              <w:pStyle w:val="LTAnfrageText"/>
            </w:pPr>
          </w:p>
        </w:tc>
      </w:tr>
    </w:tbl>
    <w:p w:rsidR="00B95CCD" w:rsidRDefault="00B95CCD" w:rsidP="00B95CCD">
      <w:pPr>
        <w:pStyle w:val="LTUeberschrAntwortRessort"/>
      </w:pPr>
      <w:r>
        <w:t>Antwort des Staatsministeriums für Gesundheit und Pflege</w:t>
      </w:r>
    </w:p>
    <w:p w:rsidR="00B95CCD" w:rsidRDefault="00B95CCD" w:rsidP="00B95CCD">
      <w:pPr>
        <w:pStyle w:val="LTAntwortRessortText"/>
      </w:pPr>
      <w:r>
        <w:t>Ziel der Pflegeberufereform ist es, eine moderne und attraktive Ausbildung mit besten Berufspe</w:t>
      </w:r>
      <w:r>
        <w:t>r</w:t>
      </w:r>
      <w:r>
        <w:t>spektiven zu schaffen. Durch zahlreiche Verbesserungen sollen gerade junge Menschen für die Ausbildung im Pflegeberuf begeistert werden: es muss kein Schulgeld mehr bezahlt werden und e</w:t>
      </w:r>
      <w:r>
        <w:t>i</w:t>
      </w:r>
      <w:r>
        <w:t>ne angemessene Ausbildungsvergütung wird im Gesetz festgeschrieben. Durch Modernisierung der Ausbildungsinhalte, eine bessere Ausstattung der Pflegeschulen und mehr Praxisanleitung im Au</w:t>
      </w:r>
      <w:r>
        <w:t>s</w:t>
      </w:r>
      <w:r>
        <w:t>bildungsbetrieb gewinnt die Ausbildung an Qualität und Attraktivität.</w:t>
      </w:r>
    </w:p>
    <w:p w:rsidR="00B95CCD" w:rsidRDefault="00B95CCD" w:rsidP="00B95CCD">
      <w:pPr>
        <w:pStyle w:val="LTAntwortRessortText"/>
      </w:pPr>
      <w:r>
        <w:t>Die Pflegeberufereform reformiert auch die Finanzierung. Zukünftig sind alle Einrichtungen an der Finanzierung der Ausbildung beteiligt. Die Einrich</w:t>
      </w:r>
      <w:r w:rsidR="0091739D">
        <w:t>tungen, die ausbilden, erhalten</w:t>
      </w:r>
      <w:r>
        <w:t xml:space="preserve"> ein Ausbildung</w:t>
      </w:r>
      <w:r>
        <w:t>s</w:t>
      </w:r>
      <w:r>
        <w:t>budget zur Kostendeckung der Ausbildung bei wirtschaftlicher Betriebsgröße und wirtschaftlicher Betriebsführung. Es wird davon ausgegangen, dass die Reform dazu führt, dass mehr Einrichtu</w:t>
      </w:r>
      <w:r>
        <w:t>n</w:t>
      </w:r>
      <w:r>
        <w:t>gen Ausbildungsplätze anbieten werden.</w:t>
      </w:r>
    </w:p>
    <w:p w:rsidR="00B95CCD" w:rsidRDefault="00B95CCD" w:rsidP="00B95CCD">
      <w:pPr>
        <w:pStyle w:val="LTAntwortRessortText"/>
      </w:pPr>
      <w:r>
        <w:t xml:space="preserve">Die konkrete inhaltliche und strukturelle Ausgestaltung der neuen Pflegeausbildung bleibt der noch zu erlassenden Ausbildungs- und Prüfungsverordnung vorbehalten. Die Bundesregierung strebt an, die Verordnung dem Bundestag im </w:t>
      </w:r>
      <w:r w:rsidR="0091739D">
        <w:t>ersten</w:t>
      </w:r>
      <w:r>
        <w:t xml:space="preserve"> Halbjahr 2018 zuzuleiten.</w:t>
      </w:r>
    </w:p>
    <w:p w:rsidR="00B95CCD" w:rsidRDefault="00B95CCD" w:rsidP="00B95CCD">
      <w:pPr>
        <w:pStyle w:val="LTAntwortRessortText"/>
      </w:pPr>
      <w:r>
        <w:t>Die Staatsregierung hat den Erhalt der Ausbildungsplätze und langfristig eine weitere Steigerung der Ausbildungszahlen in der Pflege zum Ziel und wird dies insbesondere bei der Ausgestaltung und Umsetzung des neuen Pflegeberufegesetzes im Blick haben.</w:t>
      </w:r>
    </w:p>
    <w:p w:rsidR="00B95CCD" w:rsidRDefault="00B95CCD" w:rsidP="00B95CCD">
      <w:pPr>
        <w:pStyle w:val="LTAntwortRessortText"/>
      </w:pPr>
      <w:r>
        <w:t>Hinsichtlich der Ausbildungsplätze an den Schulen wäre eine Aussage zur zukünftigen Entwicklung zum jetzigen Zeitpunkt allerdings noch rein spekulativ. Es kann nicht ausgeschlossen werden, dass sich die Anzahl der Schulen durch Fusionen verringert, da mit der generalistischen Pflegeausbi</w:t>
      </w:r>
      <w:r>
        <w:t>l</w:t>
      </w:r>
      <w:r>
        <w:t>dung die Anforderu</w:t>
      </w:r>
      <w:r w:rsidR="0091739D">
        <w:t>ngen an die Schulen steigen (u. </w:t>
      </w:r>
      <w:r>
        <w:t>a. durch Anhebung der</w:t>
      </w:r>
      <w:r w:rsidR="0091739D">
        <w:t xml:space="preserve"> Q</w:t>
      </w:r>
      <w:r>
        <w:t>ualifikation des Leh</w:t>
      </w:r>
      <w:r>
        <w:t>r</w:t>
      </w:r>
      <w:r>
        <w:t>personals) und einige kleinere Schulen diese voraussichtlich nicht erfüllen können. Der Gesetzg</w:t>
      </w:r>
      <w:r>
        <w:t>e</w:t>
      </w:r>
      <w:r>
        <w:t>ber hat diese Problematik aber erkannt und festgelegt, dass die Ausbildung in der Region nicht g</w:t>
      </w:r>
      <w:r>
        <w:t>e</w:t>
      </w:r>
      <w:r>
        <w:t xml:space="preserve">fährdet werden darf. Das Pflegeberufegesetz enthält eine Regelung zur Berücksichtigung der zu erwartenden Kostenentwicklungen. Soweit eine Pflegeschule in der Region erforderlich ist, zum </w:t>
      </w:r>
      <w:r w:rsidR="0091739D">
        <w:t>Beispiel,</w:t>
      </w:r>
      <w:r>
        <w:t xml:space="preserve"> weil die Entfernungen und Fahrzeiten zu anderen Pflegeschulen nicht zumutbar sind, kö</w:t>
      </w:r>
      <w:r>
        <w:t>n</w:t>
      </w:r>
      <w:r>
        <w:t>nen auch langfristig höhere Finanzierungsbeträge vorgesehen werden. Der Ausbau, die Schließung oder die Zusammenlegung von Pflegeschulen können durch Strukturverträge finanziell unterstützt werden. Es wird erwartet, dass aufgrund des hohen Bedarfs die Anzahl an Ausbildungsplätzen nicht signifikant sinken wird und den Bewerberinnen und Bewerbern hinreichend Schulplätze zur Verfügung stehen werden.</w:t>
      </w:r>
    </w:p>
    <w:p w:rsidR="00B95CCD" w:rsidRDefault="00B95CCD" w:rsidP="0091739D">
      <w:pPr>
        <w:pStyle w:val="LTAntwortRessortText"/>
      </w:pPr>
      <w:r>
        <w:t>Die Organisation der Kooperationen der Träger der praktischen Ausbildung mit anderen Einrichtu</w:t>
      </w:r>
      <w:r>
        <w:t>n</w:t>
      </w:r>
      <w:r>
        <w:t>gen ist grundsätzlich keine staatliche Aufgabe. Eine zentrale Organisation durch die Staatsregi</w:t>
      </w:r>
      <w:r>
        <w:t>e</w:t>
      </w:r>
      <w:r>
        <w:t>rung wäre auch nicht sinnvoll und praktikabel. Dies muss vor Ort geschehen. Sinnvoll wird dabei s</w:t>
      </w:r>
      <w:r>
        <w:t>i</w:t>
      </w:r>
      <w:r>
        <w:t>cher die Bildung von Netzwerken auf Land</w:t>
      </w:r>
      <w:r w:rsidR="00AF034A">
        <w:t>kreisebene oder auch landkreis</w:t>
      </w:r>
      <w:r>
        <w:t xml:space="preserve">übergreifend sein. Die </w:t>
      </w:r>
      <w:r>
        <w:lastRenderedPageBreak/>
        <w:t>Einrichtungsträger können jetzt schon damit beginnen, und tun dies teilweise auch schon, geeign</w:t>
      </w:r>
      <w:r>
        <w:t>e</w:t>
      </w:r>
      <w:r>
        <w:t>te Kooperationspartner zu suchen und Netzwerke aufzubauen. Die Staatsregierung wird beim Au</w:t>
      </w:r>
      <w:r>
        <w:t>f</w:t>
      </w:r>
      <w:r>
        <w:t>treten von Problemen unterstützend zur Seite stehen. Die von der Umsetzung des Pflegeberufeg</w:t>
      </w:r>
      <w:r>
        <w:t>e</w:t>
      </w:r>
      <w:r>
        <w:t>setzes Betroffenen werden auch bereits jetzt eng beteiligt. Am 21.02.2018 hat auf Fachebene ein Runder Tisch mit Vertretern aller Bereiche stattgefunden, bei dem über den Sachstand und das g</w:t>
      </w:r>
      <w:r>
        <w:t>e</w:t>
      </w:r>
      <w:r>
        <w:t>plante weitere Vorgehen informiert und Probleme angesprochen wurden. Auch zukünftig wird es verschiedene Plattformen geben, Probleme zu erörtern und Lösungen zu finden.</w:t>
      </w:r>
    </w:p>
    <w:p w:rsidR="0091739D" w:rsidRDefault="0091739D" w:rsidP="0091739D">
      <w:pPr>
        <w:pStyle w:val="LTAntwortRessortText"/>
      </w:pPr>
    </w:p>
    <w:sectPr w:rsidR="0091739D" w:rsidSect="001579D6">
      <w:headerReference w:type="even" r:id="rId16"/>
      <w:headerReference w:type="default" r:id="rId17"/>
      <w:footerReference w:type="default" r:id="rId18"/>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D0" w:rsidRDefault="00BC6FD0">
      <w:r>
        <w:separator/>
      </w:r>
    </w:p>
  </w:endnote>
  <w:endnote w:type="continuationSeparator" w:id="0">
    <w:p w:rsidR="00BC6FD0" w:rsidRDefault="00BC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Pr="009C32BE" w:rsidRDefault="00BC6FD0"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Default="00BC6F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Pr="00311533" w:rsidRDefault="00BC6FD0"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D0" w:rsidRDefault="00BC6FD0">
      <w:r>
        <w:separator/>
      </w:r>
    </w:p>
  </w:footnote>
  <w:footnote w:type="continuationSeparator" w:id="0">
    <w:p w:rsidR="00BC6FD0" w:rsidRDefault="00BC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Default="00BC6FD0"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F57B96">
        <w:t>17</w:t>
      </w:r>
    </w:fldSimple>
    <w:r w:rsidRPr="00CA6785">
      <w:t>/</w:t>
    </w:r>
    <w:r>
      <w:rPr>
        <w:b/>
      </w:rPr>
      <w:fldChar w:fldCharType="begin"/>
    </w:r>
    <w:r>
      <w:rPr>
        <w:b/>
      </w:rPr>
      <w:instrText xml:space="preserve"> DOCVARIABLE  "Drsnr" \* MERGEFORMAT </w:instrText>
    </w:r>
    <w:r>
      <w:rPr>
        <w:b/>
      </w:rPr>
      <w:fldChar w:fldCharType="separate"/>
    </w:r>
    <w:r w:rsidR="00F57B96">
      <w:rPr>
        <w:b/>
      </w:rPr>
      <w:t>21180</w:t>
    </w:r>
    <w:r>
      <w:rPr>
        <w:b/>
      </w:rPr>
      <w:fldChar w:fldCharType="end"/>
    </w:r>
    <w:r>
      <w:tab/>
    </w:r>
    <w:r>
      <w:tab/>
    </w:r>
    <w:r w:rsidRPr="009A2D8C">
      <w:t>Bayerischer Landtag</w:t>
    </w:r>
    <w:r>
      <w:t xml:space="preserve"> -</w:t>
    </w:r>
    <w:fldSimple w:instr=" DOCVARIABLE  &quot;Wp&quot; \* MERGEFORMAT ">
      <w:r w:rsidR="00F57B96">
        <w:t>17</w:t>
      </w:r>
    </w:fldSimple>
    <w:r>
      <w:t>. Wahlperiode</w:t>
    </w:r>
  </w:p>
  <w:p w:rsidR="00BC6FD0" w:rsidRDefault="00BC6FD0"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Default="00BC6FD0"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fldSimple w:instr=" DOCVARIABLE  &quot;Wp&quot; \* MERGEFORMAT ">
      <w:r w:rsidR="00F57B96">
        <w:t>17</w:t>
      </w:r>
    </w:fldSimple>
    <w:r>
      <w:t>. Wahlperiode</w:t>
    </w:r>
    <w:r>
      <w:tab/>
    </w:r>
    <w:r>
      <w:tab/>
    </w:r>
    <w:r w:rsidRPr="009A2D8C">
      <w:rPr>
        <w:b/>
      </w:rPr>
      <w:t>Drucksache</w:t>
    </w:r>
    <w:r>
      <w:rPr>
        <w:b/>
      </w:rPr>
      <w:t xml:space="preserve"> </w:t>
    </w:r>
    <w:fldSimple w:instr=" DOCVARIABLE  &quot;Wp&quot; \* MERGEFORMAT ">
      <w:r w:rsidR="00F57B96">
        <w:t>17</w:t>
      </w:r>
    </w:fldSimple>
    <w:r w:rsidRPr="00CA6785">
      <w:t>/</w:t>
    </w:r>
    <w:r>
      <w:rPr>
        <w:b/>
      </w:rPr>
      <w:fldChar w:fldCharType="begin"/>
    </w:r>
    <w:r>
      <w:rPr>
        <w:b/>
      </w:rPr>
      <w:instrText xml:space="preserve"> DOCVARIABLE  "Drsnr" \* MERGEFORMAT </w:instrText>
    </w:r>
    <w:r>
      <w:rPr>
        <w:b/>
      </w:rPr>
      <w:fldChar w:fldCharType="separate"/>
    </w:r>
    <w:r w:rsidR="00F57B96">
      <w:rPr>
        <w:b/>
      </w:rPr>
      <w:t>21180</w:t>
    </w:r>
    <w:r>
      <w:rPr>
        <w:b/>
      </w:rPr>
      <w:fldChar w:fldCharType="end"/>
    </w:r>
  </w:p>
  <w:p w:rsidR="00BC6FD0" w:rsidRPr="00C127DA" w:rsidRDefault="00BC6FD0"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Default="00BC6FD0"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402F36" w:rsidRPr="00402F36">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402F36">
      <w:rPr>
        <w:sz w:val="22"/>
        <w:szCs w:val="22"/>
      </w:rPr>
      <w:t>15.03.2018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402F36" w:rsidRPr="00402F36">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402F36" w:rsidRPr="00402F36">
      <w:rPr>
        <w:b/>
        <w:bCs/>
        <w:sz w:val="42"/>
        <w:szCs w:val="42"/>
      </w:rPr>
      <w:t>21180</w:t>
    </w:r>
    <w:r w:rsidRPr="00853926">
      <w:rPr>
        <w:b/>
        <w:sz w:val="42"/>
        <w:szCs w:val="42"/>
      </w:rPr>
      <w:fldChar w:fldCharType="end"/>
    </w:r>
  </w:p>
  <w:p w:rsidR="00BC6FD0" w:rsidRPr="00812558" w:rsidRDefault="00BC6FD0"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Default="00BC6FD0"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57B9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57B96">
      <w:rPr>
        <w:b/>
        <w:szCs w:val="20"/>
      </w:rPr>
      <w:t>21180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57B9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7008C">
      <w:rPr>
        <w:rStyle w:val="Seitenzahl"/>
        <w:noProof/>
        <w:szCs w:val="20"/>
      </w:rPr>
      <w:t>II</w:t>
    </w:r>
    <w:r w:rsidRPr="00DE5B17">
      <w:rPr>
        <w:rStyle w:val="Seitenzahl"/>
        <w:szCs w:val="20"/>
      </w:rPr>
      <w:fldChar w:fldCharType="end"/>
    </w:r>
  </w:p>
  <w:p w:rsidR="00BC6FD0" w:rsidRPr="00861320" w:rsidRDefault="00BC6FD0"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Pr="00A44F63" w:rsidRDefault="00BC6FD0"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57B96">
      <w:rPr>
        <w:rStyle w:val="Seitenzahl"/>
        <w:noProof/>
        <w:szCs w:val="20"/>
      </w:rPr>
      <w:t>III</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57B9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57B96">
      <w:rPr>
        <w:b/>
        <w:szCs w:val="20"/>
      </w:rPr>
      <w:t>21180</w:t>
    </w:r>
    <w:r w:rsidRPr="00A44F63">
      <w:rPr>
        <w:b/>
        <w:szCs w:val="20"/>
      </w:rPr>
      <w:fldChar w:fldCharType="end"/>
    </w:r>
  </w:p>
  <w:p w:rsidR="00BC6FD0" w:rsidRPr="004B2185" w:rsidRDefault="00BC6FD0"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Pr="00A44F63" w:rsidRDefault="00BC6FD0"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57B96">
      <w:rPr>
        <w:rStyle w:val="Seitenzahl"/>
        <w:noProof/>
        <w:szCs w:val="20"/>
      </w:rPr>
      <w:t>30</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57B96">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57B9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57B96">
      <w:rPr>
        <w:b/>
        <w:szCs w:val="20"/>
      </w:rPr>
      <w:t>21180</w:t>
    </w:r>
    <w:r w:rsidRPr="00A44F63">
      <w:rPr>
        <w:b/>
        <w:szCs w:val="20"/>
      </w:rPr>
      <w:fldChar w:fldCharType="end"/>
    </w:r>
  </w:p>
  <w:p w:rsidR="00BC6FD0" w:rsidRPr="00861320" w:rsidRDefault="00BC6FD0"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D0" w:rsidRPr="00DE5B17" w:rsidRDefault="00BC6FD0"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57B96">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57B96">
      <w:rPr>
        <w:b/>
        <w:szCs w:val="20"/>
      </w:rPr>
      <w:t>21180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57B96">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57B96">
      <w:rPr>
        <w:rStyle w:val="Seitenzahl"/>
        <w:noProof/>
        <w:szCs w:val="20"/>
      </w:rPr>
      <w:t>30</w:t>
    </w:r>
    <w:r w:rsidRPr="00DE5B17">
      <w:rPr>
        <w:rStyle w:val="Seitenzahl"/>
        <w:szCs w:val="20"/>
      </w:rPr>
      <w:fldChar w:fldCharType="end"/>
    </w:r>
  </w:p>
  <w:p w:rsidR="00BC6FD0" w:rsidRPr="00601929" w:rsidRDefault="00BC6FD0"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064B168F"/>
    <w:multiLevelType w:val="hybridMultilevel"/>
    <w:tmpl w:val="24A4105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16451B84"/>
    <w:multiLevelType w:val="hybridMultilevel"/>
    <w:tmpl w:val="9ABCB846"/>
    <w:lvl w:ilvl="0" w:tplc="7E9C8A72">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11B66F6"/>
    <w:multiLevelType w:val="hybridMultilevel"/>
    <w:tmpl w:val="4C90972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19"/>
  </w:num>
  <w:num w:numId="4">
    <w:abstractNumId w:val="21"/>
  </w:num>
  <w:num w:numId="5">
    <w:abstractNumId w:val="20"/>
  </w:num>
  <w:num w:numId="6">
    <w:abstractNumId w:val="18"/>
  </w:num>
  <w:num w:numId="7">
    <w:abstractNumId w:val="12"/>
  </w:num>
  <w:num w:numId="8">
    <w:abstractNumId w:val="13"/>
  </w:num>
  <w:num w:numId="9">
    <w:abstractNumId w:val="22"/>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7zfB1xbi93EUt1PFhjz/kQGIwTo=" w:salt="YaTtQPD9CiKsJtHKWCOYkw=="/>
  <w:defaultTabStop w:val="709"/>
  <w:autoHyphenation/>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1180"/>
    <w:docVar w:name="Eingangsdatum" w:val="15.03.2018"/>
    <w:docVar w:name="Wochendatum" w:val="12. März 2018"/>
    <w:docVar w:name="Wp" w:val="17"/>
  </w:docVars>
  <w:rsids>
    <w:rsidRoot w:val="00B95CCD"/>
    <w:rsid w:val="00002517"/>
    <w:rsid w:val="00006292"/>
    <w:rsid w:val="000371B5"/>
    <w:rsid w:val="000436BA"/>
    <w:rsid w:val="00043B70"/>
    <w:rsid w:val="000614E0"/>
    <w:rsid w:val="00061EB3"/>
    <w:rsid w:val="000779F7"/>
    <w:rsid w:val="00083D54"/>
    <w:rsid w:val="000B764D"/>
    <w:rsid w:val="000C480A"/>
    <w:rsid w:val="000C71A5"/>
    <w:rsid w:val="000C72A9"/>
    <w:rsid w:val="000C7D5A"/>
    <w:rsid w:val="000E73CC"/>
    <w:rsid w:val="000F109F"/>
    <w:rsid w:val="000F22AD"/>
    <w:rsid w:val="00105D40"/>
    <w:rsid w:val="00135D97"/>
    <w:rsid w:val="00136D38"/>
    <w:rsid w:val="0014576B"/>
    <w:rsid w:val="00154F5F"/>
    <w:rsid w:val="001576CA"/>
    <w:rsid w:val="001579D6"/>
    <w:rsid w:val="00163927"/>
    <w:rsid w:val="001676F2"/>
    <w:rsid w:val="00171CDA"/>
    <w:rsid w:val="001C0D76"/>
    <w:rsid w:val="001C7E44"/>
    <w:rsid w:val="001D7B55"/>
    <w:rsid w:val="001E3461"/>
    <w:rsid w:val="001F240A"/>
    <w:rsid w:val="00215CAA"/>
    <w:rsid w:val="00226E30"/>
    <w:rsid w:val="00231278"/>
    <w:rsid w:val="0023365B"/>
    <w:rsid w:val="002375B2"/>
    <w:rsid w:val="00246DE7"/>
    <w:rsid w:val="00283D88"/>
    <w:rsid w:val="0028470E"/>
    <w:rsid w:val="00284AA1"/>
    <w:rsid w:val="002B1619"/>
    <w:rsid w:val="002B27E5"/>
    <w:rsid w:val="002D53C0"/>
    <w:rsid w:val="002D5E77"/>
    <w:rsid w:val="002E3011"/>
    <w:rsid w:val="00311533"/>
    <w:rsid w:val="0031185F"/>
    <w:rsid w:val="003220C1"/>
    <w:rsid w:val="003317ED"/>
    <w:rsid w:val="003343E3"/>
    <w:rsid w:val="003418E8"/>
    <w:rsid w:val="00354E4E"/>
    <w:rsid w:val="003571B7"/>
    <w:rsid w:val="0036081C"/>
    <w:rsid w:val="00384BCC"/>
    <w:rsid w:val="003865DE"/>
    <w:rsid w:val="00390B65"/>
    <w:rsid w:val="003A0B46"/>
    <w:rsid w:val="003A6DDF"/>
    <w:rsid w:val="003B10EA"/>
    <w:rsid w:val="003B21D3"/>
    <w:rsid w:val="003B37AA"/>
    <w:rsid w:val="003B4646"/>
    <w:rsid w:val="003B54D2"/>
    <w:rsid w:val="003B7D59"/>
    <w:rsid w:val="003C4151"/>
    <w:rsid w:val="003C6B15"/>
    <w:rsid w:val="003D3AC3"/>
    <w:rsid w:val="003E107C"/>
    <w:rsid w:val="003E2DEE"/>
    <w:rsid w:val="003E36C6"/>
    <w:rsid w:val="003E6F8E"/>
    <w:rsid w:val="003E7E4B"/>
    <w:rsid w:val="003F467B"/>
    <w:rsid w:val="00402F36"/>
    <w:rsid w:val="004104B6"/>
    <w:rsid w:val="004148C6"/>
    <w:rsid w:val="00431F16"/>
    <w:rsid w:val="0045402F"/>
    <w:rsid w:val="00465F83"/>
    <w:rsid w:val="00466324"/>
    <w:rsid w:val="00476B56"/>
    <w:rsid w:val="00493151"/>
    <w:rsid w:val="004A0B31"/>
    <w:rsid w:val="004B184E"/>
    <w:rsid w:val="004B5A87"/>
    <w:rsid w:val="004C1BA3"/>
    <w:rsid w:val="004D4829"/>
    <w:rsid w:val="004E1031"/>
    <w:rsid w:val="004F2494"/>
    <w:rsid w:val="004F6E49"/>
    <w:rsid w:val="00503F3C"/>
    <w:rsid w:val="005040C2"/>
    <w:rsid w:val="00521D26"/>
    <w:rsid w:val="00521D4F"/>
    <w:rsid w:val="0053309B"/>
    <w:rsid w:val="00544156"/>
    <w:rsid w:val="005517B2"/>
    <w:rsid w:val="00551926"/>
    <w:rsid w:val="00563BAE"/>
    <w:rsid w:val="00565EDC"/>
    <w:rsid w:val="0057046C"/>
    <w:rsid w:val="0057191B"/>
    <w:rsid w:val="00572482"/>
    <w:rsid w:val="0057252B"/>
    <w:rsid w:val="00574AC7"/>
    <w:rsid w:val="005833DD"/>
    <w:rsid w:val="005834A1"/>
    <w:rsid w:val="00593818"/>
    <w:rsid w:val="005A0EEC"/>
    <w:rsid w:val="005A79EC"/>
    <w:rsid w:val="005C5701"/>
    <w:rsid w:val="005C7D66"/>
    <w:rsid w:val="005D0F29"/>
    <w:rsid w:val="005D3C42"/>
    <w:rsid w:val="005F371F"/>
    <w:rsid w:val="005F4C0D"/>
    <w:rsid w:val="00601929"/>
    <w:rsid w:val="006076A5"/>
    <w:rsid w:val="00610EFD"/>
    <w:rsid w:val="0062036D"/>
    <w:rsid w:val="00620B1D"/>
    <w:rsid w:val="0062721D"/>
    <w:rsid w:val="00636760"/>
    <w:rsid w:val="00651968"/>
    <w:rsid w:val="00653E6D"/>
    <w:rsid w:val="006841BA"/>
    <w:rsid w:val="006A511B"/>
    <w:rsid w:val="006B1709"/>
    <w:rsid w:val="006C4DB6"/>
    <w:rsid w:val="006C5C31"/>
    <w:rsid w:val="006D2E83"/>
    <w:rsid w:val="006E0274"/>
    <w:rsid w:val="006E5B9D"/>
    <w:rsid w:val="006F0AB3"/>
    <w:rsid w:val="006F2312"/>
    <w:rsid w:val="007061D4"/>
    <w:rsid w:val="00714C18"/>
    <w:rsid w:val="00717184"/>
    <w:rsid w:val="0075012C"/>
    <w:rsid w:val="0075359F"/>
    <w:rsid w:val="0075769E"/>
    <w:rsid w:val="00761779"/>
    <w:rsid w:val="007649D6"/>
    <w:rsid w:val="00764C64"/>
    <w:rsid w:val="00775F48"/>
    <w:rsid w:val="0077709E"/>
    <w:rsid w:val="00781FB1"/>
    <w:rsid w:val="0078650B"/>
    <w:rsid w:val="007868AE"/>
    <w:rsid w:val="007942A1"/>
    <w:rsid w:val="00795BF0"/>
    <w:rsid w:val="00804996"/>
    <w:rsid w:val="008054B0"/>
    <w:rsid w:val="008062A0"/>
    <w:rsid w:val="00816C6F"/>
    <w:rsid w:val="00844005"/>
    <w:rsid w:val="00846D02"/>
    <w:rsid w:val="008540E3"/>
    <w:rsid w:val="008606C1"/>
    <w:rsid w:val="00863A28"/>
    <w:rsid w:val="0087726E"/>
    <w:rsid w:val="00880170"/>
    <w:rsid w:val="008803A9"/>
    <w:rsid w:val="00881163"/>
    <w:rsid w:val="008930C0"/>
    <w:rsid w:val="00897172"/>
    <w:rsid w:val="008A671A"/>
    <w:rsid w:val="008C6176"/>
    <w:rsid w:val="008D10ED"/>
    <w:rsid w:val="008D2301"/>
    <w:rsid w:val="008D59BB"/>
    <w:rsid w:val="008E2258"/>
    <w:rsid w:val="008E3C99"/>
    <w:rsid w:val="008E7B3B"/>
    <w:rsid w:val="0091136E"/>
    <w:rsid w:val="00911F24"/>
    <w:rsid w:val="009149D4"/>
    <w:rsid w:val="0091739D"/>
    <w:rsid w:val="009229F8"/>
    <w:rsid w:val="009234BF"/>
    <w:rsid w:val="00925A03"/>
    <w:rsid w:val="0092602C"/>
    <w:rsid w:val="009310B8"/>
    <w:rsid w:val="00932D27"/>
    <w:rsid w:val="0095379B"/>
    <w:rsid w:val="00962732"/>
    <w:rsid w:val="00966E35"/>
    <w:rsid w:val="00977682"/>
    <w:rsid w:val="00977EEE"/>
    <w:rsid w:val="009924CE"/>
    <w:rsid w:val="009942B9"/>
    <w:rsid w:val="00995D8F"/>
    <w:rsid w:val="009A2D8C"/>
    <w:rsid w:val="009A5A06"/>
    <w:rsid w:val="009B3900"/>
    <w:rsid w:val="009B3DA8"/>
    <w:rsid w:val="009B7205"/>
    <w:rsid w:val="009C1AC7"/>
    <w:rsid w:val="009C32BE"/>
    <w:rsid w:val="009D5962"/>
    <w:rsid w:val="009E41B6"/>
    <w:rsid w:val="009E6DDB"/>
    <w:rsid w:val="009F18A5"/>
    <w:rsid w:val="009F6B94"/>
    <w:rsid w:val="00A17038"/>
    <w:rsid w:val="00A2276D"/>
    <w:rsid w:val="00A25D7C"/>
    <w:rsid w:val="00A265DC"/>
    <w:rsid w:val="00A3195E"/>
    <w:rsid w:val="00A3336A"/>
    <w:rsid w:val="00A42EAA"/>
    <w:rsid w:val="00A44F63"/>
    <w:rsid w:val="00A47020"/>
    <w:rsid w:val="00A5482B"/>
    <w:rsid w:val="00A603C5"/>
    <w:rsid w:val="00A679AC"/>
    <w:rsid w:val="00A71925"/>
    <w:rsid w:val="00A76D72"/>
    <w:rsid w:val="00A84172"/>
    <w:rsid w:val="00AA3478"/>
    <w:rsid w:val="00AA7233"/>
    <w:rsid w:val="00AB1AA3"/>
    <w:rsid w:val="00AC379B"/>
    <w:rsid w:val="00AC4FC6"/>
    <w:rsid w:val="00AC5268"/>
    <w:rsid w:val="00AC54F0"/>
    <w:rsid w:val="00AE1029"/>
    <w:rsid w:val="00AF034A"/>
    <w:rsid w:val="00B246BA"/>
    <w:rsid w:val="00B3698E"/>
    <w:rsid w:val="00B45132"/>
    <w:rsid w:val="00B57DE6"/>
    <w:rsid w:val="00B719B6"/>
    <w:rsid w:val="00B753A4"/>
    <w:rsid w:val="00B82BE0"/>
    <w:rsid w:val="00B902FE"/>
    <w:rsid w:val="00B91015"/>
    <w:rsid w:val="00B9456C"/>
    <w:rsid w:val="00B95CCD"/>
    <w:rsid w:val="00BA7AAC"/>
    <w:rsid w:val="00BB117A"/>
    <w:rsid w:val="00BB3E7A"/>
    <w:rsid w:val="00BB6019"/>
    <w:rsid w:val="00BC1C8F"/>
    <w:rsid w:val="00BC4D4B"/>
    <w:rsid w:val="00BC692B"/>
    <w:rsid w:val="00BC6FD0"/>
    <w:rsid w:val="00BD7DB0"/>
    <w:rsid w:val="00BE0A75"/>
    <w:rsid w:val="00BF5AD4"/>
    <w:rsid w:val="00C127DA"/>
    <w:rsid w:val="00C20D25"/>
    <w:rsid w:val="00C37001"/>
    <w:rsid w:val="00C476AB"/>
    <w:rsid w:val="00C54C38"/>
    <w:rsid w:val="00C64946"/>
    <w:rsid w:val="00C67283"/>
    <w:rsid w:val="00C80BDC"/>
    <w:rsid w:val="00C83A7D"/>
    <w:rsid w:val="00C841E1"/>
    <w:rsid w:val="00C84F6F"/>
    <w:rsid w:val="00C9117C"/>
    <w:rsid w:val="00CA46E4"/>
    <w:rsid w:val="00CA5EAB"/>
    <w:rsid w:val="00CB1499"/>
    <w:rsid w:val="00CB58F7"/>
    <w:rsid w:val="00CC20C5"/>
    <w:rsid w:val="00CC43A0"/>
    <w:rsid w:val="00CC6B36"/>
    <w:rsid w:val="00CC77D8"/>
    <w:rsid w:val="00CC7D0D"/>
    <w:rsid w:val="00CD1159"/>
    <w:rsid w:val="00CE2154"/>
    <w:rsid w:val="00CE5E4F"/>
    <w:rsid w:val="00CE62B9"/>
    <w:rsid w:val="00CF5AA4"/>
    <w:rsid w:val="00CF77F6"/>
    <w:rsid w:val="00D0623A"/>
    <w:rsid w:val="00D07F06"/>
    <w:rsid w:val="00D26C65"/>
    <w:rsid w:val="00D33D48"/>
    <w:rsid w:val="00D3404D"/>
    <w:rsid w:val="00D45EB8"/>
    <w:rsid w:val="00D56FF7"/>
    <w:rsid w:val="00D83DC5"/>
    <w:rsid w:val="00DA1063"/>
    <w:rsid w:val="00DA6EDD"/>
    <w:rsid w:val="00DA74F1"/>
    <w:rsid w:val="00DB29C5"/>
    <w:rsid w:val="00DC6F57"/>
    <w:rsid w:val="00DD48D5"/>
    <w:rsid w:val="00DE5B17"/>
    <w:rsid w:val="00DE65E5"/>
    <w:rsid w:val="00E175A9"/>
    <w:rsid w:val="00E21A44"/>
    <w:rsid w:val="00E2431C"/>
    <w:rsid w:val="00E3270E"/>
    <w:rsid w:val="00E36164"/>
    <w:rsid w:val="00E417D5"/>
    <w:rsid w:val="00E6572C"/>
    <w:rsid w:val="00E82797"/>
    <w:rsid w:val="00EB6C16"/>
    <w:rsid w:val="00EC2C1B"/>
    <w:rsid w:val="00ED4839"/>
    <w:rsid w:val="00EF116E"/>
    <w:rsid w:val="00EF398E"/>
    <w:rsid w:val="00EF67A7"/>
    <w:rsid w:val="00F0047B"/>
    <w:rsid w:val="00F4523A"/>
    <w:rsid w:val="00F57B96"/>
    <w:rsid w:val="00F7008C"/>
    <w:rsid w:val="00F769C0"/>
    <w:rsid w:val="00F76B51"/>
    <w:rsid w:val="00FA64C1"/>
    <w:rsid w:val="00FB269D"/>
    <w:rsid w:val="00FB64A8"/>
    <w:rsid w:val="00FE0BE9"/>
    <w:rsid w:val="00FE6B32"/>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customStyle="1" w:styleId="st">
    <w:name w:val="st"/>
    <w:basedOn w:val="Absatz-Standardschriftart"/>
    <w:rsid w:val="002E3011"/>
  </w:style>
  <w:style w:type="character" w:styleId="Hervorhebung">
    <w:name w:val="Emphasis"/>
    <w:basedOn w:val="Absatz-Standardschriftart"/>
    <w:uiPriority w:val="20"/>
    <w:qFormat/>
    <w:rsid w:val="00563BAE"/>
    <w:rPr>
      <w:i/>
      <w:iCs/>
    </w:rPr>
  </w:style>
  <w:style w:type="character" w:styleId="BesuchterHyperlink">
    <w:name w:val="FollowedHyperlink"/>
    <w:basedOn w:val="Absatz-Standardschriftart"/>
    <w:semiHidden/>
    <w:unhideWhenUsed/>
    <w:rsid w:val="00E21A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customStyle="1" w:styleId="st">
    <w:name w:val="st"/>
    <w:basedOn w:val="Absatz-Standardschriftart"/>
    <w:rsid w:val="002E3011"/>
  </w:style>
  <w:style w:type="character" w:styleId="Hervorhebung">
    <w:name w:val="Emphasis"/>
    <w:basedOn w:val="Absatz-Standardschriftart"/>
    <w:uiPriority w:val="20"/>
    <w:qFormat/>
    <w:rsid w:val="00563BAE"/>
    <w:rPr>
      <w:i/>
      <w:iCs/>
    </w:rPr>
  </w:style>
  <w:style w:type="character" w:styleId="BesuchterHyperlink">
    <w:name w:val="FollowedHyperlink"/>
    <w:basedOn w:val="Absatz-Standardschriftart"/>
    <w:semiHidden/>
    <w:unhideWhenUsed/>
    <w:rsid w:val="00E21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yern.landtag.de/www/ElanTextAblage_WP17/Drucksachen/Basisdrucksachen/0000014000/0000014261_Streibl_Anlage.pdf"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11056</Words>
  <Characters>76224</Characters>
  <Application>Microsoft Office Word</Application>
  <DocSecurity>8</DocSecurity>
  <Lines>1546</Lines>
  <Paragraphs>476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86875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17/21180</dc:title>
  <dc:creator>Ströhlein, Gabriele (LTA)</dc:creator>
  <cp:lastModifiedBy>Marquardt, Corinna (LTA)</cp:lastModifiedBy>
  <cp:revision>4</cp:revision>
  <cp:lastPrinted>2018-03-15T10:31:00Z</cp:lastPrinted>
  <dcterms:created xsi:type="dcterms:W3CDTF">2018-03-23T09:16:00Z</dcterms:created>
  <dcterms:modified xsi:type="dcterms:W3CDTF">2018-03-23T09:16:00Z</dcterms:modified>
</cp:coreProperties>
</file>