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793F8E" w:rsidP="00793F8E">
      <w:pPr>
        <w:spacing w:before="120"/>
        <w:ind w:left="357"/>
        <w:rPr>
          <w:b/>
        </w:rPr>
      </w:pPr>
      <w:r>
        <w:rPr>
          <w:b/>
        </w:rPr>
        <w:t xml:space="preserve">(Plenarsitzung am </w:t>
      </w:r>
      <w:r w:rsidR="00805CBD">
        <w:rPr>
          <w:b/>
        </w:rPr>
        <w:t xml:space="preserve">Dienstag, den </w:t>
      </w:r>
      <w:r>
        <w:rPr>
          <w:b/>
        </w:rPr>
        <w:t>14. März 2017)</w:t>
      </w:r>
    </w:p>
    <w:p w:rsidR="00717184" w:rsidRDefault="00FF58EA" w:rsidP="00793F8E">
      <w:pPr>
        <w:spacing w:before="360"/>
        <w:ind w:left="357"/>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E330FE" w:rsidRPr="005833DD">
        <w:tc>
          <w:tcPr>
            <w:tcW w:w="2500" w:type="pct"/>
            <w:tcBorders>
              <w:right w:val="single" w:sz="4" w:space="0" w:color="auto"/>
            </w:tcBorders>
          </w:tcPr>
          <w:p w:rsidR="00E330FE" w:rsidRDefault="00E330FE" w:rsidP="00E330FE">
            <w:pPr>
              <w:pStyle w:val="LTVerzeichnisDerFragendenLinks"/>
            </w:pPr>
            <w:r>
              <w:t>Adelt, Klaus (SPD)</w:t>
            </w:r>
            <w:r>
              <w:tab/>
              <w:t>32</w:t>
            </w:r>
          </w:p>
        </w:tc>
        <w:tc>
          <w:tcPr>
            <w:tcW w:w="2500" w:type="pct"/>
            <w:tcBorders>
              <w:left w:val="single" w:sz="4" w:space="0" w:color="auto"/>
            </w:tcBorders>
          </w:tcPr>
          <w:p w:rsidR="00E330FE" w:rsidRPr="00952247" w:rsidRDefault="00E330FE" w:rsidP="00952247">
            <w:pPr>
              <w:pStyle w:val="LTVerzeichnisDerFragendenLinks"/>
              <w:rPr>
                <w:spacing w:val="-6"/>
              </w:rPr>
            </w:pPr>
            <w:r w:rsidRPr="00952247">
              <w:rPr>
                <w:spacing w:val="-6"/>
              </w:rPr>
              <w:t>Osgyan, Verena (BÜNDNIS 90/DIE GRÜNEN)</w:t>
            </w:r>
            <w:r w:rsidRPr="00952247">
              <w:rPr>
                <w:spacing w:val="-6"/>
              </w:rPr>
              <w:tab/>
              <w:t>52</w:t>
            </w:r>
          </w:p>
        </w:tc>
      </w:tr>
      <w:tr w:rsidR="00E330FE" w:rsidRPr="005833DD">
        <w:tc>
          <w:tcPr>
            <w:tcW w:w="2500" w:type="pct"/>
            <w:tcBorders>
              <w:right w:val="single" w:sz="4" w:space="0" w:color="auto"/>
            </w:tcBorders>
          </w:tcPr>
          <w:p w:rsidR="00E330FE" w:rsidRDefault="00E330FE" w:rsidP="00E330FE">
            <w:pPr>
              <w:pStyle w:val="LTVerzeichnisDerFragendenLinks"/>
            </w:pPr>
            <w:r>
              <w:t>Aiwanger, Hubert (FREIE WÄHLER)</w:t>
            </w:r>
            <w:r>
              <w:tab/>
              <w:t>38</w:t>
            </w:r>
          </w:p>
        </w:tc>
        <w:tc>
          <w:tcPr>
            <w:tcW w:w="2500" w:type="pct"/>
            <w:tcBorders>
              <w:left w:val="single" w:sz="4" w:space="0" w:color="auto"/>
            </w:tcBorders>
          </w:tcPr>
          <w:p w:rsidR="00E330FE" w:rsidRPr="005833DD" w:rsidRDefault="00E330FE" w:rsidP="00E330FE">
            <w:pPr>
              <w:pStyle w:val="LTVerzeichnisDerFragendenRechts"/>
            </w:pPr>
            <w:r>
              <w:t>Petersen, Kathi (SPD)</w:t>
            </w:r>
            <w:r>
              <w:tab/>
              <w:t>7</w:t>
            </w:r>
          </w:p>
        </w:tc>
      </w:tr>
      <w:tr w:rsidR="00E330FE" w:rsidRPr="005833DD">
        <w:tc>
          <w:tcPr>
            <w:tcW w:w="2500" w:type="pct"/>
            <w:tcBorders>
              <w:right w:val="single" w:sz="4" w:space="0" w:color="auto"/>
            </w:tcBorders>
          </w:tcPr>
          <w:p w:rsidR="00E330FE" w:rsidRDefault="00E330FE" w:rsidP="00E330FE">
            <w:pPr>
              <w:pStyle w:val="LTVerzeichnisDerFragendenLinks"/>
            </w:pPr>
            <w:r>
              <w:t>Arnold, Horst (SPD)</w:t>
            </w:r>
            <w:r>
              <w:tab/>
              <w:t>46</w:t>
            </w:r>
          </w:p>
        </w:tc>
        <w:tc>
          <w:tcPr>
            <w:tcW w:w="2500" w:type="pct"/>
            <w:tcBorders>
              <w:left w:val="single" w:sz="4" w:space="0" w:color="auto"/>
            </w:tcBorders>
          </w:tcPr>
          <w:p w:rsidR="00E330FE" w:rsidRPr="005833DD" w:rsidRDefault="00E330FE" w:rsidP="00E330FE">
            <w:pPr>
              <w:pStyle w:val="LTVerzeichnisDerFragendenRechts"/>
            </w:pPr>
            <w:r>
              <w:t>Prof. Dr. Piazolo, Michael (FREIE WÄHLER)</w:t>
            </w:r>
            <w:r>
              <w:tab/>
              <w:t>22</w:t>
            </w:r>
          </w:p>
        </w:tc>
      </w:tr>
      <w:tr w:rsidR="00E330FE" w:rsidRPr="005833DD">
        <w:tc>
          <w:tcPr>
            <w:tcW w:w="2500" w:type="pct"/>
            <w:tcBorders>
              <w:right w:val="single" w:sz="4" w:space="0" w:color="auto"/>
            </w:tcBorders>
          </w:tcPr>
          <w:p w:rsidR="00E330FE" w:rsidRDefault="00E330FE" w:rsidP="00E330FE">
            <w:pPr>
              <w:pStyle w:val="LTVerzeichnisDerFragendenLinks"/>
            </w:pPr>
            <w:r>
              <w:t>Aures, Inge (SPD)</w:t>
            </w:r>
            <w:r>
              <w:tab/>
              <w:t>56</w:t>
            </w:r>
          </w:p>
        </w:tc>
        <w:tc>
          <w:tcPr>
            <w:tcW w:w="2500" w:type="pct"/>
            <w:tcBorders>
              <w:left w:val="single" w:sz="4" w:space="0" w:color="auto"/>
            </w:tcBorders>
          </w:tcPr>
          <w:p w:rsidR="00E330FE" w:rsidRPr="005833DD" w:rsidRDefault="00E330FE" w:rsidP="00E330FE">
            <w:pPr>
              <w:pStyle w:val="LTVerzeichnisDerFragendenRechts"/>
            </w:pPr>
            <w:r>
              <w:t>Dr. Rabenstein, Christoph (SPD)</w:t>
            </w:r>
            <w:r>
              <w:tab/>
              <w:t>23</w:t>
            </w:r>
          </w:p>
        </w:tc>
      </w:tr>
      <w:tr w:rsidR="00E330FE" w:rsidRPr="005833DD">
        <w:tc>
          <w:tcPr>
            <w:tcW w:w="2500" w:type="pct"/>
            <w:tcBorders>
              <w:right w:val="single" w:sz="4" w:space="0" w:color="auto"/>
            </w:tcBorders>
          </w:tcPr>
          <w:p w:rsidR="00E330FE" w:rsidRPr="00952247" w:rsidRDefault="00E330FE" w:rsidP="00E330FE">
            <w:pPr>
              <w:pStyle w:val="LTVerzeichnisDerFragendenLinks"/>
              <w:rPr>
                <w:spacing w:val="-14"/>
              </w:rPr>
            </w:pPr>
            <w:r w:rsidRPr="00952247">
              <w:rPr>
                <w:spacing w:val="-14"/>
              </w:rPr>
              <w:t>Prof. (Univ. Lima) Dr. Bauer, Peter (FREIE WÄHLER)</w:t>
            </w:r>
            <w:r w:rsidRPr="00952247">
              <w:rPr>
                <w:spacing w:val="-14"/>
              </w:rPr>
              <w:tab/>
              <w:t>51</w:t>
            </w:r>
          </w:p>
        </w:tc>
        <w:tc>
          <w:tcPr>
            <w:tcW w:w="2500" w:type="pct"/>
            <w:tcBorders>
              <w:left w:val="single" w:sz="4" w:space="0" w:color="auto"/>
            </w:tcBorders>
          </w:tcPr>
          <w:p w:rsidR="00E330FE" w:rsidRPr="005833DD" w:rsidRDefault="00E330FE" w:rsidP="00E330FE">
            <w:pPr>
              <w:pStyle w:val="LTVerzeichnisDerFragendenRechts"/>
            </w:pPr>
            <w:r>
              <w:t>Rinderspacher, Markus (SPD)</w:t>
            </w:r>
            <w:r>
              <w:tab/>
              <w:t>44</w:t>
            </w:r>
          </w:p>
        </w:tc>
      </w:tr>
      <w:tr w:rsidR="00E330FE" w:rsidRPr="005833DD">
        <w:tc>
          <w:tcPr>
            <w:tcW w:w="2500" w:type="pct"/>
            <w:tcBorders>
              <w:right w:val="single" w:sz="4" w:space="0" w:color="auto"/>
            </w:tcBorders>
          </w:tcPr>
          <w:p w:rsidR="00E330FE" w:rsidRDefault="00E330FE" w:rsidP="00E330FE">
            <w:pPr>
              <w:pStyle w:val="LTVerzeichnisDerFragendenLinks"/>
            </w:pPr>
            <w:r>
              <w:t>Biedefeld, Susann (SPD)</w:t>
            </w:r>
            <w:r>
              <w:tab/>
              <w:t>57</w:t>
            </w:r>
          </w:p>
        </w:tc>
        <w:tc>
          <w:tcPr>
            <w:tcW w:w="2500" w:type="pct"/>
            <w:tcBorders>
              <w:left w:val="single" w:sz="4" w:space="0" w:color="auto"/>
            </w:tcBorders>
          </w:tcPr>
          <w:p w:rsidR="00E330FE" w:rsidRPr="005833DD" w:rsidRDefault="00E330FE" w:rsidP="00E330FE">
            <w:pPr>
              <w:pStyle w:val="LTVerzeichnisDerFragendenRechts"/>
            </w:pPr>
            <w:r>
              <w:t>Ritter, Florian (SPD)</w:t>
            </w:r>
            <w:r>
              <w:tab/>
              <w:t>8</w:t>
            </w:r>
          </w:p>
        </w:tc>
      </w:tr>
      <w:tr w:rsidR="00E330FE" w:rsidRPr="005833DD">
        <w:tc>
          <w:tcPr>
            <w:tcW w:w="2500" w:type="pct"/>
            <w:tcBorders>
              <w:right w:val="single" w:sz="4" w:space="0" w:color="auto"/>
            </w:tcBorders>
          </w:tcPr>
          <w:p w:rsidR="00E330FE" w:rsidRDefault="00952247" w:rsidP="00E330FE">
            <w:pPr>
              <w:pStyle w:val="LTVerzeichnisDerFragendenLinks"/>
            </w:pPr>
            <w:r>
              <w:t>von B</w:t>
            </w:r>
            <w:r w:rsidR="00E330FE">
              <w:t>runn, Florian (SPD)</w:t>
            </w:r>
            <w:r w:rsidR="00E330FE">
              <w:tab/>
              <w:t>47</w:t>
            </w:r>
          </w:p>
        </w:tc>
        <w:tc>
          <w:tcPr>
            <w:tcW w:w="2500" w:type="pct"/>
            <w:tcBorders>
              <w:left w:val="single" w:sz="4" w:space="0" w:color="auto"/>
            </w:tcBorders>
          </w:tcPr>
          <w:p w:rsidR="00E330FE" w:rsidRPr="005833DD" w:rsidRDefault="00E330FE" w:rsidP="00E330FE">
            <w:pPr>
              <w:pStyle w:val="LTVerzeichnisDerFragendenRechts"/>
            </w:pPr>
            <w:r>
              <w:t>Rosenthal, Georg (SPD)</w:t>
            </w:r>
            <w:r>
              <w:tab/>
              <w:t>35</w:t>
            </w:r>
          </w:p>
        </w:tc>
      </w:tr>
      <w:tr w:rsidR="00E330FE" w:rsidRPr="005833DD">
        <w:tc>
          <w:tcPr>
            <w:tcW w:w="2500" w:type="pct"/>
            <w:tcBorders>
              <w:right w:val="single" w:sz="4" w:space="0" w:color="auto"/>
            </w:tcBorders>
          </w:tcPr>
          <w:p w:rsidR="00E330FE" w:rsidRDefault="00E330FE" w:rsidP="00E330FE">
            <w:pPr>
              <w:pStyle w:val="LTVerzeichnisDerFragendenLinks"/>
            </w:pPr>
            <w:r>
              <w:t>Celina, Kerstin (BÜNDNIS 90/DIE GRÜNEN)</w:t>
            </w:r>
            <w:r>
              <w:tab/>
              <w:t>1</w:t>
            </w:r>
          </w:p>
        </w:tc>
        <w:tc>
          <w:tcPr>
            <w:tcW w:w="2500" w:type="pct"/>
            <w:tcBorders>
              <w:left w:val="single" w:sz="4" w:space="0" w:color="auto"/>
            </w:tcBorders>
          </w:tcPr>
          <w:p w:rsidR="00E330FE" w:rsidRPr="005833DD" w:rsidRDefault="00E330FE" w:rsidP="00E330FE">
            <w:pPr>
              <w:pStyle w:val="LTVerzeichnisDerFragendenRechts"/>
            </w:pPr>
            <w:r>
              <w:t>Scheuenstuhl, Harry (SPD)</w:t>
            </w:r>
            <w:r>
              <w:tab/>
              <w:t>9</w:t>
            </w:r>
          </w:p>
        </w:tc>
      </w:tr>
      <w:tr w:rsidR="00E330FE" w:rsidRPr="005833DD">
        <w:tc>
          <w:tcPr>
            <w:tcW w:w="2500" w:type="pct"/>
            <w:tcBorders>
              <w:right w:val="single" w:sz="4" w:space="0" w:color="auto"/>
            </w:tcBorders>
          </w:tcPr>
          <w:p w:rsidR="00E330FE" w:rsidRDefault="00E330FE" w:rsidP="00E330FE">
            <w:pPr>
              <w:pStyle w:val="LTVerzeichnisDerFragendenLinks"/>
            </w:pPr>
            <w:r>
              <w:t>Dr. Dürr, Sepp (BÜNDNIS 90/DIE GRÜNEN)</w:t>
            </w:r>
            <w:r>
              <w:tab/>
              <w:t>33</w:t>
            </w:r>
          </w:p>
        </w:tc>
        <w:tc>
          <w:tcPr>
            <w:tcW w:w="2500" w:type="pct"/>
            <w:tcBorders>
              <w:left w:val="single" w:sz="4" w:space="0" w:color="auto"/>
            </w:tcBorders>
          </w:tcPr>
          <w:p w:rsidR="00E330FE" w:rsidRPr="005833DD" w:rsidRDefault="00E330FE" w:rsidP="00E330FE">
            <w:pPr>
              <w:pStyle w:val="LTVerzeichnisDerFragendenRechts"/>
            </w:pPr>
            <w:r>
              <w:t>Schindler, Franz (SPD)</w:t>
            </w:r>
            <w:r>
              <w:tab/>
              <w:t>53</w:t>
            </w:r>
          </w:p>
        </w:tc>
      </w:tr>
      <w:tr w:rsidR="00E330FE" w:rsidRPr="005833DD">
        <w:tc>
          <w:tcPr>
            <w:tcW w:w="2500" w:type="pct"/>
            <w:tcBorders>
              <w:right w:val="single" w:sz="4" w:space="0" w:color="auto"/>
            </w:tcBorders>
          </w:tcPr>
          <w:p w:rsidR="00E330FE" w:rsidRDefault="00E330FE" w:rsidP="00E330FE">
            <w:pPr>
              <w:pStyle w:val="LTVerzeichnisDerFragendenLinks"/>
            </w:pPr>
            <w:r>
              <w:t>Dr. Fahn, Hans Jürgen (FREIE WÄHLER)</w:t>
            </w:r>
            <w:r>
              <w:tab/>
              <w:t>2</w:t>
            </w:r>
          </w:p>
        </w:tc>
        <w:tc>
          <w:tcPr>
            <w:tcW w:w="2500" w:type="pct"/>
            <w:tcBorders>
              <w:left w:val="single" w:sz="4" w:space="0" w:color="auto"/>
            </w:tcBorders>
          </w:tcPr>
          <w:p w:rsidR="00E330FE" w:rsidRPr="005833DD" w:rsidRDefault="00E330FE" w:rsidP="00E330FE">
            <w:pPr>
              <w:pStyle w:val="LTVerzeichnisDerFragendenRechts"/>
            </w:pPr>
            <w:r>
              <w:t>Schmidt, Gabi (FREIE WÄHLER)</w:t>
            </w:r>
            <w:r>
              <w:tab/>
              <w:t>24</w:t>
            </w:r>
          </w:p>
        </w:tc>
      </w:tr>
      <w:tr w:rsidR="00E330FE" w:rsidRPr="005833DD">
        <w:tc>
          <w:tcPr>
            <w:tcW w:w="2500" w:type="pct"/>
            <w:tcBorders>
              <w:right w:val="single" w:sz="4" w:space="0" w:color="auto"/>
            </w:tcBorders>
          </w:tcPr>
          <w:p w:rsidR="00E330FE" w:rsidRDefault="00E330FE" w:rsidP="00E330FE">
            <w:pPr>
              <w:pStyle w:val="LTVerzeichnisDerFragendenLinks"/>
            </w:pPr>
            <w:r>
              <w:t>Fehlner, Martina (SPD)</w:t>
            </w:r>
            <w:r>
              <w:tab/>
              <w:t>16</w:t>
            </w:r>
          </w:p>
        </w:tc>
        <w:tc>
          <w:tcPr>
            <w:tcW w:w="2500" w:type="pct"/>
            <w:tcBorders>
              <w:left w:val="single" w:sz="4" w:space="0" w:color="auto"/>
            </w:tcBorders>
          </w:tcPr>
          <w:p w:rsidR="00E330FE" w:rsidRPr="005833DD" w:rsidRDefault="00E330FE" w:rsidP="00E330FE">
            <w:pPr>
              <w:pStyle w:val="LTVerzeichnisDerFragendenRechts"/>
            </w:pPr>
            <w:r>
              <w:t>Schmitt-Bussinger, Helga (SPD)</w:t>
            </w:r>
            <w:r>
              <w:tab/>
              <w:t>25</w:t>
            </w:r>
          </w:p>
        </w:tc>
      </w:tr>
      <w:tr w:rsidR="00E330FE" w:rsidRPr="00952247">
        <w:tc>
          <w:tcPr>
            <w:tcW w:w="2500" w:type="pct"/>
            <w:tcBorders>
              <w:right w:val="single" w:sz="4" w:space="0" w:color="auto"/>
            </w:tcBorders>
          </w:tcPr>
          <w:p w:rsidR="00E330FE" w:rsidRDefault="00E330FE" w:rsidP="00E330FE">
            <w:pPr>
              <w:pStyle w:val="LTVerzeichnisDerFragendenLinks"/>
            </w:pPr>
            <w:r>
              <w:t>Felbinger, Günther (FREIE WÄHLER)</w:t>
            </w:r>
            <w:r>
              <w:tab/>
              <w:t>39</w:t>
            </w:r>
          </w:p>
        </w:tc>
        <w:tc>
          <w:tcPr>
            <w:tcW w:w="2500" w:type="pct"/>
            <w:tcBorders>
              <w:left w:val="single" w:sz="4" w:space="0" w:color="auto"/>
            </w:tcBorders>
          </w:tcPr>
          <w:p w:rsidR="00E330FE" w:rsidRPr="00952247" w:rsidRDefault="00E330FE" w:rsidP="00952247">
            <w:pPr>
              <w:pStyle w:val="LTVerzeichnisDerFragendenLinks"/>
              <w:rPr>
                <w:spacing w:val="-6"/>
              </w:rPr>
            </w:pPr>
            <w:r w:rsidRPr="00952247">
              <w:rPr>
                <w:spacing w:val="-6"/>
              </w:rPr>
              <w:t>Schulze, Katharina (BÜNDNIS 90/DIE GRÜNEN)</w:t>
            </w:r>
            <w:r w:rsidRPr="00952247">
              <w:rPr>
                <w:spacing w:val="-6"/>
              </w:rPr>
              <w:tab/>
              <w:t>10</w:t>
            </w:r>
          </w:p>
        </w:tc>
      </w:tr>
      <w:tr w:rsidR="00E330FE" w:rsidRPr="005833DD">
        <w:tc>
          <w:tcPr>
            <w:tcW w:w="2500" w:type="pct"/>
            <w:tcBorders>
              <w:right w:val="single" w:sz="4" w:space="0" w:color="auto"/>
            </w:tcBorders>
          </w:tcPr>
          <w:p w:rsidR="00E330FE" w:rsidRPr="00952247" w:rsidRDefault="00E330FE" w:rsidP="00E330FE">
            <w:pPr>
              <w:pStyle w:val="LTVerzeichnisDerFragendenLinks"/>
              <w:rPr>
                <w:spacing w:val="-6"/>
              </w:rPr>
            </w:pPr>
            <w:r w:rsidRPr="00952247">
              <w:rPr>
                <w:spacing w:val="-6"/>
              </w:rPr>
              <w:t>Ganserer, Markus (BÜNDNIS 90/DIE GRÜNEN)</w:t>
            </w:r>
            <w:r w:rsidRPr="00952247">
              <w:rPr>
                <w:spacing w:val="-6"/>
              </w:rPr>
              <w:tab/>
              <w:t>37</w:t>
            </w:r>
          </w:p>
        </w:tc>
        <w:tc>
          <w:tcPr>
            <w:tcW w:w="2500" w:type="pct"/>
            <w:tcBorders>
              <w:left w:val="single" w:sz="4" w:space="0" w:color="auto"/>
            </w:tcBorders>
          </w:tcPr>
          <w:p w:rsidR="00E330FE" w:rsidRPr="005833DD" w:rsidRDefault="00E330FE" w:rsidP="00E330FE">
            <w:pPr>
              <w:pStyle w:val="LTVerzeichnisDerFragendenRechts"/>
            </w:pPr>
            <w:r>
              <w:t>Schuster, Stefan (SPD)</w:t>
            </w:r>
            <w:r>
              <w:tab/>
              <w:t>26</w:t>
            </w:r>
          </w:p>
        </w:tc>
      </w:tr>
      <w:tr w:rsidR="00E330FE" w:rsidRPr="005833DD">
        <w:tc>
          <w:tcPr>
            <w:tcW w:w="2500" w:type="pct"/>
            <w:tcBorders>
              <w:right w:val="single" w:sz="4" w:space="0" w:color="auto"/>
            </w:tcBorders>
          </w:tcPr>
          <w:p w:rsidR="00E330FE" w:rsidRPr="00952247" w:rsidRDefault="00E330FE" w:rsidP="00E330FE">
            <w:pPr>
              <w:pStyle w:val="LTVerzeichnisDerFragendenLinks"/>
              <w:rPr>
                <w:spacing w:val="-6"/>
              </w:rPr>
            </w:pPr>
            <w:r w:rsidRPr="00952247">
              <w:rPr>
                <w:spacing w:val="-6"/>
              </w:rPr>
              <w:t>Gehring, Thomas (BÜNDNIS 90/DIE GRÜNEN)</w:t>
            </w:r>
            <w:r w:rsidRPr="00952247">
              <w:rPr>
                <w:spacing w:val="-6"/>
              </w:rPr>
              <w:tab/>
              <w:t>17</w:t>
            </w:r>
          </w:p>
        </w:tc>
        <w:tc>
          <w:tcPr>
            <w:tcW w:w="2500" w:type="pct"/>
            <w:tcBorders>
              <w:left w:val="single" w:sz="4" w:space="0" w:color="auto"/>
            </w:tcBorders>
          </w:tcPr>
          <w:p w:rsidR="00E330FE" w:rsidRPr="005833DD" w:rsidRDefault="00E330FE" w:rsidP="00E330FE">
            <w:pPr>
              <w:pStyle w:val="LTVerzeichnisDerFragendenRechts"/>
            </w:pPr>
            <w:r>
              <w:t>Sengl, Gisela (BÜNDNIS 90/DIE GRÜNEN)</w:t>
            </w:r>
            <w:r>
              <w:tab/>
              <w:t>50</w:t>
            </w:r>
          </w:p>
        </w:tc>
      </w:tr>
      <w:tr w:rsidR="00E330FE" w:rsidRPr="005833DD">
        <w:tc>
          <w:tcPr>
            <w:tcW w:w="2500" w:type="pct"/>
            <w:tcBorders>
              <w:right w:val="single" w:sz="4" w:space="0" w:color="auto"/>
            </w:tcBorders>
          </w:tcPr>
          <w:p w:rsidR="00E330FE" w:rsidRDefault="00E330FE" w:rsidP="00E330FE">
            <w:pPr>
              <w:pStyle w:val="LTVerzeichnisDerFragendenLinks"/>
            </w:pPr>
            <w:r>
              <w:t>Gote, Ulrike (BÜNDNIS 90/DIE GRÜNEN)</w:t>
            </w:r>
            <w:r>
              <w:tab/>
              <w:t>18</w:t>
            </w:r>
          </w:p>
        </w:tc>
        <w:tc>
          <w:tcPr>
            <w:tcW w:w="2500" w:type="pct"/>
            <w:tcBorders>
              <w:left w:val="single" w:sz="4" w:space="0" w:color="auto"/>
            </w:tcBorders>
          </w:tcPr>
          <w:p w:rsidR="00E330FE" w:rsidRPr="005833DD" w:rsidRDefault="00E330FE" w:rsidP="00E330FE">
            <w:pPr>
              <w:pStyle w:val="LTVerzeichnisDerFragendenRechts"/>
            </w:pPr>
            <w:r>
              <w:t>Sonnenholzner, Kathrin (SPD)</w:t>
            </w:r>
            <w:r>
              <w:tab/>
              <w:t>59</w:t>
            </w:r>
          </w:p>
        </w:tc>
      </w:tr>
      <w:tr w:rsidR="00E330FE" w:rsidRPr="005833DD">
        <w:tc>
          <w:tcPr>
            <w:tcW w:w="2500" w:type="pct"/>
            <w:tcBorders>
              <w:right w:val="single" w:sz="4" w:space="0" w:color="auto"/>
            </w:tcBorders>
          </w:tcPr>
          <w:p w:rsidR="00E330FE" w:rsidRDefault="00E330FE" w:rsidP="00E330FE">
            <w:pPr>
              <w:pStyle w:val="LTVerzeichnisDerFragendenLinks"/>
            </w:pPr>
            <w:r>
              <w:t>Güll, Martin (SPD)</w:t>
            </w:r>
            <w:r>
              <w:tab/>
              <w:t>20</w:t>
            </w:r>
          </w:p>
        </w:tc>
        <w:tc>
          <w:tcPr>
            <w:tcW w:w="2500" w:type="pct"/>
            <w:tcBorders>
              <w:left w:val="single" w:sz="4" w:space="0" w:color="auto"/>
            </w:tcBorders>
          </w:tcPr>
          <w:p w:rsidR="00E330FE" w:rsidRPr="00952247" w:rsidRDefault="00E330FE" w:rsidP="00952247">
            <w:pPr>
              <w:pStyle w:val="LTVerzeichnisDerFragendenLinks"/>
              <w:rPr>
                <w:spacing w:val="-6"/>
              </w:rPr>
            </w:pPr>
            <w:r w:rsidRPr="00952247">
              <w:rPr>
                <w:spacing w:val="-6"/>
              </w:rPr>
              <w:t>Stamm, Claudia (BÜNDNIS 90/DIE GRÜNEN)</w:t>
            </w:r>
            <w:r w:rsidRPr="00952247">
              <w:rPr>
                <w:spacing w:val="-6"/>
              </w:rPr>
              <w:tab/>
              <w:t>27</w:t>
            </w:r>
          </w:p>
        </w:tc>
      </w:tr>
      <w:tr w:rsidR="00E330FE" w:rsidRPr="005833DD">
        <w:tc>
          <w:tcPr>
            <w:tcW w:w="2500" w:type="pct"/>
            <w:tcBorders>
              <w:right w:val="single" w:sz="4" w:space="0" w:color="auto"/>
            </w:tcBorders>
          </w:tcPr>
          <w:p w:rsidR="00E330FE" w:rsidRDefault="00E330FE" w:rsidP="00E330FE">
            <w:pPr>
              <w:pStyle w:val="LTVerzeichnisDerFragendenLinks"/>
            </w:pPr>
            <w:r>
              <w:t>Güller, Harald (SPD)</w:t>
            </w:r>
            <w:r>
              <w:tab/>
              <w:t>19</w:t>
            </w:r>
          </w:p>
        </w:tc>
        <w:tc>
          <w:tcPr>
            <w:tcW w:w="2500" w:type="pct"/>
            <w:tcBorders>
              <w:left w:val="single" w:sz="4" w:space="0" w:color="auto"/>
            </w:tcBorders>
          </w:tcPr>
          <w:p w:rsidR="00E330FE" w:rsidRPr="005833DD" w:rsidRDefault="00E330FE" w:rsidP="00952247">
            <w:pPr>
              <w:pStyle w:val="LTVerzeichnisDerFragendenLinks"/>
            </w:pPr>
            <w:r w:rsidRPr="00952247">
              <w:rPr>
                <w:spacing w:val="-6"/>
              </w:rPr>
              <w:t>Steinberger, Rosi (BÜNDNIS 90/DIE GRÜNEN)</w:t>
            </w:r>
            <w:r w:rsidRPr="00952247">
              <w:rPr>
                <w:spacing w:val="-6"/>
              </w:rPr>
              <w:tab/>
              <w:t>11</w:t>
            </w:r>
          </w:p>
        </w:tc>
      </w:tr>
      <w:tr w:rsidR="00E330FE" w:rsidRPr="005833DD">
        <w:tc>
          <w:tcPr>
            <w:tcW w:w="2500" w:type="pct"/>
            <w:tcBorders>
              <w:right w:val="single" w:sz="4" w:space="0" w:color="auto"/>
            </w:tcBorders>
          </w:tcPr>
          <w:p w:rsidR="00E330FE" w:rsidRDefault="00E330FE" w:rsidP="00E330FE">
            <w:pPr>
              <w:pStyle w:val="LTVerzeichnisDerFragendenLinks"/>
            </w:pPr>
            <w:r>
              <w:t>Hartmann, Ludwig (BÜNDNIS 90/DIE GRÜNEN)</w:t>
            </w:r>
            <w:r>
              <w:tab/>
              <w:t>40</w:t>
            </w:r>
          </w:p>
        </w:tc>
        <w:tc>
          <w:tcPr>
            <w:tcW w:w="2500" w:type="pct"/>
            <w:tcBorders>
              <w:left w:val="single" w:sz="4" w:space="0" w:color="auto"/>
            </w:tcBorders>
          </w:tcPr>
          <w:p w:rsidR="00E330FE" w:rsidRPr="005833DD" w:rsidRDefault="00E330FE" w:rsidP="00E330FE">
            <w:pPr>
              <w:pStyle w:val="LTVerzeichnisDerFragendenRechts"/>
            </w:pPr>
            <w:r>
              <w:t>Streibl, Florian (FREIE WÄHLER)</w:t>
            </w:r>
            <w:r>
              <w:tab/>
              <w:t>12</w:t>
            </w:r>
          </w:p>
        </w:tc>
      </w:tr>
      <w:tr w:rsidR="00E330FE" w:rsidRPr="005833DD">
        <w:tc>
          <w:tcPr>
            <w:tcW w:w="2500" w:type="pct"/>
            <w:tcBorders>
              <w:right w:val="single" w:sz="4" w:space="0" w:color="auto"/>
            </w:tcBorders>
          </w:tcPr>
          <w:p w:rsidR="00E330FE" w:rsidRDefault="00E330FE" w:rsidP="00E330FE">
            <w:pPr>
              <w:pStyle w:val="LTVerzeichnisDerFragendenLinks"/>
            </w:pPr>
            <w:r>
              <w:t>Dr. Herz, Leopold (FREIE WÄHLER)</w:t>
            </w:r>
            <w:r>
              <w:tab/>
              <w:t>48</w:t>
            </w:r>
          </w:p>
        </w:tc>
        <w:tc>
          <w:tcPr>
            <w:tcW w:w="2500" w:type="pct"/>
            <w:tcBorders>
              <w:left w:val="single" w:sz="4" w:space="0" w:color="auto"/>
            </w:tcBorders>
          </w:tcPr>
          <w:p w:rsidR="00E330FE" w:rsidRPr="005833DD" w:rsidRDefault="00E330FE" w:rsidP="00E330FE">
            <w:pPr>
              <w:pStyle w:val="LTVerzeichnisDerFragendenRechts"/>
            </w:pPr>
            <w:r>
              <w:t>Strobl, Reinhold (SPD)</w:t>
            </w:r>
            <w:r>
              <w:tab/>
              <w:t>36</w:t>
            </w:r>
          </w:p>
        </w:tc>
      </w:tr>
      <w:tr w:rsidR="00E330FE" w:rsidRPr="005833DD">
        <w:tc>
          <w:tcPr>
            <w:tcW w:w="2500" w:type="pct"/>
            <w:tcBorders>
              <w:right w:val="single" w:sz="4" w:space="0" w:color="auto"/>
            </w:tcBorders>
          </w:tcPr>
          <w:p w:rsidR="00E330FE" w:rsidRDefault="00E330FE" w:rsidP="00E330FE">
            <w:pPr>
              <w:pStyle w:val="LTVerzeichnisDerFragendenLinks"/>
            </w:pPr>
            <w:r>
              <w:t>Kamm, Christine (BÜNDNIS 90/DIE GRÜNEN)</w:t>
            </w:r>
            <w:r>
              <w:tab/>
              <w:t>41</w:t>
            </w:r>
          </w:p>
        </w:tc>
        <w:tc>
          <w:tcPr>
            <w:tcW w:w="2500" w:type="pct"/>
            <w:tcBorders>
              <w:left w:val="single" w:sz="4" w:space="0" w:color="auto"/>
            </w:tcBorders>
          </w:tcPr>
          <w:p w:rsidR="00E330FE" w:rsidRPr="005833DD" w:rsidRDefault="00E330FE" w:rsidP="00E330FE">
            <w:pPr>
              <w:pStyle w:val="LTVerzeichnisDerFragendenRechts"/>
            </w:pPr>
            <w:r>
              <w:t>Dr. Strohmayr, Simone (SPD)</w:t>
            </w:r>
            <w:r>
              <w:tab/>
              <w:t>28</w:t>
            </w:r>
          </w:p>
        </w:tc>
      </w:tr>
      <w:tr w:rsidR="00E330FE" w:rsidRPr="005833DD">
        <w:tc>
          <w:tcPr>
            <w:tcW w:w="2500" w:type="pct"/>
            <w:tcBorders>
              <w:right w:val="single" w:sz="4" w:space="0" w:color="auto"/>
            </w:tcBorders>
          </w:tcPr>
          <w:p w:rsidR="00E330FE" w:rsidRDefault="00E330FE" w:rsidP="00E330FE">
            <w:pPr>
              <w:pStyle w:val="LTVerzeichnisDerFragendenLinks"/>
            </w:pPr>
            <w:r>
              <w:t>Karl, Annette (SPD)</w:t>
            </w:r>
            <w:r>
              <w:tab/>
              <w:t>34</w:t>
            </w:r>
          </w:p>
        </w:tc>
        <w:tc>
          <w:tcPr>
            <w:tcW w:w="2500" w:type="pct"/>
            <w:tcBorders>
              <w:left w:val="single" w:sz="4" w:space="0" w:color="auto"/>
            </w:tcBorders>
          </w:tcPr>
          <w:p w:rsidR="00E330FE" w:rsidRPr="00952247" w:rsidRDefault="00E330FE" w:rsidP="00952247">
            <w:pPr>
              <w:pStyle w:val="LTVerzeichnisDerFragendenLinks"/>
              <w:rPr>
                <w:spacing w:val="-6"/>
              </w:rPr>
            </w:pPr>
            <w:r w:rsidRPr="00952247">
              <w:rPr>
                <w:spacing w:val="-6"/>
              </w:rPr>
              <w:t>Stümpfig, Martin (BÜNDNIS 90/DIE GRÜNEN)</w:t>
            </w:r>
            <w:r w:rsidRPr="00952247">
              <w:rPr>
                <w:spacing w:val="-6"/>
              </w:rPr>
              <w:tab/>
              <w:t>45</w:t>
            </w:r>
          </w:p>
        </w:tc>
      </w:tr>
      <w:tr w:rsidR="00E330FE" w:rsidRPr="005833DD">
        <w:tc>
          <w:tcPr>
            <w:tcW w:w="2500" w:type="pct"/>
            <w:tcBorders>
              <w:right w:val="single" w:sz="4" w:space="0" w:color="auto"/>
            </w:tcBorders>
          </w:tcPr>
          <w:p w:rsidR="00E330FE" w:rsidRDefault="00E330FE" w:rsidP="00E330FE">
            <w:pPr>
              <w:pStyle w:val="LTVerzeichnisDerFragendenLinks"/>
            </w:pPr>
            <w:r>
              <w:lastRenderedPageBreak/>
              <w:t>Knoblauch, Günther (SPD)</w:t>
            </w:r>
            <w:r>
              <w:tab/>
              <w:t>21</w:t>
            </w:r>
          </w:p>
        </w:tc>
        <w:tc>
          <w:tcPr>
            <w:tcW w:w="2500" w:type="pct"/>
            <w:tcBorders>
              <w:left w:val="single" w:sz="4" w:space="0" w:color="auto"/>
            </w:tcBorders>
          </w:tcPr>
          <w:p w:rsidR="00E330FE" w:rsidRPr="005833DD" w:rsidRDefault="00952247" w:rsidP="00E330FE">
            <w:pPr>
              <w:pStyle w:val="LTVerzeichnisDerFragendenRechts"/>
            </w:pPr>
            <w:r>
              <w:t>Taşdelen</w:t>
            </w:r>
            <w:r w:rsidR="00E330FE">
              <w:t>, Arif (SPD)</w:t>
            </w:r>
            <w:r w:rsidR="00E330FE">
              <w:tab/>
              <w:t>54</w:t>
            </w:r>
          </w:p>
        </w:tc>
      </w:tr>
      <w:tr w:rsidR="00E330FE" w:rsidRPr="005833DD">
        <w:tc>
          <w:tcPr>
            <w:tcW w:w="2500" w:type="pct"/>
            <w:tcBorders>
              <w:right w:val="single" w:sz="4" w:space="0" w:color="auto"/>
            </w:tcBorders>
          </w:tcPr>
          <w:p w:rsidR="00E330FE" w:rsidRDefault="00E330FE" w:rsidP="00E330FE">
            <w:pPr>
              <w:pStyle w:val="LTVerzeichnisDerFragendenLinks"/>
            </w:pPr>
            <w:r>
              <w:t>Kraus, Nikolaus (FREIE WÄHLER)</w:t>
            </w:r>
            <w:r>
              <w:tab/>
              <w:t>42</w:t>
            </w:r>
          </w:p>
        </w:tc>
        <w:tc>
          <w:tcPr>
            <w:tcW w:w="2500" w:type="pct"/>
            <w:tcBorders>
              <w:left w:val="single" w:sz="4" w:space="0" w:color="auto"/>
            </w:tcBorders>
          </w:tcPr>
          <w:p w:rsidR="00E330FE" w:rsidRPr="005833DD" w:rsidRDefault="00E330FE" w:rsidP="00E330FE">
            <w:pPr>
              <w:pStyle w:val="LTVerzeichnisDerFragendenRechts"/>
            </w:pPr>
            <w:r>
              <w:t>Weikert, Angelika (SPD)</w:t>
            </w:r>
            <w:r>
              <w:tab/>
              <w:t>55</w:t>
            </w:r>
          </w:p>
        </w:tc>
      </w:tr>
      <w:tr w:rsidR="00E330FE" w:rsidRPr="005833DD">
        <w:tc>
          <w:tcPr>
            <w:tcW w:w="2500" w:type="pct"/>
            <w:tcBorders>
              <w:right w:val="single" w:sz="4" w:space="0" w:color="auto"/>
            </w:tcBorders>
          </w:tcPr>
          <w:p w:rsidR="00E330FE" w:rsidRDefault="00E330FE" w:rsidP="00E330FE">
            <w:pPr>
              <w:pStyle w:val="LTVerzeichnisDerFragendenLinks"/>
            </w:pPr>
            <w:r>
              <w:t>Leiner, Ulrich (BÜNDNIS 90/DIE GRÜNEN)</w:t>
            </w:r>
            <w:r>
              <w:tab/>
              <w:t>58</w:t>
            </w:r>
          </w:p>
        </w:tc>
        <w:tc>
          <w:tcPr>
            <w:tcW w:w="2500" w:type="pct"/>
            <w:tcBorders>
              <w:left w:val="single" w:sz="4" w:space="0" w:color="auto"/>
            </w:tcBorders>
          </w:tcPr>
          <w:p w:rsidR="00E330FE" w:rsidRPr="005833DD" w:rsidRDefault="00E330FE" w:rsidP="00E330FE">
            <w:pPr>
              <w:pStyle w:val="LTVerzeichnisDerFragendenRechts"/>
            </w:pPr>
            <w:r>
              <w:t>Werner-Muggendorfer, Johanna (SPD)</w:t>
            </w:r>
            <w:r>
              <w:tab/>
              <w:t>29</w:t>
            </w:r>
          </w:p>
        </w:tc>
      </w:tr>
      <w:tr w:rsidR="00E330FE" w:rsidRPr="005833DD">
        <w:tc>
          <w:tcPr>
            <w:tcW w:w="2500" w:type="pct"/>
            <w:tcBorders>
              <w:right w:val="single" w:sz="4" w:space="0" w:color="auto"/>
            </w:tcBorders>
          </w:tcPr>
          <w:p w:rsidR="00E330FE" w:rsidRDefault="00E330FE" w:rsidP="00E330FE">
            <w:pPr>
              <w:pStyle w:val="LTVerzeichnisDerFragendenLinks"/>
            </w:pPr>
            <w:r>
              <w:t>Lotte, Andreas (SPD)</w:t>
            </w:r>
            <w:r>
              <w:tab/>
              <w:t>3</w:t>
            </w:r>
          </w:p>
        </w:tc>
        <w:tc>
          <w:tcPr>
            <w:tcW w:w="2500" w:type="pct"/>
            <w:tcBorders>
              <w:left w:val="single" w:sz="4" w:space="0" w:color="auto"/>
            </w:tcBorders>
          </w:tcPr>
          <w:p w:rsidR="00E330FE" w:rsidRPr="005833DD" w:rsidRDefault="00E330FE" w:rsidP="00E330FE">
            <w:pPr>
              <w:pStyle w:val="LTVerzeichnisDerFragendenRechts"/>
            </w:pPr>
            <w:r>
              <w:t>Widmann, Jutta (FREIE WÄHLER)</w:t>
            </w:r>
            <w:r>
              <w:tab/>
              <w:t>30</w:t>
            </w:r>
          </w:p>
        </w:tc>
      </w:tr>
      <w:tr w:rsidR="00E330FE" w:rsidRPr="005833DD">
        <w:tc>
          <w:tcPr>
            <w:tcW w:w="2500" w:type="pct"/>
            <w:tcBorders>
              <w:right w:val="single" w:sz="4" w:space="0" w:color="auto"/>
            </w:tcBorders>
          </w:tcPr>
          <w:p w:rsidR="00E330FE" w:rsidRDefault="00E330FE" w:rsidP="00E330FE">
            <w:pPr>
              <w:pStyle w:val="LTVerzeichnisDerFragendenLinks"/>
            </w:pPr>
            <w:r>
              <w:t>Meyer, Peter (FREIE WÄHLER)</w:t>
            </w:r>
            <w:r>
              <w:tab/>
              <w:t>4</w:t>
            </w:r>
          </w:p>
        </w:tc>
        <w:tc>
          <w:tcPr>
            <w:tcW w:w="2500" w:type="pct"/>
            <w:tcBorders>
              <w:left w:val="single" w:sz="4" w:space="0" w:color="auto"/>
            </w:tcBorders>
          </w:tcPr>
          <w:p w:rsidR="00E330FE" w:rsidRPr="005833DD" w:rsidRDefault="00E330FE" w:rsidP="00E330FE">
            <w:pPr>
              <w:pStyle w:val="LTVerzeichnisDerFragendenRechts"/>
            </w:pPr>
            <w:r>
              <w:t>Wild, Margit (SPD)</w:t>
            </w:r>
            <w:r>
              <w:tab/>
              <w:t>31</w:t>
            </w:r>
          </w:p>
        </w:tc>
      </w:tr>
      <w:tr w:rsidR="00E330FE" w:rsidRPr="005833DD">
        <w:tc>
          <w:tcPr>
            <w:tcW w:w="2500" w:type="pct"/>
            <w:tcBorders>
              <w:right w:val="single" w:sz="4" w:space="0" w:color="auto"/>
            </w:tcBorders>
          </w:tcPr>
          <w:p w:rsidR="00E330FE" w:rsidRDefault="00E330FE" w:rsidP="00E330FE">
            <w:pPr>
              <w:pStyle w:val="LTVerzeichnisDerFragendenLinks"/>
            </w:pPr>
            <w:r>
              <w:t>Mistol, Jürgen (BÜNDNIS 90/DIE GRÜNEN)</w:t>
            </w:r>
            <w:r>
              <w:tab/>
              <w:t>5</w:t>
            </w:r>
          </w:p>
        </w:tc>
        <w:tc>
          <w:tcPr>
            <w:tcW w:w="2500" w:type="pct"/>
            <w:tcBorders>
              <w:left w:val="single" w:sz="4" w:space="0" w:color="auto"/>
            </w:tcBorders>
          </w:tcPr>
          <w:p w:rsidR="00E330FE" w:rsidRPr="005833DD" w:rsidRDefault="00E330FE" w:rsidP="00E330FE">
            <w:pPr>
              <w:pStyle w:val="LTVerzeichnisDerFragendenRechts"/>
            </w:pPr>
            <w:r>
              <w:t>Woerlein, Herbert (SPD)</w:t>
            </w:r>
            <w:r>
              <w:tab/>
              <w:t>13</w:t>
            </w:r>
          </w:p>
        </w:tc>
      </w:tr>
      <w:tr w:rsidR="00E330FE" w:rsidRPr="005833DD">
        <w:tc>
          <w:tcPr>
            <w:tcW w:w="2500" w:type="pct"/>
            <w:tcBorders>
              <w:right w:val="single" w:sz="4" w:space="0" w:color="auto"/>
            </w:tcBorders>
          </w:tcPr>
          <w:p w:rsidR="00E330FE" w:rsidRDefault="00E330FE" w:rsidP="00E330FE">
            <w:pPr>
              <w:pStyle w:val="LTVerzeichnisDerFragendenLinks"/>
            </w:pPr>
            <w:r>
              <w:t>Müller, Ruth (SPD)</w:t>
            </w:r>
            <w:r>
              <w:tab/>
              <w:t>49</w:t>
            </w:r>
          </w:p>
        </w:tc>
        <w:tc>
          <w:tcPr>
            <w:tcW w:w="2500" w:type="pct"/>
            <w:tcBorders>
              <w:left w:val="single" w:sz="4" w:space="0" w:color="auto"/>
            </w:tcBorders>
          </w:tcPr>
          <w:p w:rsidR="00E330FE" w:rsidRPr="005833DD" w:rsidRDefault="00E330FE" w:rsidP="00E330FE">
            <w:pPr>
              <w:pStyle w:val="LTVerzeichnisDerFragendenRechts"/>
            </w:pPr>
            <w:r>
              <w:t>Zacharias, Isabell (SPD)</w:t>
            </w:r>
            <w:r>
              <w:tab/>
              <w:t>14</w:t>
            </w:r>
          </w:p>
        </w:tc>
      </w:tr>
      <w:tr w:rsidR="00E330FE" w:rsidRPr="005833DD">
        <w:tc>
          <w:tcPr>
            <w:tcW w:w="2500" w:type="pct"/>
            <w:tcBorders>
              <w:right w:val="single" w:sz="4" w:space="0" w:color="auto"/>
            </w:tcBorders>
          </w:tcPr>
          <w:p w:rsidR="00E330FE" w:rsidRDefault="00E330FE" w:rsidP="00E330FE">
            <w:pPr>
              <w:pStyle w:val="LTVerzeichnisDerFragendenLinks"/>
            </w:pPr>
            <w:r w:rsidRPr="00952247">
              <w:rPr>
                <w:spacing w:val="-6"/>
              </w:rPr>
              <w:t>Mütze, Thomas (BÜNDNIS 90/DIE GRÜNEN)</w:t>
            </w:r>
            <w:r w:rsidRPr="00952247">
              <w:rPr>
                <w:spacing w:val="-6"/>
              </w:rPr>
              <w:tab/>
              <w:t>43</w:t>
            </w:r>
          </w:p>
        </w:tc>
        <w:tc>
          <w:tcPr>
            <w:tcW w:w="2500" w:type="pct"/>
            <w:tcBorders>
              <w:left w:val="single" w:sz="4" w:space="0" w:color="auto"/>
            </w:tcBorders>
          </w:tcPr>
          <w:p w:rsidR="00E330FE" w:rsidRPr="005833DD" w:rsidRDefault="00E330FE" w:rsidP="00E330FE">
            <w:pPr>
              <w:pStyle w:val="LTVerzeichnisDerFragendenRechts"/>
            </w:pPr>
            <w:r>
              <w:t>Zierer, Benno (FREIE WÄHLER)</w:t>
            </w:r>
            <w:r>
              <w:tab/>
              <w:t>15</w:t>
            </w:r>
          </w:p>
        </w:tc>
      </w:tr>
      <w:tr w:rsidR="00A42EAA" w:rsidRPr="005833DD">
        <w:tc>
          <w:tcPr>
            <w:tcW w:w="2500" w:type="pct"/>
            <w:tcBorders>
              <w:right w:val="single" w:sz="4" w:space="0" w:color="auto"/>
            </w:tcBorders>
          </w:tcPr>
          <w:p w:rsidR="00A42EAA" w:rsidRDefault="00E330FE" w:rsidP="00E330FE">
            <w:pPr>
              <w:pStyle w:val="LTVerzeichnisDerFragendenLinks"/>
            </w:pPr>
            <w:r>
              <w:t>Muthmann, Alexander (FREIE WÄHLER)</w:t>
            </w:r>
            <w:r>
              <w:tab/>
              <w:t>6</w:t>
            </w:r>
          </w:p>
        </w:tc>
        <w:tc>
          <w:tcPr>
            <w:tcW w:w="2500" w:type="pct"/>
            <w:tcBorders>
              <w:left w:val="single" w:sz="4" w:space="0" w:color="auto"/>
            </w:tcBorders>
          </w:tcPr>
          <w:p w:rsidR="00A42EAA" w:rsidRPr="005833DD" w:rsidRDefault="00A42EAA"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E330FE"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477421130" w:history="1">
        <w:r w:rsidR="00E330FE" w:rsidRPr="00CC4928">
          <w:rPr>
            <w:rStyle w:val="Hyperlink"/>
            <w:noProof/>
          </w:rPr>
          <w:t>Geschäftsbereich des Staatsministeriums des Innern, für Bau und Verkehr</w:t>
        </w:r>
        <w:r w:rsidR="00E330FE">
          <w:rPr>
            <w:noProof/>
            <w:webHidden/>
          </w:rPr>
          <w:tab/>
        </w:r>
        <w:r w:rsidR="00E330FE">
          <w:rPr>
            <w:noProof/>
            <w:webHidden/>
          </w:rPr>
          <w:fldChar w:fldCharType="begin"/>
        </w:r>
        <w:r w:rsidR="00E330FE">
          <w:rPr>
            <w:noProof/>
            <w:webHidden/>
          </w:rPr>
          <w:instrText xml:space="preserve"> PAGEREF _Toc477421130 \h </w:instrText>
        </w:r>
        <w:r w:rsidR="00E330FE">
          <w:rPr>
            <w:noProof/>
            <w:webHidden/>
          </w:rPr>
        </w:r>
        <w:r w:rsidR="00E330FE">
          <w:rPr>
            <w:noProof/>
            <w:webHidden/>
          </w:rPr>
          <w:fldChar w:fldCharType="separate"/>
        </w:r>
        <w:r w:rsidR="004D19E0">
          <w:rPr>
            <w:noProof/>
            <w:webHidden/>
          </w:rPr>
          <w:t>1</w:t>
        </w:r>
        <w:r w:rsidR="00E330FE">
          <w:rPr>
            <w:noProof/>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1" w:history="1">
        <w:r w:rsidR="00E330FE" w:rsidRPr="00CC4928">
          <w:rPr>
            <w:rStyle w:val="Hyperlink"/>
          </w:rPr>
          <w:t>Celina, Kerstin (BÜNDNIS 90/DIE GRÜNEN)</w:t>
        </w:r>
        <w:r w:rsidR="00E330FE" w:rsidRPr="00CC4928">
          <w:rPr>
            <w:rStyle w:val="Hyperlink"/>
          </w:rPr>
          <w:br/>
          <w:t>Sicherheit im Straßenverkehr für hör</w:t>
        </w:r>
        <w:r w:rsidR="00353838">
          <w:rPr>
            <w:rStyle w:val="Hyperlink"/>
          </w:rPr>
          <w:softHyphen/>
        </w:r>
        <w:r w:rsidR="00E330FE" w:rsidRPr="00CC4928">
          <w:rPr>
            <w:rStyle w:val="Hyperlink"/>
          </w:rPr>
          <w:t>be</w:t>
        </w:r>
        <w:r w:rsidR="00353838">
          <w:rPr>
            <w:rStyle w:val="Hyperlink"/>
          </w:rPr>
          <w:softHyphen/>
        </w:r>
        <w:r w:rsidR="00E330FE" w:rsidRPr="00CC4928">
          <w:rPr>
            <w:rStyle w:val="Hyperlink"/>
          </w:rPr>
          <w:t>hinderte Menschen durch das C-ITS Corridor-Projekt?</w:t>
        </w:r>
        <w:r w:rsidR="00E330FE">
          <w:rPr>
            <w:webHidden/>
          </w:rPr>
          <w:tab/>
        </w:r>
        <w:r w:rsidR="00E330FE">
          <w:rPr>
            <w:webHidden/>
          </w:rPr>
          <w:fldChar w:fldCharType="begin"/>
        </w:r>
        <w:r w:rsidR="00E330FE">
          <w:rPr>
            <w:webHidden/>
          </w:rPr>
          <w:instrText xml:space="preserve"> PAGEREF _Toc477421131 \h </w:instrText>
        </w:r>
        <w:r w:rsidR="00E330FE">
          <w:rPr>
            <w:webHidden/>
          </w:rPr>
        </w:r>
        <w:r w:rsidR="00E330FE">
          <w:rPr>
            <w:webHidden/>
          </w:rPr>
          <w:fldChar w:fldCharType="separate"/>
        </w:r>
        <w:r w:rsidR="004D19E0">
          <w:rPr>
            <w:webHidden/>
          </w:rPr>
          <w:t>1</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2" w:history="1">
        <w:r w:rsidR="00E330FE" w:rsidRPr="00CC4928">
          <w:rPr>
            <w:rStyle w:val="Hyperlink"/>
          </w:rPr>
          <w:t>Dr. Fahn, Hans Jürgen (FREIE WÄHLER)</w:t>
        </w:r>
        <w:r w:rsidR="00E330FE" w:rsidRPr="00CC4928">
          <w:rPr>
            <w:rStyle w:val="Hyperlink"/>
          </w:rPr>
          <w:br/>
          <w:t>Streckenbezogene Geschwindigkeits</w:t>
        </w:r>
        <w:r w:rsidR="00353838">
          <w:rPr>
            <w:rStyle w:val="Hyperlink"/>
          </w:rPr>
          <w:softHyphen/>
        </w:r>
        <w:r w:rsidR="00E330FE" w:rsidRPr="00CC4928">
          <w:rPr>
            <w:rStyle w:val="Hyperlink"/>
          </w:rPr>
          <w:t>beschränkungen</w:t>
        </w:r>
        <w:r w:rsidR="00E330FE">
          <w:rPr>
            <w:webHidden/>
          </w:rPr>
          <w:tab/>
        </w:r>
        <w:r w:rsidR="00E330FE">
          <w:rPr>
            <w:webHidden/>
          </w:rPr>
          <w:fldChar w:fldCharType="begin"/>
        </w:r>
        <w:r w:rsidR="00E330FE">
          <w:rPr>
            <w:webHidden/>
          </w:rPr>
          <w:instrText xml:space="preserve"> PAGEREF _Toc477421132 \h </w:instrText>
        </w:r>
        <w:r w:rsidR="00E330FE">
          <w:rPr>
            <w:webHidden/>
          </w:rPr>
        </w:r>
        <w:r w:rsidR="00E330FE">
          <w:rPr>
            <w:webHidden/>
          </w:rPr>
          <w:fldChar w:fldCharType="separate"/>
        </w:r>
        <w:r w:rsidR="004D19E0">
          <w:rPr>
            <w:webHidden/>
          </w:rPr>
          <w:t>2</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3" w:history="1">
        <w:r w:rsidR="00E330FE" w:rsidRPr="00CC4928">
          <w:rPr>
            <w:rStyle w:val="Hyperlink"/>
          </w:rPr>
          <w:t>Lotte, Andreas (SPD)</w:t>
        </w:r>
        <w:r w:rsidR="00E330FE" w:rsidRPr="00CC4928">
          <w:rPr>
            <w:rStyle w:val="Hyperlink"/>
          </w:rPr>
          <w:br/>
          <w:t>Wohnungsgenehmigungen 2016</w:t>
        </w:r>
        <w:r w:rsidR="00E330FE">
          <w:rPr>
            <w:webHidden/>
          </w:rPr>
          <w:tab/>
        </w:r>
        <w:r w:rsidR="00E330FE">
          <w:rPr>
            <w:webHidden/>
          </w:rPr>
          <w:fldChar w:fldCharType="begin"/>
        </w:r>
        <w:r w:rsidR="00E330FE">
          <w:rPr>
            <w:webHidden/>
          </w:rPr>
          <w:instrText xml:space="preserve"> PAGEREF _Toc477421133 \h </w:instrText>
        </w:r>
        <w:r w:rsidR="00E330FE">
          <w:rPr>
            <w:webHidden/>
          </w:rPr>
        </w:r>
        <w:r w:rsidR="00E330FE">
          <w:rPr>
            <w:webHidden/>
          </w:rPr>
          <w:fldChar w:fldCharType="separate"/>
        </w:r>
        <w:r w:rsidR="004D19E0">
          <w:rPr>
            <w:webHidden/>
          </w:rPr>
          <w:t>3</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4" w:history="1">
        <w:r w:rsidR="00E330FE" w:rsidRPr="00CC4928">
          <w:rPr>
            <w:rStyle w:val="Hyperlink"/>
          </w:rPr>
          <w:t>Meyer, Peter (FREIE WÄHLER)</w:t>
        </w:r>
        <w:r w:rsidR="00E330FE" w:rsidRPr="00CC4928">
          <w:rPr>
            <w:rStyle w:val="Hyperlink"/>
          </w:rPr>
          <w:br/>
          <w:t>Ortsdurchfahrt Bindlach der Staats</w:t>
        </w:r>
        <w:r w:rsidR="00353838">
          <w:rPr>
            <w:rStyle w:val="Hyperlink"/>
          </w:rPr>
          <w:softHyphen/>
        </w:r>
        <w:r w:rsidR="00E330FE" w:rsidRPr="00CC4928">
          <w:rPr>
            <w:rStyle w:val="Hyperlink"/>
          </w:rPr>
          <w:t>straße 2460 (ehemalige Bundes</w:t>
        </w:r>
        <w:r w:rsidR="00353838">
          <w:rPr>
            <w:rStyle w:val="Hyperlink"/>
          </w:rPr>
          <w:softHyphen/>
        </w:r>
        <w:r w:rsidR="00E330FE" w:rsidRPr="00CC4928">
          <w:rPr>
            <w:rStyle w:val="Hyperlink"/>
          </w:rPr>
          <w:t>straße</w:t>
        </w:r>
        <w:r w:rsidR="00353838">
          <w:rPr>
            <w:rStyle w:val="Hyperlink"/>
          </w:rPr>
          <w:t> </w:t>
        </w:r>
        <w:r w:rsidR="00E330FE" w:rsidRPr="00CC4928">
          <w:rPr>
            <w:rStyle w:val="Hyperlink"/>
          </w:rPr>
          <w:t>2)</w:t>
        </w:r>
        <w:r w:rsidR="00E330FE">
          <w:rPr>
            <w:webHidden/>
          </w:rPr>
          <w:tab/>
        </w:r>
        <w:r w:rsidR="00E330FE">
          <w:rPr>
            <w:webHidden/>
          </w:rPr>
          <w:fldChar w:fldCharType="begin"/>
        </w:r>
        <w:r w:rsidR="00E330FE">
          <w:rPr>
            <w:webHidden/>
          </w:rPr>
          <w:instrText xml:space="preserve"> PAGEREF _Toc477421134 \h </w:instrText>
        </w:r>
        <w:r w:rsidR="00E330FE">
          <w:rPr>
            <w:webHidden/>
          </w:rPr>
        </w:r>
        <w:r w:rsidR="00E330FE">
          <w:rPr>
            <w:webHidden/>
          </w:rPr>
          <w:fldChar w:fldCharType="separate"/>
        </w:r>
        <w:r w:rsidR="004D19E0">
          <w:rPr>
            <w:webHidden/>
          </w:rPr>
          <w:t>3</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5" w:history="1">
        <w:r w:rsidR="00E330FE" w:rsidRPr="00CC4928">
          <w:rPr>
            <w:rStyle w:val="Hyperlink"/>
          </w:rPr>
          <w:t>Mistol, Jürgen (BÜNDNIS 90/DIE GRÜNEN)</w:t>
        </w:r>
        <w:r w:rsidR="00E330FE" w:rsidRPr="00CC4928">
          <w:rPr>
            <w:rStyle w:val="Hyperlink"/>
          </w:rPr>
          <w:br/>
          <w:t>Kreditvergabe bei der Sparkasse Regensburg</w:t>
        </w:r>
        <w:r w:rsidR="00E330FE">
          <w:rPr>
            <w:webHidden/>
          </w:rPr>
          <w:tab/>
        </w:r>
        <w:r w:rsidR="00E330FE">
          <w:rPr>
            <w:webHidden/>
          </w:rPr>
          <w:fldChar w:fldCharType="begin"/>
        </w:r>
        <w:r w:rsidR="00E330FE">
          <w:rPr>
            <w:webHidden/>
          </w:rPr>
          <w:instrText xml:space="preserve"> PAGEREF _Toc477421135 \h </w:instrText>
        </w:r>
        <w:r w:rsidR="00E330FE">
          <w:rPr>
            <w:webHidden/>
          </w:rPr>
        </w:r>
        <w:r w:rsidR="00E330FE">
          <w:rPr>
            <w:webHidden/>
          </w:rPr>
          <w:fldChar w:fldCharType="separate"/>
        </w:r>
        <w:r w:rsidR="004D19E0">
          <w:rPr>
            <w:webHidden/>
          </w:rPr>
          <w:t>4</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6" w:history="1">
        <w:r w:rsidR="00E330FE" w:rsidRPr="00CC4928">
          <w:rPr>
            <w:rStyle w:val="Hyperlink"/>
          </w:rPr>
          <w:t>Muthmann, Alexander (FREIE WÄHLER)</w:t>
        </w:r>
        <w:r w:rsidR="00E330FE" w:rsidRPr="00CC4928">
          <w:rPr>
            <w:rStyle w:val="Hyperlink"/>
          </w:rPr>
          <w:br/>
          <w:t>Kosten für den Bau von Unterkunftsgebäuden bei der Bayerischen Polizei</w:t>
        </w:r>
        <w:r w:rsidR="00E330FE">
          <w:rPr>
            <w:webHidden/>
          </w:rPr>
          <w:tab/>
        </w:r>
        <w:r w:rsidR="00E330FE">
          <w:rPr>
            <w:webHidden/>
          </w:rPr>
          <w:fldChar w:fldCharType="begin"/>
        </w:r>
        <w:r w:rsidR="00E330FE">
          <w:rPr>
            <w:webHidden/>
          </w:rPr>
          <w:instrText xml:space="preserve"> PAGEREF _Toc477421136 \h </w:instrText>
        </w:r>
        <w:r w:rsidR="00E330FE">
          <w:rPr>
            <w:webHidden/>
          </w:rPr>
        </w:r>
        <w:r w:rsidR="00E330FE">
          <w:rPr>
            <w:webHidden/>
          </w:rPr>
          <w:fldChar w:fldCharType="separate"/>
        </w:r>
        <w:r w:rsidR="004D19E0">
          <w:rPr>
            <w:webHidden/>
          </w:rPr>
          <w:t>5</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7" w:history="1">
        <w:r w:rsidR="00E330FE" w:rsidRPr="00CC4928">
          <w:rPr>
            <w:rStyle w:val="Hyperlink"/>
          </w:rPr>
          <w:t>Petersen, Kathi (SPD)</w:t>
        </w:r>
        <w:r w:rsidR="00E330FE" w:rsidRPr="00CC4928">
          <w:rPr>
            <w:rStyle w:val="Hyperlink"/>
          </w:rPr>
          <w:br/>
          <w:t>Abschiebungen nach Afghanistan</w:t>
        </w:r>
        <w:r w:rsidR="00E330FE">
          <w:rPr>
            <w:webHidden/>
          </w:rPr>
          <w:tab/>
        </w:r>
        <w:r w:rsidR="00E330FE">
          <w:rPr>
            <w:webHidden/>
          </w:rPr>
          <w:fldChar w:fldCharType="begin"/>
        </w:r>
        <w:r w:rsidR="00E330FE">
          <w:rPr>
            <w:webHidden/>
          </w:rPr>
          <w:instrText xml:space="preserve"> PAGEREF _Toc477421137 \h </w:instrText>
        </w:r>
        <w:r w:rsidR="00E330FE">
          <w:rPr>
            <w:webHidden/>
          </w:rPr>
        </w:r>
        <w:r w:rsidR="00E330FE">
          <w:rPr>
            <w:webHidden/>
          </w:rPr>
          <w:fldChar w:fldCharType="separate"/>
        </w:r>
        <w:r w:rsidR="004D19E0">
          <w:rPr>
            <w:webHidden/>
          </w:rPr>
          <w:t>5</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8" w:history="1">
        <w:r w:rsidR="00E330FE" w:rsidRPr="00CC4928">
          <w:rPr>
            <w:rStyle w:val="Hyperlink"/>
          </w:rPr>
          <w:t>Ritter, Florian (SPD)</w:t>
        </w:r>
        <w:r w:rsidR="00E330FE" w:rsidRPr="00CC4928">
          <w:rPr>
            <w:rStyle w:val="Hyperlink"/>
          </w:rPr>
          <w:br/>
          <w:t xml:space="preserve">Seminare von </w:t>
        </w:r>
        <w:r w:rsidR="00793F8E">
          <w:rPr>
            <w:rStyle w:val="Hyperlink"/>
          </w:rPr>
          <w:t>„</w:t>
        </w:r>
        <w:r w:rsidR="00E330FE" w:rsidRPr="00CC4928">
          <w:rPr>
            <w:rStyle w:val="Hyperlink"/>
          </w:rPr>
          <w:t>Reichsbürgern</w:t>
        </w:r>
        <w:r w:rsidR="00793F8E">
          <w:rPr>
            <w:rStyle w:val="Hyperlink"/>
          </w:rPr>
          <w:t>“</w:t>
        </w:r>
        <w:r w:rsidR="00E330FE" w:rsidRPr="00CC4928">
          <w:rPr>
            <w:rStyle w:val="Hyperlink"/>
          </w:rPr>
          <w:t xml:space="preserve"> in Bayern</w:t>
        </w:r>
        <w:r w:rsidR="00E330FE">
          <w:rPr>
            <w:webHidden/>
          </w:rPr>
          <w:tab/>
        </w:r>
        <w:r w:rsidR="00E330FE">
          <w:rPr>
            <w:webHidden/>
          </w:rPr>
          <w:fldChar w:fldCharType="begin"/>
        </w:r>
        <w:r w:rsidR="00E330FE">
          <w:rPr>
            <w:webHidden/>
          </w:rPr>
          <w:instrText xml:space="preserve"> PAGEREF _Toc477421138 \h </w:instrText>
        </w:r>
        <w:r w:rsidR="00E330FE">
          <w:rPr>
            <w:webHidden/>
          </w:rPr>
        </w:r>
        <w:r w:rsidR="00E330FE">
          <w:rPr>
            <w:webHidden/>
          </w:rPr>
          <w:fldChar w:fldCharType="separate"/>
        </w:r>
        <w:r w:rsidR="004D19E0">
          <w:rPr>
            <w:webHidden/>
          </w:rPr>
          <w:t>6</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39" w:history="1">
        <w:r w:rsidR="00E330FE" w:rsidRPr="00CC4928">
          <w:rPr>
            <w:rStyle w:val="Hyperlink"/>
          </w:rPr>
          <w:t>Scheuenstuhl, Harry (SPD)</w:t>
        </w:r>
        <w:r w:rsidR="00E330FE" w:rsidRPr="00CC4928">
          <w:rPr>
            <w:rStyle w:val="Hyperlink"/>
          </w:rPr>
          <w:br/>
          <w:t>Beschluss des Bayerischen Verwal</w:t>
        </w:r>
        <w:r w:rsidR="00353838">
          <w:rPr>
            <w:rStyle w:val="Hyperlink"/>
          </w:rPr>
          <w:softHyphen/>
        </w:r>
        <w:r w:rsidR="00E330FE" w:rsidRPr="00CC4928">
          <w:rPr>
            <w:rStyle w:val="Hyperlink"/>
          </w:rPr>
          <w:t>tungs</w:t>
        </w:r>
        <w:r w:rsidR="00353838">
          <w:rPr>
            <w:rStyle w:val="Hyperlink"/>
          </w:rPr>
          <w:softHyphen/>
        </w:r>
        <w:r w:rsidR="00E330FE" w:rsidRPr="00CC4928">
          <w:rPr>
            <w:rStyle w:val="Hyperlink"/>
          </w:rPr>
          <w:t>gerichtshofs vom 27. Feb</w:t>
        </w:r>
        <w:r w:rsidR="0069325A">
          <w:rPr>
            <w:rStyle w:val="Hyperlink"/>
          </w:rPr>
          <w:t>-r</w:t>
        </w:r>
        <w:r w:rsidR="00E330FE" w:rsidRPr="00CC4928">
          <w:rPr>
            <w:rStyle w:val="Hyperlink"/>
          </w:rPr>
          <w:t>uar</w:t>
        </w:r>
        <w:r w:rsidR="00353838">
          <w:rPr>
            <w:rStyle w:val="Hyperlink"/>
          </w:rPr>
          <w:t> </w:t>
        </w:r>
        <w:r w:rsidR="00E330FE" w:rsidRPr="00CC4928">
          <w:rPr>
            <w:rStyle w:val="Hyperlink"/>
          </w:rPr>
          <w:t>2017 zur Gültigkeit der Informa</w:t>
        </w:r>
        <w:r w:rsidR="00353838">
          <w:rPr>
            <w:rStyle w:val="Hyperlink"/>
          </w:rPr>
          <w:softHyphen/>
        </w:r>
        <w:r w:rsidR="00E330FE" w:rsidRPr="00CC4928">
          <w:rPr>
            <w:rStyle w:val="Hyperlink"/>
          </w:rPr>
          <w:t>tions</w:t>
        </w:r>
        <w:r w:rsidR="00353838">
          <w:rPr>
            <w:rStyle w:val="Hyperlink"/>
          </w:rPr>
          <w:softHyphen/>
        </w:r>
        <w:r w:rsidR="00E330FE" w:rsidRPr="00CC4928">
          <w:rPr>
            <w:rStyle w:val="Hyperlink"/>
          </w:rPr>
          <w:t>freiheitssatzung der Gemeinde Inzell</w:t>
        </w:r>
        <w:r w:rsidR="00E330FE">
          <w:rPr>
            <w:webHidden/>
          </w:rPr>
          <w:tab/>
        </w:r>
        <w:r w:rsidR="00E330FE">
          <w:rPr>
            <w:webHidden/>
          </w:rPr>
          <w:fldChar w:fldCharType="begin"/>
        </w:r>
        <w:r w:rsidR="00E330FE">
          <w:rPr>
            <w:webHidden/>
          </w:rPr>
          <w:instrText xml:space="preserve"> PAGEREF _Toc477421139 \h </w:instrText>
        </w:r>
        <w:r w:rsidR="00E330FE">
          <w:rPr>
            <w:webHidden/>
          </w:rPr>
        </w:r>
        <w:r w:rsidR="00E330FE">
          <w:rPr>
            <w:webHidden/>
          </w:rPr>
          <w:fldChar w:fldCharType="separate"/>
        </w:r>
        <w:r w:rsidR="004D19E0">
          <w:rPr>
            <w:webHidden/>
          </w:rPr>
          <w:t>7</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0" w:history="1">
        <w:r w:rsidR="00E330FE" w:rsidRPr="00CC4928">
          <w:rPr>
            <w:rStyle w:val="Hyperlink"/>
          </w:rPr>
          <w:t>Schulze, Katharina (BÜNDNIS 90/DIE GRÜNEN)</w:t>
        </w:r>
        <w:r w:rsidR="00E330FE" w:rsidRPr="00CC4928">
          <w:rPr>
            <w:rStyle w:val="Hyperlink"/>
          </w:rPr>
          <w:br/>
          <w:t xml:space="preserve">Verfassungsschutz aktiv im Bereich </w:t>
        </w:r>
        <w:r w:rsidR="00E330FE" w:rsidRPr="00CC4928">
          <w:rPr>
            <w:rStyle w:val="Hyperlink"/>
          </w:rPr>
          <w:lastRenderedPageBreak/>
          <w:t>der Islamismus- bzw. Salafismus</w:t>
        </w:r>
        <w:r w:rsidR="00353838">
          <w:rPr>
            <w:rStyle w:val="Hyperlink"/>
          </w:rPr>
          <w:softHyphen/>
        </w:r>
        <w:r w:rsidR="00E330FE" w:rsidRPr="00CC4928">
          <w:rPr>
            <w:rStyle w:val="Hyperlink"/>
          </w:rPr>
          <w:t>prävention</w:t>
        </w:r>
        <w:r w:rsidR="00E330FE">
          <w:rPr>
            <w:webHidden/>
          </w:rPr>
          <w:tab/>
        </w:r>
        <w:r w:rsidR="00E330FE">
          <w:rPr>
            <w:webHidden/>
          </w:rPr>
          <w:fldChar w:fldCharType="begin"/>
        </w:r>
        <w:r w:rsidR="00E330FE">
          <w:rPr>
            <w:webHidden/>
          </w:rPr>
          <w:instrText xml:space="preserve"> PAGEREF _Toc477421140 \h </w:instrText>
        </w:r>
        <w:r w:rsidR="00E330FE">
          <w:rPr>
            <w:webHidden/>
          </w:rPr>
        </w:r>
        <w:r w:rsidR="00E330FE">
          <w:rPr>
            <w:webHidden/>
          </w:rPr>
          <w:fldChar w:fldCharType="separate"/>
        </w:r>
        <w:r w:rsidR="004D19E0">
          <w:rPr>
            <w:webHidden/>
          </w:rPr>
          <w:t>8</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1" w:history="1">
        <w:r w:rsidR="00E330FE" w:rsidRPr="00CC4928">
          <w:rPr>
            <w:rStyle w:val="Hyperlink"/>
          </w:rPr>
          <w:t>Steinberger, Rosi (BÜNDNIS 90/DIE GRÜNEN)</w:t>
        </w:r>
        <w:r w:rsidR="00E330FE" w:rsidRPr="00CC4928">
          <w:rPr>
            <w:rStyle w:val="Hyperlink"/>
          </w:rPr>
          <w:br/>
          <w:t>Fördermittel nach Art. 13f des Finanzausgleichsgesetzes (FAG)</w:t>
        </w:r>
        <w:r w:rsidR="00E330FE">
          <w:rPr>
            <w:webHidden/>
          </w:rPr>
          <w:tab/>
        </w:r>
        <w:r w:rsidR="00E330FE">
          <w:rPr>
            <w:webHidden/>
          </w:rPr>
          <w:fldChar w:fldCharType="begin"/>
        </w:r>
        <w:r w:rsidR="00E330FE">
          <w:rPr>
            <w:webHidden/>
          </w:rPr>
          <w:instrText xml:space="preserve"> PAGEREF _Toc477421141 \h </w:instrText>
        </w:r>
        <w:r w:rsidR="00E330FE">
          <w:rPr>
            <w:webHidden/>
          </w:rPr>
        </w:r>
        <w:r w:rsidR="00E330FE">
          <w:rPr>
            <w:webHidden/>
          </w:rPr>
          <w:fldChar w:fldCharType="separate"/>
        </w:r>
        <w:r w:rsidR="004D19E0">
          <w:rPr>
            <w:webHidden/>
          </w:rPr>
          <w:t>11</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2" w:history="1">
        <w:r w:rsidR="00E330FE" w:rsidRPr="00CC4928">
          <w:rPr>
            <w:rStyle w:val="Hyperlink"/>
          </w:rPr>
          <w:t>Streibl, Florian (FREIE WÄHLER)</w:t>
        </w:r>
        <w:r w:rsidR="00E330FE" w:rsidRPr="00CC4928">
          <w:rPr>
            <w:rStyle w:val="Hyperlink"/>
          </w:rPr>
          <w:br/>
          <w:t>Geplantes Verbot der Gesichtsver</w:t>
        </w:r>
        <w:r w:rsidR="00353838">
          <w:rPr>
            <w:rStyle w:val="Hyperlink"/>
          </w:rPr>
          <w:softHyphen/>
        </w:r>
        <w:r w:rsidR="00E330FE" w:rsidRPr="00CC4928">
          <w:rPr>
            <w:rStyle w:val="Hyperlink"/>
          </w:rPr>
          <w:t>hüllung in Bayern</w:t>
        </w:r>
        <w:r w:rsidR="00E330FE">
          <w:rPr>
            <w:webHidden/>
          </w:rPr>
          <w:tab/>
        </w:r>
        <w:r w:rsidR="00E330FE">
          <w:rPr>
            <w:webHidden/>
          </w:rPr>
          <w:fldChar w:fldCharType="begin"/>
        </w:r>
        <w:r w:rsidR="00E330FE">
          <w:rPr>
            <w:webHidden/>
          </w:rPr>
          <w:instrText xml:space="preserve"> PAGEREF _Toc477421142 \h </w:instrText>
        </w:r>
        <w:r w:rsidR="00E330FE">
          <w:rPr>
            <w:webHidden/>
          </w:rPr>
        </w:r>
        <w:r w:rsidR="00E330FE">
          <w:rPr>
            <w:webHidden/>
          </w:rPr>
          <w:fldChar w:fldCharType="separate"/>
        </w:r>
        <w:r w:rsidR="004D19E0">
          <w:rPr>
            <w:webHidden/>
          </w:rPr>
          <w:t>12</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3" w:history="1">
        <w:r w:rsidR="00E330FE" w:rsidRPr="00CC4928">
          <w:rPr>
            <w:rStyle w:val="Hyperlink"/>
          </w:rPr>
          <w:t>Woerlein, Herbert (SPD)</w:t>
        </w:r>
        <w:r w:rsidR="00E330FE" w:rsidRPr="00CC4928">
          <w:rPr>
            <w:rStyle w:val="Hyperlink"/>
          </w:rPr>
          <w:br/>
          <w:t>Vermehrte Verk</w:t>
        </w:r>
        <w:r w:rsidR="0069325A">
          <w:rPr>
            <w:rStyle w:val="Hyperlink"/>
          </w:rPr>
          <w:t>ehrsunfälle auf der Autobahn A</w:t>
        </w:r>
        <w:r w:rsidR="00E330FE" w:rsidRPr="00CC4928">
          <w:rPr>
            <w:rStyle w:val="Hyperlink"/>
          </w:rPr>
          <w:t xml:space="preserve"> 8</w:t>
        </w:r>
        <w:r w:rsidR="00E330FE">
          <w:rPr>
            <w:webHidden/>
          </w:rPr>
          <w:tab/>
        </w:r>
        <w:r w:rsidR="00E330FE">
          <w:rPr>
            <w:webHidden/>
          </w:rPr>
          <w:fldChar w:fldCharType="begin"/>
        </w:r>
        <w:r w:rsidR="00E330FE">
          <w:rPr>
            <w:webHidden/>
          </w:rPr>
          <w:instrText xml:space="preserve"> PAGEREF _Toc477421143 \h </w:instrText>
        </w:r>
        <w:r w:rsidR="00E330FE">
          <w:rPr>
            <w:webHidden/>
          </w:rPr>
        </w:r>
        <w:r w:rsidR="00E330FE">
          <w:rPr>
            <w:webHidden/>
          </w:rPr>
          <w:fldChar w:fldCharType="separate"/>
        </w:r>
        <w:r w:rsidR="004D19E0">
          <w:rPr>
            <w:webHidden/>
          </w:rPr>
          <w:t>12</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4" w:history="1">
        <w:r w:rsidR="00E330FE" w:rsidRPr="00CC4928">
          <w:rPr>
            <w:rStyle w:val="Hyperlink"/>
          </w:rPr>
          <w:t>Zacharias, Isabell (SPD)</w:t>
        </w:r>
        <w:r w:rsidR="00E330FE" w:rsidRPr="00CC4928">
          <w:rPr>
            <w:rStyle w:val="Hyperlink"/>
          </w:rPr>
          <w:br/>
          <w:t>Homophobe Gewalt</w:t>
        </w:r>
        <w:r w:rsidR="00E330FE">
          <w:rPr>
            <w:webHidden/>
          </w:rPr>
          <w:tab/>
        </w:r>
        <w:r w:rsidR="00E330FE">
          <w:rPr>
            <w:webHidden/>
          </w:rPr>
          <w:fldChar w:fldCharType="begin"/>
        </w:r>
        <w:r w:rsidR="00E330FE">
          <w:rPr>
            <w:webHidden/>
          </w:rPr>
          <w:instrText xml:space="preserve"> PAGEREF _Toc477421144 \h </w:instrText>
        </w:r>
        <w:r w:rsidR="00E330FE">
          <w:rPr>
            <w:webHidden/>
          </w:rPr>
        </w:r>
        <w:r w:rsidR="00E330FE">
          <w:rPr>
            <w:webHidden/>
          </w:rPr>
          <w:fldChar w:fldCharType="separate"/>
        </w:r>
        <w:r w:rsidR="004D19E0">
          <w:rPr>
            <w:webHidden/>
          </w:rPr>
          <w:t>14</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5" w:history="1">
        <w:r w:rsidR="00E330FE" w:rsidRPr="00CC4928">
          <w:rPr>
            <w:rStyle w:val="Hyperlink"/>
          </w:rPr>
          <w:t>Zierer, Benno (FREIE WÄHLER)</w:t>
        </w:r>
        <w:r w:rsidR="00E330FE" w:rsidRPr="00CC4928">
          <w:rPr>
            <w:rStyle w:val="Hyperlink"/>
          </w:rPr>
          <w:br/>
          <w:t>Pilotprojekt zum Einsatz mobiler Sichtschutzwände</w:t>
        </w:r>
        <w:r w:rsidR="00E330FE">
          <w:rPr>
            <w:webHidden/>
          </w:rPr>
          <w:tab/>
        </w:r>
        <w:r w:rsidR="00E330FE">
          <w:rPr>
            <w:webHidden/>
          </w:rPr>
          <w:fldChar w:fldCharType="begin"/>
        </w:r>
        <w:r w:rsidR="00E330FE">
          <w:rPr>
            <w:webHidden/>
          </w:rPr>
          <w:instrText xml:space="preserve"> PAGEREF _Toc477421145 \h </w:instrText>
        </w:r>
        <w:r w:rsidR="00E330FE">
          <w:rPr>
            <w:webHidden/>
          </w:rPr>
        </w:r>
        <w:r w:rsidR="00E330FE">
          <w:rPr>
            <w:webHidden/>
          </w:rPr>
          <w:fldChar w:fldCharType="separate"/>
        </w:r>
        <w:r w:rsidR="004D19E0">
          <w:rPr>
            <w:webHidden/>
          </w:rPr>
          <w:t>14</w:t>
        </w:r>
        <w:r w:rsidR="00E330FE">
          <w:rPr>
            <w:webHidden/>
          </w:rPr>
          <w:fldChar w:fldCharType="end"/>
        </w:r>
      </w:hyperlink>
    </w:p>
    <w:p w:rsidR="00E330FE" w:rsidRDefault="005C3DB8">
      <w:pPr>
        <w:pStyle w:val="Verzeichnis1"/>
        <w:tabs>
          <w:tab w:val="right" w:leader="dot" w:pos="4383"/>
        </w:tabs>
        <w:rPr>
          <w:rFonts w:asciiTheme="minorHAnsi" w:eastAsiaTheme="minorEastAsia" w:hAnsiTheme="minorHAnsi" w:cstheme="minorBidi"/>
          <w:b w:val="0"/>
          <w:noProof/>
        </w:rPr>
      </w:pPr>
      <w:hyperlink w:anchor="_Toc477421146" w:history="1">
        <w:r w:rsidR="00E330FE" w:rsidRPr="00CC4928">
          <w:rPr>
            <w:rStyle w:val="Hyperlink"/>
            <w:noProof/>
          </w:rPr>
          <w:t>Geschäftsbereich des Staatsministeriums für Bildung und Kultus, Wissenschaft und Kunst</w:t>
        </w:r>
        <w:r w:rsidR="00E330FE">
          <w:rPr>
            <w:noProof/>
            <w:webHidden/>
          </w:rPr>
          <w:tab/>
        </w:r>
        <w:r w:rsidR="00E330FE">
          <w:rPr>
            <w:noProof/>
            <w:webHidden/>
          </w:rPr>
          <w:fldChar w:fldCharType="begin"/>
        </w:r>
        <w:r w:rsidR="00E330FE">
          <w:rPr>
            <w:noProof/>
            <w:webHidden/>
          </w:rPr>
          <w:instrText xml:space="preserve"> PAGEREF _Toc477421146 \h </w:instrText>
        </w:r>
        <w:r w:rsidR="00E330FE">
          <w:rPr>
            <w:noProof/>
            <w:webHidden/>
          </w:rPr>
        </w:r>
        <w:r w:rsidR="00E330FE">
          <w:rPr>
            <w:noProof/>
            <w:webHidden/>
          </w:rPr>
          <w:fldChar w:fldCharType="separate"/>
        </w:r>
        <w:r w:rsidR="004D19E0">
          <w:rPr>
            <w:noProof/>
            <w:webHidden/>
          </w:rPr>
          <w:t>15</w:t>
        </w:r>
        <w:r w:rsidR="00E330FE">
          <w:rPr>
            <w:noProof/>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7" w:history="1">
        <w:r w:rsidR="00E330FE" w:rsidRPr="00CC4928">
          <w:rPr>
            <w:rStyle w:val="Hyperlink"/>
          </w:rPr>
          <w:t>Fehlner, Martina (SPD)</w:t>
        </w:r>
        <w:r w:rsidR="00E330FE" w:rsidRPr="00CC4928">
          <w:rPr>
            <w:rStyle w:val="Hyperlink"/>
          </w:rPr>
          <w:br/>
          <w:t>Auswirkungen des G9 im Regierungs</w:t>
        </w:r>
        <w:r w:rsidR="00353838">
          <w:rPr>
            <w:rStyle w:val="Hyperlink"/>
          </w:rPr>
          <w:softHyphen/>
        </w:r>
        <w:r w:rsidR="00E330FE" w:rsidRPr="00CC4928">
          <w:rPr>
            <w:rStyle w:val="Hyperlink"/>
          </w:rPr>
          <w:t>bezirk Unterfranken</w:t>
        </w:r>
        <w:r w:rsidR="00E330FE">
          <w:rPr>
            <w:webHidden/>
          </w:rPr>
          <w:tab/>
        </w:r>
        <w:r w:rsidR="00E330FE">
          <w:rPr>
            <w:webHidden/>
          </w:rPr>
          <w:fldChar w:fldCharType="begin"/>
        </w:r>
        <w:r w:rsidR="00E330FE">
          <w:rPr>
            <w:webHidden/>
          </w:rPr>
          <w:instrText xml:space="preserve"> PAGEREF _Toc477421147 \h </w:instrText>
        </w:r>
        <w:r w:rsidR="00E330FE">
          <w:rPr>
            <w:webHidden/>
          </w:rPr>
        </w:r>
        <w:r w:rsidR="00E330FE">
          <w:rPr>
            <w:webHidden/>
          </w:rPr>
          <w:fldChar w:fldCharType="separate"/>
        </w:r>
        <w:r w:rsidR="004D19E0">
          <w:rPr>
            <w:webHidden/>
          </w:rPr>
          <w:t>15</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8" w:history="1">
        <w:r w:rsidR="00E330FE" w:rsidRPr="00CC4928">
          <w:rPr>
            <w:rStyle w:val="Hyperlink"/>
          </w:rPr>
          <w:t>Gehring, Thomas (BÜNDNIS 90/DIE GRÜNEN)</w:t>
        </w:r>
        <w:r w:rsidR="00E330FE" w:rsidRPr="00CC4928">
          <w:rPr>
            <w:rStyle w:val="Hyperlink"/>
          </w:rPr>
          <w:br/>
          <w:t>Chemieunterricht in den Vorklassen der Fachoberschulen</w:t>
        </w:r>
        <w:r w:rsidR="00E330FE">
          <w:rPr>
            <w:webHidden/>
          </w:rPr>
          <w:tab/>
        </w:r>
        <w:r w:rsidR="00E330FE">
          <w:rPr>
            <w:webHidden/>
          </w:rPr>
          <w:fldChar w:fldCharType="begin"/>
        </w:r>
        <w:r w:rsidR="00E330FE">
          <w:rPr>
            <w:webHidden/>
          </w:rPr>
          <w:instrText xml:space="preserve"> PAGEREF _Toc477421148 \h </w:instrText>
        </w:r>
        <w:r w:rsidR="00E330FE">
          <w:rPr>
            <w:webHidden/>
          </w:rPr>
        </w:r>
        <w:r w:rsidR="00E330FE">
          <w:rPr>
            <w:webHidden/>
          </w:rPr>
          <w:fldChar w:fldCharType="separate"/>
        </w:r>
        <w:r w:rsidR="004D19E0">
          <w:rPr>
            <w:webHidden/>
          </w:rPr>
          <w:t>15</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49" w:history="1">
        <w:r w:rsidR="00E330FE" w:rsidRPr="00CC4928">
          <w:rPr>
            <w:rStyle w:val="Hyperlink"/>
          </w:rPr>
          <w:t>Gote, Ulrike (BÜNDNIS 90/DIE GRÜNEN)</w:t>
        </w:r>
        <w:r w:rsidR="00E330FE" w:rsidRPr="00CC4928">
          <w:rPr>
            <w:rStyle w:val="Hyperlink"/>
          </w:rPr>
          <w:br/>
          <w:t>Ablösung der Staatsleistungen an Kirchen</w:t>
        </w:r>
        <w:r w:rsidR="00E330FE">
          <w:rPr>
            <w:webHidden/>
          </w:rPr>
          <w:tab/>
        </w:r>
        <w:r w:rsidR="00E330FE">
          <w:rPr>
            <w:webHidden/>
          </w:rPr>
          <w:fldChar w:fldCharType="begin"/>
        </w:r>
        <w:r w:rsidR="00E330FE">
          <w:rPr>
            <w:webHidden/>
          </w:rPr>
          <w:instrText xml:space="preserve"> PAGEREF _Toc477421149 \h </w:instrText>
        </w:r>
        <w:r w:rsidR="00E330FE">
          <w:rPr>
            <w:webHidden/>
          </w:rPr>
        </w:r>
        <w:r w:rsidR="00E330FE">
          <w:rPr>
            <w:webHidden/>
          </w:rPr>
          <w:fldChar w:fldCharType="separate"/>
        </w:r>
        <w:r w:rsidR="004D19E0">
          <w:rPr>
            <w:webHidden/>
          </w:rPr>
          <w:t>16</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0" w:history="1">
        <w:r w:rsidR="00E330FE" w:rsidRPr="00CC4928">
          <w:rPr>
            <w:rStyle w:val="Hyperlink"/>
          </w:rPr>
          <w:t>Güller, Harald (SPD)</w:t>
        </w:r>
        <w:r w:rsidR="00E330FE" w:rsidRPr="00CC4928">
          <w:rPr>
            <w:rStyle w:val="Hyperlink"/>
          </w:rPr>
          <w:br/>
          <w:t>Auswirkungen des G9 im Regierungs</w:t>
        </w:r>
        <w:r w:rsidR="00353838">
          <w:rPr>
            <w:rStyle w:val="Hyperlink"/>
          </w:rPr>
          <w:softHyphen/>
        </w:r>
        <w:r w:rsidR="00E330FE" w:rsidRPr="00CC4928">
          <w:rPr>
            <w:rStyle w:val="Hyperlink"/>
          </w:rPr>
          <w:t>bezirk Schwaben</w:t>
        </w:r>
        <w:r w:rsidR="00E330FE">
          <w:rPr>
            <w:webHidden/>
          </w:rPr>
          <w:tab/>
        </w:r>
        <w:r w:rsidR="00E330FE">
          <w:rPr>
            <w:webHidden/>
          </w:rPr>
          <w:fldChar w:fldCharType="begin"/>
        </w:r>
        <w:r w:rsidR="00E330FE">
          <w:rPr>
            <w:webHidden/>
          </w:rPr>
          <w:instrText xml:space="preserve"> PAGEREF _Toc477421150 \h </w:instrText>
        </w:r>
        <w:r w:rsidR="00E330FE">
          <w:rPr>
            <w:webHidden/>
          </w:rPr>
        </w:r>
        <w:r w:rsidR="00E330FE">
          <w:rPr>
            <w:webHidden/>
          </w:rPr>
          <w:fldChar w:fldCharType="separate"/>
        </w:r>
        <w:r w:rsidR="004D19E0">
          <w:rPr>
            <w:webHidden/>
          </w:rPr>
          <w:t>17</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1" w:history="1">
        <w:r w:rsidR="00E330FE" w:rsidRPr="00CC4928">
          <w:rPr>
            <w:rStyle w:val="Hyperlink"/>
          </w:rPr>
          <w:t>Güll, Martin (SPD)</w:t>
        </w:r>
        <w:r w:rsidR="00E330FE" w:rsidRPr="00CC4928">
          <w:rPr>
            <w:rStyle w:val="Hyperlink"/>
          </w:rPr>
          <w:br/>
          <w:t xml:space="preserve">Unterrichtsversorgung </w:t>
        </w:r>
        <w:r w:rsidR="00353838">
          <w:rPr>
            <w:rStyle w:val="Hyperlink"/>
          </w:rPr>
          <w:t>–</w:t>
        </w:r>
        <w:r w:rsidR="00E330FE" w:rsidRPr="00CC4928">
          <w:rPr>
            <w:rStyle w:val="Hyperlink"/>
          </w:rPr>
          <w:t xml:space="preserve"> Mobile Reserven an Pflichtschulen</w:t>
        </w:r>
        <w:r w:rsidR="00E330FE">
          <w:rPr>
            <w:webHidden/>
          </w:rPr>
          <w:tab/>
        </w:r>
        <w:r w:rsidR="00E330FE">
          <w:rPr>
            <w:webHidden/>
          </w:rPr>
          <w:fldChar w:fldCharType="begin"/>
        </w:r>
        <w:r w:rsidR="00E330FE">
          <w:rPr>
            <w:webHidden/>
          </w:rPr>
          <w:instrText xml:space="preserve"> PAGEREF _Toc477421151 \h </w:instrText>
        </w:r>
        <w:r w:rsidR="00E330FE">
          <w:rPr>
            <w:webHidden/>
          </w:rPr>
        </w:r>
        <w:r w:rsidR="00E330FE">
          <w:rPr>
            <w:webHidden/>
          </w:rPr>
          <w:fldChar w:fldCharType="separate"/>
        </w:r>
        <w:r w:rsidR="004D19E0">
          <w:rPr>
            <w:webHidden/>
          </w:rPr>
          <w:t>17</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2" w:history="1">
        <w:r w:rsidR="00E330FE" w:rsidRPr="00CC4928">
          <w:rPr>
            <w:rStyle w:val="Hyperlink"/>
          </w:rPr>
          <w:t>Knoblauch, Günther (SPD)</w:t>
        </w:r>
        <w:r w:rsidR="00E330FE" w:rsidRPr="00CC4928">
          <w:rPr>
            <w:rStyle w:val="Hyperlink"/>
          </w:rPr>
          <w:br/>
          <w:t>Auswirkungen des G9 im Regierungs</w:t>
        </w:r>
        <w:r w:rsidR="00353838">
          <w:rPr>
            <w:rStyle w:val="Hyperlink"/>
          </w:rPr>
          <w:softHyphen/>
        </w:r>
        <w:r w:rsidR="00E330FE" w:rsidRPr="00CC4928">
          <w:rPr>
            <w:rStyle w:val="Hyperlink"/>
          </w:rPr>
          <w:t>bezirk Oberbayern</w:t>
        </w:r>
        <w:r w:rsidR="00E330FE">
          <w:rPr>
            <w:webHidden/>
          </w:rPr>
          <w:tab/>
        </w:r>
        <w:r w:rsidR="00E330FE">
          <w:rPr>
            <w:webHidden/>
          </w:rPr>
          <w:fldChar w:fldCharType="begin"/>
        </w:r>
        <w:r w:rsidR="00E330FE">
          <w:rPr>
            <w:webHidden/>
          </w:rPr>
          <w:instrText xml:space="preserve"> PAGEREF _Toc477421152 \h </w:instrText>
        </w:r>
        <w:r w:rsidR="00E330FE">
          <w:rPr>
            <w:webHidden/>
          </w:rPr>
        </w:r>
        <w:r w:rsidR="00E330FE">
          <w:rPr>
            <w:webHidden/>
          </w:rPr>
          <w:fldChar w:fldCharType="separate"/>
        </w:r>
        <w:r w:rsidR="004D19E0">
          <w:rPr>
            <w:webHidden/>
          </w:rPr>
          <w:t>19</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3" w:history="1">
        <w:r w:rsidR="00E330FE" w:rsidRPr="00CC4928">
          <w:rPr>
            <w:rStyle w:val="Hyperlink"/>
          </w:rPr>
          <w:t>Prof. Dr. Piazolo, Michael (FREIE WÄHLER)</w:t>
        </w:r>
        <w:r w:rsidR="00E330FE" w:rsidRPr="00CC4928">
          <w:rPr>
            <w:rStyle w:val="Hyperlink"/>
          </w:rPr>
          <w:br/>
          <w:t>Studierendenzahlen</w:t>
        </w:r>
        <w:r w:rsidR="00E330FE">
          <w:rPr>
            <w:webHidden/>
          </w:rPr>
          <w:tab/>
        </w:r>
        <w:r w:rsidR="00E330FE">
          <w:rPr>
            <w:webHidden/>
          </w:rPr>
          <w:fldChar w:fldCharType="begin"/>
        </w:r>
        <w:r w:rsidR="00E330FE">
          <w:rPr>
            <w:webHidden/>
          </w:rPr>
          <w:instrText xml:space="preserve"> PAGEREF _Toc477421153 \h </w:instrText>
        </w:r>
        <w:r w:rsidR="00E330FE">
          <w:rPr>
            <w:webHidden/>
          </w:rPr>
        </w:r>
        <w:r w:rsidR="00E330FE">
          <w:rPr>
            <w:webHidden/>
          </w:rPr>
          <w:fldChar w:fldCharType="separate"/>
        </w:r>
        <w:r w:rsidR="004D19E0">
          <w:rPr>
            <w:webHidden/>
          </w:rPr>
          <w:t>19</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4" w:history="1">
        <w:r w:rsidR="00E330FE" w:rsidRPr="00CC4928">
          <w:rPr>
            <w:rStyle w:val="Hyperlink"/>
          </w:rPr>
          <w:t>Dr. Rabenstein, Christoph (SPD)</w:t>
        </w:r>
        <w:r w:rsidR="00E330FE" w:rsidRPr="00CC4928">
          <w:rPr>
            <w:rStyle w:val="Hyperlink"/>
          </w:rPr>
          <w:br/>
          <w:t>Auswirkungen des G9 im Regierungs</w:t>
        </w:r>
        <w:r w:rsidR="00353838">
          <w:rPr>
            <w:rStyle w:val="Hyperlink"/>
          </w:rPr>
          <w:softHyphen/>
        </w:r>
        <w:r w:rsidR="00E330FE" w:rsidRPr="00CC4928">
          <w:rPr>
            <w:rStyle w:val="Hyperlink"/>
          </w:rPr>
          <w:t>bezirk Oberfranken</w:t>
        </w:r>
        <w:r w:rsidR="00E330FE">
          <w:rPr>
            <w:webHidden/>
          </w:rPr>
          <w:tab/>
        </w:r>
        <w:r w:rsidR="00E330FE">
          <w:rPr>
            <w:webHidden/>
          </w:rPr>
          <w:fldChar w:fldCharType="begin"/>
        </w:r>
        <w:r w:rsidR="00E330FE">
          <w:rPr>
            <w:webHidden/>
          </w:rPr>
          <w:instrText xml:space="preserve"> PAGEREF _Toc477421154 \h </w:instrText>
        </w:r>
        <w:r w:rsidR="00E330FE">
          <w:rPr>
            <w:webHidden/>
          </w:rPr>
        </w:r>
        <w:r w:rsidR="00E330FE">
          <w:rPr>
            <w:webHidden/>
          </w:rPr>
          <w:fldChar w:fldCharType="separate"/>
        </w:r>
        <w:r w:rsidR="004D19E0">
          <w:rPr>
            <w:webHidden/>
          </w:rPr>
          <w:t>20</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5" w:history="1">
        <w:r w:rsidR="00E330FE" w:rsidRPr="00CC4928">
          <w:rPr>
            <w:rStyle w:val="Hyperlink"/>
          </w:rPr>
          <w:t>Schmidt, Gabi (FREIE WÄHLER)</w:t>
        </w:r>
        <w:r w:rsidR="00E330FE" w:rsidRPr="00CC4928">
          <w:rPr>
            <w:rStyle w:val="Hyperlink"/>
          </w:rPr>
          <w:br/>
          <w:t>Sachstand im Hinblick auf die geplante Errichtung eines Bayerischen Landes</w:t>
        </w:r>
        <w:r w:rsidR="00353838">
          <w:rPr>
            <w:rStyle w:val="Hyperlink"/>
          </w:rPr>
          <w:softHyphen/>
        </w:r>
        <w:r w:rsidR="00E330FE" w:rsidRPr="00CC4928">
          <w:rPr>
            <w:rStyle w:val="Hyperlink"/>
          </w:rPr>
          <w:t>amts für Schule in Gunzenhausen</w:t>
        </w:r>
        <w:r w:rsidR="00E330FE">
          <w:rPr>
            <w:webHidden/>
          </w:rPr>
          <w:tab/>
        </w:r>
        <w:r w:rsidR="00E330FE">
          <w:rPr>
            <w:webHidden/>
          </w:rPr>
          <w:fldChar w:fldCharType="begin"/>
        </w:r>
        <w:r w:rsidR="00E330FE">
          <w:rPr>
            <w:webHidden/>
          </w:rPr>
          <w:instrText xml:space="preserve"> PAGEREF _Toc477421155 \h </w:instrText>
        </w:r>
        <w:r w:rsidR="00E330FE">
          <w:rPr>
            <w:webHidden/>
          </w:rPr>
        </w:r>
        <w:r w:rsidR="00E330FE">
          <w:rPr>
            <w:webHidden/>
          </w:rPr>
          <w:fldChar w:fldCharType="separate"/>
        </w:r>
        <w:r w:rsidR="004D19E0">
          <w:rPr>
            <w:webHidden/>
          </w:rPr>
          <w:t>21</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6" w:history="1">
        <w:r w:rsidR="00E330FE" w:rsidRPr="00CC4928">
          <w:rPr>
            <w:rStyle w:val="Hyperlink"/>
          </w:rPr>
          <w:t>Schmitt-Bussinger, Helga (SPD)</w:t>
        </w:r>
        <w:r w:rsidR="00E330FE" w:rsidRPr="00CC4928">
          <w:rPr>
            <w:rStyle w:val="Hyperlink"/>
          </w:rPr>
          <w:br/>
          <w:t>Neues Schloss Pappenheim: Fassadensanierung</w:t>
        </w:r>
        <w:r w:rsidR="00E330FE">
          <w:rPr>
            <w:webHidden/>
          </w:rPr>
          <w:tab/>
        </w:r>
        <w:r w:rsidR="00E330FE">
          <w:rPr>
            <w:webHidden/>
          </w:rPr>
          <w:fldChar w:fldCharType="begin"/>
        </w:r>
        <w:r w:rsidR="00E330FE">
          <w:rPr>
            <w:webHidden/>
          </w:rPr>
          <w:instrText xml:space="preserve"> PAGEREF _Toc477421156 \h </w:instrText>
        </w:r>
        <w:r w:rsidR="00E330FE">
          <w:rPr>
            <w:webHidden/>
          </w:rPr>
        </w:r>
        <w:r w:rsidR="00E330FE">
          <w:rPr>
            <w:webHidden/>
          </w:rPr>
          <w:fldChar w:fldCharType="separate"/>
        </w:r>
        <w:r w:rsidR="004D19E0">
          <w:rPr>
            <w:webHidden/>
          </w:rPr>
          <w:t>22</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7" w:history="1">
        <w:r w:rsidR="00E330FE" w:rsidRPr="00CC4928">
          <w:rPr>
            <w:rStyle w:val="Hyperlink"/>
          </w:rPr>
          <w:t>Schuster, Stefan (SPD)</w:t>
        </w:r>
        <w:r w:rsidR="00E330FE" w:rsidRPr="00CC4928">
          <w:rPr>
            <w:rStyle w:val="Hyperlink"/>
          </w:rPr>
          <w:br/>
          <w:t>Auswirkungen des G9 im Regierungs</w:t>
        </w:r>
        <w:r w:rsidR="00353838">
          <w:rPr>
            <w:rStyle w:val="Hyperlink"/>
          </w:rPr>
          <w:softHyphen/>
        </w:r>
        <w:r w:rsidR="00E330FE" w:rsidRPr="00CC4928">
          <w:rPr>
            <w:rStyle w:val="Hyperlink"/>
          </w:rPr>
          <w:t>bezirk Mittelfranken</w:t>
        </w:r>
        <w:r w:rsidR="00E330FE">
          <w:rPr>
            <w:webHidden/>
          </w:rPr>
          <w:tab/>
        </w:r>
        <w:r w:rsidR="00E330FE">
          <w:rPr>
            <w:webHidden/>
          </w:rPr>
          <w:fldChar w:fldCharType="begin"/>
        </w:r>
        <w:r w:rsidR="00E330FE">
          <w:rPr>
            <w:webHidden/>
          </w:rPr>
          <w:instrText xml:space="preserve"> PAGEREF _Toc477421157 \h </w:instrText>
        </w:r>
        <w:r w:rsidR="00E330FE">
          <w:rPr>
            <w:webHidden/>
          </w:rPr>
        </w:r>
        <w:r w:rsidR="00E330FE">
          <w:rPr>
            <w:webHidden/>
          </w:rPr>
          <w:fldChar w:fldCharType="separate"/>
        </w:r>
        <w:r w:rsidR="004D19E0">
          <w:rPr>
            <w:webHidden/>
          </w:rPr>
          <w:t>22</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8" w:history="1">
        <w:r w:rsidR="00E330FE" w:rsidRPr="00CC4928">
          <w:rPr>
            <w:rStyle w:val="Hyperlink"/>
          </w:rPr>
          <w:t>Stamm, Claudia (BÜNDNIS 90/DIE GRÜNEN)</w:t>
        </w:r>
        <w:r w:rsidR="00E330FE" w:rsidRPr="00CC4928">
          <w:rPr>
            <w:rStyle w:val="Hyperlink"/>
          </w:rPr>
          <w:br/>
          <w:t>Schülerinnen/Schüler-Lehrkräfte-Korrelation</w:t>
        </w:r>
        <w:r w:rsidR="00E330FE">
          <w:rPr>
            <w:webHidden/>
          </w:rPr>
          <w:tab/>
        </w:r>
        <w:r w:rsidR="00E330FE">
          <w:rPr>
            <w:webHidden/>
          </w:rPr>
          <w:fldChar w:fldCharType="begin"/>
        </w:r>
        <w:r w:rsidR="00E330FE">
          <w:rPr>
            <w:webHidden/>
          </w:rPr>
          <w:instrText xml:space="preserve"> PAGEREF _Toc477421158 \h </w:instrText>
        </w:r>
        <w:r w:rsidR="00E330FE">
          <w:rPr>
            <w:webHidden/>
          </w:rPr>
        </w:r>
        <w:r w:rsidR="00E330FE">
          <w:rPr>
            <w:webHidden/>
          </w:rPr>
          <w:fldChar w:fldCharType="separate"/>
        </w:r>
        <w:r w:rsidR="004D19E0">
          <w:rPr>
            <w:webHidden/>
          </w:rPr>
          <w:t>23</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59" w:history="1">
        <w:r w:rsidR="00E330FE" w:rsidRPr="00CC4928">
          <w:rPr>
            <w:rStyle w:val="Hyperlink"/>
          </w:rPr>
          <w:t>Dr. Strohmayr, Simone (SPD)</w:t>
        </w:r>
        <w:r w:rsidR="00E330FE" w:rsidRPr="00CC4928">
          <w:rPr>
            <w:rStyle w:val="Hyperlink"/>
          </w:rPr>
          <w:br/>
          <w:t>Unterrichtsversorgung</w:t>
        </w:r>
        <w:r w:rsidR="00353838">
          <w:rPr>
            <w:rStyle w:val="Hyperlink"/>
          </w:rPr>
          <w:t xml:space="preserve"> –</w:t>
        </w:r>
        <w:r w:rsidR="00E330FE" w:rsidRPr="00CC4928">
          <w:rPr>
            <w:rStyle w:val="Hyperlink"/>
          </w:rPr>
          <w:t xml:space="preserve"> Integrierte Lehrerreserve</w:t>
        </w:r>
        <w:r w:rsidR="00E330FE">
          <w:rPr>
            <w:webHidden/>
          </w:rPr>
          <w:tab/>
        </w:r>
        <w:r w:rsidR="00E330FE">
          <w:rPr>
            <w:webHidden/>
          </w:rPr>
          <w:fldChar w:fldCharType="begin"/>
        </w:r>
        <w:r w:rsidR="00E330FE">
          <w:rPr>
            <w:webHidden/>
          </w:rPr>
          <w:instrText xml:space="preserve"> PAGEREF _Toc477421159 \h </w:instrText>
        </w:r>
        <w:r w:rsidR="00E330FE">
          <w:rPr>
            <w:webHidden/>
          </w:rPr>
        </w:r>
        <w:r w:rsidR="00E330FE">
          <w:rPr>
            <w:webHidden/>
          </w:rPr>
          <w:fldChar w:fldCharType="separate"/>
        </w:r>
        <w:r w:rsidR="004D19E0">
          <w:rPr>
            <w:webHidden/>
          </w:rPr>
          <w:t>24</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60" w:history="1">
        <w:r w:rsidR="00E330FE" w:rsidRPr="00CC4928">
          <w:rPr>
            <w:rStyle w:val="Hyperlink"/>
          </w:rPr>
          <w:t>Werner-Muggendorfer, Johanna (SPD)</w:t>
        </w:r>
        <w:r w:rsidR="00E330FE" w:rsidRPr="00CC4928">
          <w:rPr>
            <w:rStyle w:val="Hyperlink"/>
          </w:rPr>
          <w:br/>
          <w:t>Auswirkungen des G9 im Regierungs</w:t>
        </w:r>
        <w:r w:rsidR="00353838">
          <w:rPr>
            <w:rStyle w:val="Hyperlink"/>
          </w:rPr>
          <w:softHyphen/>
        </w:r>
        <w:r w:rsidR="00E330FE" w:rsidRPr="00CC4928">
          <w:rPr>
            <w:rStyle w:val="Hyperlink"/>
          </w:rPr>
          <w:t>bezirk Niederbayern</w:t>
        </w:r>
        <w:r w:rsidR="00E330FE">
          <w:rPr>
            <w:webHidden/>
          </w:rPr>
          <w:tab/>
        </w:r>
        <w:r w:rsidR="00E330FE">
          <w:rPr>
            <w:webHidden/>
          </w:rPr>
          <w:fldChar w:fldCharType="begin"/>
        </w:r>
        <w:r w:rsidR="00E330FE">
          <w:rPr>
            <w:webHidden/>
          </w:rPr>
          <w:instrText xml:space="preserve"> PAGEREF _Toc477421160 \h </w:instrText>
        </w:r>
        <w:r w:rsidR="00E330FE">
          <w:rPr>
            <w:webHidden/>
          </w:rPr>
        </w:r>
        <w:r w:rsidR="00E330FE">
          <w:rPr>
            <w:webHidden/>
          </w:rPr>
          <w:fldChar w:fldCharType="separate"/>
        </w:r>
        <w:r w:rsidR="004D19E0">
          <w:rPr>
            <w:webHidden/>
          </w:rPr>
          <w:t>24</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61" w:history="1">
        <w:r w:rsidR="00E330FE" w:rsidRPr="00CC4928">
          <w:rPr>
            <w:rStyle w:val="Hyperlink"/>
          </w:rPr>
          <w:t>Widmann, Jutta (FREIE WÄHLER)</w:t>
        </w:r>
        <w:r w:rsidR="00E330FE" w:rsidRPr="00CC4928">
          <w:rPr>
            <w:rStyle w:val="Hyperlink"/>
          </w:rPr>
          <w:br/>
          <w:t>Fachoberschule Dingolfing-Landau</w:t>
        </w:r>
        <w:r w:rsidR="00E330FE">
          <w:rPr>
            <w:webHidden/>
          </w:rPr>
          <w:tab/>
        </w:r>
        <w:r w:rsidR="00E330FE">
          <w:rPr>
            <w:webHidden/>
          </w:rPr>
          <w:fldChar w:fldCharType="begin"/>
        </w:r>
        <w:r w:rsidR="00E330FE">
          <w:rPr>
            <w:webHidden/>
          </w:rPr>
          <w:instrText xml:space="preserve"> PAGEREF _Toc477421161 \h </w:instrText>
        </w:r>
        <w:r w:rsidR="00E330FE">
          <w:rPr>
            <w:webHidden/>
          </w:rPr>
        </w:r>
        <w:r w:rsidR="00E330FE">
          <w:rPr>
            <w:webHidden/>
          </w:rPr>
          <w:fldChar w:fldCharType="separate"/>
        </w:r>
        <w:r w:rsidR="004D19E0">
          <w:rPr>
            <w:webHidden/>
          </w:rPr>
          <w:t>25</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62" w:history="1">
        <w:r w:rsidR="00E330FE" w:rsidRPr="00CC4928">
          <w:rPr>
            <w:rStyle w:val="Hyperlink"/>
          </w:rPr>
          <w:t>Wild, Margit (SPD)</w:t>
        </w:r>
        <w:r w:rsidR="00E330FE" w:rsidRPr="00CC4928">
          <w:rPr>
            <w:rStyle w:val="Hyperlink"/>
          </w:rPr>
          <w:br/>
          <w:t>Auswirkungen des G9 im Regierungs</w:t>
        </w:r>
        <w:r w:rsidR="00353838">
          <w:rPr>
            <w:rStyle w:val="Hyperlink"/>
          </w:rPr>
          <w:softHyphen/>
        </w:r>
        <w:r w:rsidR="00E330FE" w:rsidRPr="00CC4928">
          <w:rPr>
            <w:rStyle w:val="Hyperlink"/>
          </w:rPr>
          <w:t>bezirk Oberpfalz</w:t>
        </w:r>
        <w:r w:rsidR="00E330FE">
          <w:rPr>
            <w:webHidden/>
          </w:rPr>
          <w:tab/>
        </w:r>
        <w:r w:rsidR="00E330FE">
          <w:rPr>
            <w:webHidden/>
          </w:rPr>
          <w:fldChar w:fldCharType="begin"/>
        </w:r>
        <w:r w:rsidR="00E330FE">
          <w:rPr>
            <w:webHidden/>
          </w:rPr>
          <w:instrText xml:space="preserve"> PAGEREF _Toc477421162 \h </w:instrText>
        </w:r>
        <w:r w:rsidR="00E330FE">
          <w:rPr>
            <w:webHidden/>
          </w:rPr>
        </w:r>
        <w:r w:rsidR="00E330FE">
          <w:rPr>
            <w:webHidden/>
          </w:rPr>
          <w:fldChar w:fldCharType="separate"/>
        </w:r>
        <w:r w:rsidR="004D19E0">
          <w:rPr>
            <w:webHidden/>
          </w:rPr>
          <w:t>26</w:t>
        </w:r>
        <w:r w:rsidR="00E330FE">
          <w:rPr>
            <w:webHidden/>
          </w:rPr>
          <w:fldChar w:fldCharType="end"/>
        </w:r>
      </w:hyperlink>
    </w:p>
    <w:p w:rsidR="00E330FE" w:rsidRDefault="005C3DB8">
      <w:pPr>
        <w:pStyle w:val="Verzeichnis1"/>
        <w:tabs>
          <w:tab w:val="right" w:leader="dot" w:pos="4383"/>
        </w:tabs>
        <w:rPr>
          <w:rFonts w:asciiTheme="minorHAnsi" w:eastAsiaTheme="minorEastAsia" w:hAnsiTheme="minorHAnsi" w:cstheme="minorBidi"/>
          <w:b w:val="0"/>
          <w:noProof/>
        </w:rPr>
      </w:pPr>
      <w:hyperlink w:anchor="_Toc477421163" w:history="1">
        <w:r w:rsidR="00E330FE" w:rsidRPr="00CC4928">
          <w:rPr>
            <w:rStyle w:val="Hyperlink"/>
            <w:noProof/>
          </w:rPr>
          <w:t>Geschäftsbereich des Staatsministeriums der Finanzen, für Landesentwicklung und Heimat</w:t>
        </w:r>
        <w:r w:rsidR="00E330FE">
          <w:rPr>
            <w:noProof/>
            <w:webHidden/>
          </w:rPr>
          <w:tab/>
        </w:r>
        <w:r w:rsidR="00E330FE">
          <w:rPr>
            <w:noProof/>
            <w:webHidden/>
          </w:rPr>
          <w:fldChar w:fldCharType="begin"/>
        </w:r>
        <w:r w:rsidR="00E330FE">
          <w:rPr>
            <w:noProof/>
            <w:webHidden/>
          </w:rPr>
          <w:instrText xml:space="preserve"> PAGEREF _Toc477421163 \h </w:instrText>
        </w:r>
        <w:r w:rsidR="00E330FE">
          <w:rPr>
            <w:noProof/>
            <w:webHidden/>
          </w:rPr>
        </w:r>
        <w:r w:rsidR="00E330FE">
          <w:rPr>
            <w:noProof/>
            <w:webHidden/>
          </w:rPr>
          <w:fldChar w:fldCharType="separate"/>
        </w:r>
        <w:r w:rsidR="004D19E0">
          <w:rPr>
            <w:noProof/>
            <w:webHidden/>
          </w:rPr>
          <w:t>27</w:t>
        </w:r>
        <w:r w:rsidR="00E330FE">
          <w:rPr>
            <w:noProof/>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64" w:history="1">
        <w:r w:rsidR="00E330FE" w:rsidRPr="00CC4928">
          <w:rPr>
            <w:rStyle w:val="Hyperlink"/>
          </w:rPr>
          <w:t>Adelt, Klaus (SPD)</w:t>
        </w:r>
        <w:r w:rsidR="00E330FE" w:rsidRPr="00CC4928">
          <w:rPr>
            <w:rStyle w:val="Hyperlink"/>
          </w:rPr>
          <w:br/>
          <w:t>Herrenlose Immobilien</w:t>
        </w:r>
        <w:r w:rsidR="00E330FE">
          <w:rPr>
            <w:webHidden/>
          </w:rPr>
          <w:tab/>
        </w:r>
        <w:r w:rsidR="00E330FE">
          <w:rPr>
            <w:webHidden/>
          </w:rPr>
          <w:fldChar w:fldCharType="begin"/>
        </w:r>
        <w:r w:rsidR="00E330FE">
          <w:rPr>
            <w:webHidden/>
          </w:rPr>
          <w:instrText xml:space="preserve"> PAGEREF _Toc477421164 \h </w:instrText>
        </w:r>
        <w:r w:rsidR="00E330FE">
          <w:rPr>
            <w:webHidden/>
          </w:rPr>
        </w:r>
        <w:r w:rsidR="00E330FE">
          <w:rPr>
            <w:webHidden/>
          </w:rPr>
          <w:fldChar w:fldCharType="separate"/>
        </w:r>
        <w:r w:rsidR="004D19E0">
          <w:rPr>
            <w:webHidden/>
          </w:rPr>
          <w:t>27</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65" w:history="1">
        <w:r w:rsidR="00E330FE" w:rsidRPr="00CC4928">
          <w:rPr>
            <w:rStyle w:val="Hyperlink"/>
          </w:rPr>
          <w:t>Dr. Dürr, Sepp (BÜNDNIS 90/DIE GRÜNEN)</w:t>
        </w:r>
        <w:r w:rsidR="00E330FE" w:rsidRPr="00CC4928">
          <w:rPr>
            <w:rStyle w:val="Hyperlink"/>
          </w:rPr>
          <w:br/>
          <w:t xml:space="preserve">Verhalten der Landesbank im </w:t>
        </w:r>
        <w:r w:rsidR="00E330FE" w:rsidRPr="00CC4928">
          <w:rPr>
            <w:rStyle w:val="Hyperlink"/>
          </w:rPr>
          <w:lastRenderedPageBreak/>
          <w:t xml:space="preserve">Restitutionsfall des Bildes </w:t>
        </w:r>
        <w:r w:rsidR="00793F8E">
          <w:rPr>
            <w:rStyle w:val="Hyperlink"/>
          </w:rPr>
          <w:t>„</w:t>
        </w:r>
        <w:r w:rsidR="00E330FE" w:rsidRPr="00CC4928">
          <w:rPr>
            <w:rStyle w:val="Hyperlink"/>
          </w:rPr>
          <w:t>Das bunte Leben</w:t>
        </w:r>
        <w:r w:rsidR="00793F8E">
          <w:rPr>
            <w:rStyle w:val="Hyperlink"/>
          </w:rPr>
          <w:t>“</w:t>
        </w:r>
        <w:r w:rsidR="00E330FE" w:rsidRPr="00CC4928">
          <w:rPr>
            <w:rStyle w:val="Hyperlink"/>
          </w:rPr>
          <w:t xml:space="preserve"> von Wassily Kandinsky</w:t>
        </w:r>
        <w:r w:rsidR="00E330FE">
          <w:rPr>
            <w:webHidden/>
          </w:rPr>
          <w:tab/>
        </w:r>
        <w:r w:rsidR="00E330FE">
          <w:rPr>
            <w:webHidden/>
          </w:rPr>
          <w:fldChar w:fldCharType="begin"/>
        </w:r>
        <w:r w:rsidR="00E330FE">
          <w:rPr>
            <w:webHidden/>
          </w:rPr>
          <w:instrText xml:space="preserve"> PAGEREF _Toc477421165 \h </w:instrText>
        </w:r>
        <w:r w:rsidR="00E330FE">
          <w:rPr>
            <w:webHidden/>
          </w:rPr>
        </w:r>
        <w:r w:rsidR="00E330FE">
          <w:rPr>
            <w:webHidden/>
          </w:rPr>
          <w:fldChar w:fldCharType="separate"/>
        </w:r>
        <w:r w:rsidR="004D19E0">
          <w:rPr>
            <w:webHidden/>
          </w:rPr>
          <w:t>28</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66" w:history="1">
        <w:r w:rsidR="00E330FE" w:rsidRPr="00CC4928">
          <w:rPr>
            <w:rStyle w:val="Hyperlink"/>
          </w:rPr>
          <w:t>Karl, Annette (SPD)</w:t>
        </w:r>
        <w:r w:rsidR="00E330FE" w:rsidRPr="00CC4928">
          <w:rPr>
            <w:rStyle w:val="Hyperlink"/>
          </w:rPr>
          <w:br/>
          <w:t>Förderung von Sportstätten</w:t>
        </w:r>
        <w:r w:rsidR="00E330FE">
          <w:rPr>
            <w:webHidden/>
          </w:rPr>
          <w:tab/>
        </w:r>
        <w:r w:rsidR="00E330FE">
          <w:rPr>
            <w:webHidden/>
          </w:rPr>
          <w:fldChar w:fldCharType="begin"/>
        </w:r>
        <w:r w:rsidR="00E330FE">
          <w:rPr>
            <w:webHidden/>
          </w:rPr>
          <w:instrText xml:space="preserve"> PAGEREF _Toc477421166 \h </w:instrText>
        </w:r>
        <w:r w:rsidR="00E330FE">
          <w:rPr>
            <w:webHidden/>
          </w:rPr>
        </w:r>
        <w:r w:rsidR="00E330FE">
          <w:rPr>
            <w:webHidden/>
          </w:rPr>
          <w:fldChar w:fldCharType="separate"/>
        </w:r>
        <w:r w:rsidR="004D19E0">
          <w:rPr>
            <w:webHidden/>
          </w:rPr>
          <w:t>28</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67" w:history="1">
        <w:r w:rsidR="00E330FE" w:rsidRPr="00CC4928">
          <w:rPr>
            <w:rStyle w:val="Hyperlink"/>
          </w:rPr>
          <w:t>Rosenthal, Georg (SPD)</w:t>
        </w:r>
        <w:r w:rsidR="00E330FE" w:rsidRPr="00CC4928">
          <w:rPr>
            <w:rStyle w:val="Hyperlink"/>
          </w:rPr>
          <w:br/>
          <w:t xml:space="preserve">Kandinsky-Gemälde </w:t>
        </w:r>
        <w:r w:rsidR="00353838">
          <w:rPr>
            <w:rStyle w:val="Hyperlink"/>
          </w:rPr>
          <w:t>–</w:t>
        </w:r>
        <w:r w:rsidR="00E330FE" w:rsidRPr="00CC4928">
          <w:rPr>
            <w:rStyle w:val="Hyperlink"/>
          </w:rPr>
          <w:t xml:space="preserve"> NS-Raubkunst</w:t>
        </w:r>
        <w:r w:rsidR="00353838">
          <w:rPr>
            <w:rStyle w:val="Hyperlink"/>
          </w:rPr>
          <w:softHyphen/>
        </w:r>
        <w:r w:rsidR="00E330FE" w:rsidRPr="00CC4928">
          <w:rPr>
            <w:rStyle w:val="Hyperlink"/>
          </w:rPr>
          <w:t>verdacht im Münchner Lenbachhaus</w:t>
        </w:r>
        <w:r w:rsidR="00E330FE">
          <w:rPr>
            <w:webHidden/>
          </w:rPr>
          <w:tab/>
        </w:r>
        <w:r w:rsidR="00E330FE">
          <w:rPr>
            <w:webHidden/>
          </w:rPr>
          <w:fldChar w:fldCharType="begin"/>
        </w:r>
        <w:r w:rsidR="00E330FE">
          <w:rPr>
            <w:webHidden/>
          </w:rPr>
          <w:instrText xml:space="preserve"> PAGEREF _Toc477421167 \h </w:instrText>
        </w:r>
        <w:r w:rsidR="00E330FE">
          <w:rPr>
            <w:webHidden/>
          </w:rPr>
        </w:r>
        <w:r w:rsidR="00E330FE">
          <w:rPr>
            <w:webHidden/>
          </w:rPr>
          <w:fldChar w:fldCharType="separate"/>
        </w:r>
        <w:r w:rsidR="004D19E0">
          <w:rPr>
            <w:webHidden/>
          </w:rPr>
          <w:t>29</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68" w:history="1">
        <w:r w:rsidR="00E330FE" w:rsidRPr="00CC4928">
          <w:rPr>
            <w:rStyle w:val="Hyperlink"/>
          </w:rPr>
          <w:t>Strobl, Reinhold (SPD)</w:t>
        </w:r>
        <w:r w:rsidR="00E330FE" w:rsidRPr="00CC4928">
          <w:rPr>
            <w:rStyle w:val="Hyperlink"/>
          </w:rPr>
          <w:br/>
          <w:t>Befristete Arbeitsverhältnisse im Bereich der Staatsministerien</w:t>
        </w:r>
        <w:r w:rsidR="00E330FE">
          <w:rPr>
            <w:webHidden/>
          </w:rPr>
          <w:tab/>
        </w:r>
        <w:r w:rsidR="00E330FE">
          <w:rPr>
            <w:webHidden/>
          </w:rPr>
          <w:fldChar w:fldCharType="begin"/>
        </w:r>
        <w:r w:rsidR="00E330FE">
          <w:rPr>
            <w:webHidden/>
          </w:rPr>
          <w:instrText xml:space="preserve"> PAGEREF _Toc477421168 \h </w:instrText>
        </w:r>
        <w:r w:rsidR="00E330FE">
          <w:rPr>
            <w:webHidden/>
          </w:rPr>
        </w:r>
        <w:r w:rsidR="00E330FE">
          <w:rPr>
            <w:webHidden/>
          </w:rPr>
          <w:fldChar w:fldCharType="separate"/>
        </w:r>
        <w:r w:rsidR="004D19E0">
          <w:rPr>
            <w:webHidden/>
          </w:rPr>
          <w:t>29</w:t>
        </w:r>
        <w:r w:rsidR="00E330FE">
          <w:rPr>
            <w:webHidden/>
          </w:rPr>
          <w:fldChar w:fldCharType="end"/>
        </w:r>
      </w:hyperlink>
    </w:p>
    <w:p w:rsidR="00E330FE" w:rsidRDefault="005C3DB8">
      <w:pPr>
        <w:pStyle w:val="Verzeichnis1"/>
        <w:tabs>
          <w:tab w:val="right" w:leader="dot" w:pos="4383"/>
        </w:tabs>
        <w:rPr>
          <w:rFonts w:asciiTheme="minorHAnsi" w:eastAsiaTheme="minorEastAsia" w:hAnsiTheme="minorHAnsi" w:cstheme="minorBidi"/>
          <w:b w:val="0"/>
          <w:noProof/>
        </w:rPr>
      </w:pPr>
      <w:hyperlink w:anchor="_Toc477421169" w:history="1">
        <w:r w:rsidR="00E330FE" w:rsidRPr="00CC4928">
          <w:rPr>
            <w:rStyle w:val="Hyperlink"/>
            <w:noProof/>
          </w:rPr>
          <w:t>Geschäftsbereich des Staatsministeriums für Wirtschaft und Medien, Energie und Technologie</w:t>
        </w:r>
        <w:r w:rsidR="00E330FE">
          <w:rPr>
            <w:noProof/>
            <w:webHidden/>
          </w:rPr>
          <w:tab/>
        </w:r>
        <w:r w:rsidR="00E330FE">
          <w:rPr>
            <w:noProof/>
            <w:webHidden/>
          </w:rPr>
          <w:fldChar w:fldCharType="begin"/>
        </w:r>
        <w:r w:rsidR="00E330FE">
          <w:rPr>
            <w:noProof/>
            <w:webHidden/>
          </w:rPr>
          <w:instrText xml:space="preserve"> PAGEREF _Toc477421169 \h </w:instrText>
        </w:r>
        <w:r w:rsidR="00E330FE">
          <w:rPr>
            <w:noProof/>
            <w:webHidden/>
          </w:rPr>
        </w:r>
        <w:r w:rsidR="00E330FE">
          <w:rPr>
            <w:noProof/>
            <w:webHidden/>
          </w:rPr>
          <w:fldChar w:fldCharType="separate"/>
        </w:r>
        <w:r w:rsidR="004D19E0">
          <w:rPr>
            <w:noProof/>
            <w:webHidden/>
          </w:rPr>
          <w:t>30</w:t>
        </w:r>
        <w:r w:rsidR="00E330FE">
          <w:rPr>
            <w:noProof/>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0" w:history="1">
        <w:r w:rsidR="00E330FE" w:rsidRPr="00CC4928">
          <w:rPr>
            <w:rStyle w:val="Hyperlink"/>
          </w:rPr>
          <w:t>Ganserer, Markus (BÜNDNIS 90/DIE GRÜNEN)</w:t>
        </w:r>
        <w:r w:rsidR="00E330FE" w:rsidRPr="00CC4928">
          <w:rPr>
            <w:rStyle w:val="Hyperlink"/>
          </w:rPr>
          <w:br/>
          <w:t>Wettbewerbsregister</w:t>
        </w:r>
        <w:r w:rsidR="00E330FE">
          <w:rPr>
            <w:webHidden/>
          </w:rPr>
          <w:tab/>
        </w:r>
        <w:r w:rsidR="00E330FE">
          <w:rPr>
            <w:webHidden/>
          </w:rPr>
          <w:fldChar w:fldCharType="begin"/>
        </w:r>
        <w:r w:rsidR="00E330FE">
          <w:rPr>
            <w:webHidden/>
          </w:rPr>
          <w:instrText xml:space="preserve"> PAGEREF _Toc477421170 \h </w:instrText>
        </w:r>
        <w:r w:rsidR="00E330FE">
          <w:rPr>
            <w:webHidden/>
          </w:rPr>
        </w:r>
        <w:r w:rsidR="00E330FE">
          <w:rPr>
            <w:webHidden/>
          </w:rPr>
          <w:fldChar w:fldCharType="separate"/>
        </w:r>
        <w:r w:rsidR="004D19E0">
          <w:rPr>
            <w:webHidden/>
          </w:rPr>
          <w:t>30</w:t>
        </w:r>
        <w:r w:rsidR="00E330FE">
          <w:rPr>
            <w:webHidden/>
          </w:rPr>
          <w:fldChar w:fldCharType="end"/>
        </w:r>
      </w:hyperlink>
    </w:p>
    <w:p w:rsidR="00E330FE" w:rsidRDefault="005C3DB8">
      <w:pPr>
        <w:pStyle w:val="Verzeichnis1"/>
        <w:tabs>
          <w:tab w:val="right" w:leader="dot" w:pos="4383"/>
        </w:tabs>
        <w:rPr>
          <w:rFonts w:asciiTheme="minorHAnsi" w:eastAsiaTheme="minorEastAsia" w:hAnsiTheme="minorHAnsi" w:cstheme="minorBidi"/>
          <w:b w:val="0"/>
          <w:noProof/>
        </w:rPr>
      </w:pPr>
      <w:hyperlink w:anchor="_Toc477421171" w:history="1">
        <w:r w:rsidR="00E330FE" w:rsidRPr="00CC4928">
          <w:rPr>
            <w:rStyle w:val="Hyperlink"/>
            <w:noProof/>
          </w:rPr>
          <w:t>Geschäftsbereich des Staatsministeriums für Umwelt und Verbraucherschutz</w:t>
        </w:r>
        <w:r w:rsidR="00E330FE">
          <w:rPr>
            <w:noProof/>
            <w:webHidden/>
          </w:rPr>
          <w:tab/>
        </w:r>
        <w:r w:rsidR="00E330FE">
          <w:rPr>
            <w:noProof/>
            <w:webHidden/>
          </w:rPr>
          <w:fldChar w:fldCharType="begin"/>
        </w:r>
        <w:r w:rsidR="00E330FE">
          <w:rPr>
            <w:noProof/>
            <w:webHidden/>
          </w:rPr>
          <w:instrText xml:space="preserve"> PAGEREF _Toc477421171 \h </w:instrText>
        </w:r>
        <w:r w:rsidR="00E330FE">
          <w:rPr>
            <w:noProof/>
            <w:webHidden/>
          </w:rPr>
        </w:r>
        <w:r w:rsidR="00E330FE">
          <w:rPr>
            <w:noProof/>
            <w:webHidden/>
          </w:rPr>
          <w:fldChar w:fldCharType="separate"/>
        </w:r>
        <w:r w:rsidR="004D19E0">
          <w:rPr>
            <w:noProof/>
            <w:webHidden/>
          </w:rPr>
          <w:t>31</w:t>
        </w:r>
        <w:r w:rsidR="00E330FE">
          <w:rPr>
            <w:noProof/>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2" w:history="1">
        <w:r w:rsidR="00E330FE" w:rsidRPr="00CC4928">
          <w:rPr>
            <w:rStyle w:val="Hyperlink"/>
          </w:rPr>
          <w:t>Aiwanger, Hubert (FREIE WÄHLER)</w:t>
        </w:r>
        <w:r w:rsidR="00E330FE" w:rsidRPr="00CC4928">
          <w:rPr>
            <w:rStyle w:val="Hyperlink"/>
          </w:rPr>
          <w:br/>
        </w:r>
        <w:r w:rsidR="00793F8E">
          <w:rPr>
            <w:rStyle w:val="Hyperlink"/>
          </w:rPr>
          <w:t>Dritter</w:t>
        </w:r>
        <w:r w:rsidR="00E330FE" w:rsidRPr="00CC4928">
          <w:rPr>
            <w:rStyle w:val="Hyperlink"/>
          </w:rPr>
          <w:t xml:space="preserve"> Nationalpark</w:t>
        </w:r>
        <w:r w:rsidR="00E330FE">
          <w:rPr>
            <w:webHidden/>
          </w:rPr>
          <w:tab/>
        </w:r>
        <w:r w:rsidR="00E330FE">
          <w:rPr>
            <w:webHidden/>
          </w:rPr>
          <w:fldChar w:fldCharType="begin"/>
        </w:r>
        <w:r w:rsidR="00E330FE">
          <w:rPr>
            <w:webHidden/>
          </w:rPr>
          <w:instrText xml:space="preserve"> PAGEREF _Toc477421172 \h </w:instrText>
        </w:r>
        <w:r w:rsidR="00E330FE">
          <w:rPr>
            <w:webHidden/>
          </w:rPr>
        </w:r>
        <w:r w:rsidR="00E330FE">
          <w:rPr>
            <w:webHidden/>
          </w:rPr>
          <w:fldChar w:fldCharType="separate"/>
        </w:r>
        <w:r w:rsidR="004D19E0">
          <w:rPr>
            <w:webHidden/>
          </w:rPr>
          <w:t>31</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3" w:history="1">
        <w:r w:rsidR="00E330FE" w:rsidRPr="00CC4928">
          <w:rPr>
            <w:rStyle w:val="Hyperlink"/>
          </w:rPr>
          <w:t>Felbinger, Günther (FREIE WÄHLER)</w:t>
        </w:r>
        <w:r w:rsidR="00E330FE" w:rsidRPr="00CC4928">
          <w:rPr>
            <w:rStyle w:val="Hyperlink"/>
          </w:rPr>
          <w:br/>
          <w:t>Rückbau der Brunnen in Gemünden/Hofstetten</w:t>
        </w:r>
        <w:r w:rsidR="00E330FE">
          <w:rPr>
            <w:webHidden/>
          </w:rPr>
          <w:tab/>
        </w:r>
        <w:r w:rsidR="00E330FE">
          <w:rPr>
            <w:webHidden/>
          </w:rPr>
          <w:fldChar w:fldCharType="begin"/>
        </w:r>
        <w:r w:rsidR="00E330FE">
          <w:rPr>
            <w:webHidden/>
          </w:rPr>
          <w:instrText xml:space="preserve"> PAGEREF _Toc477421173 \h </w:instrText>
        </w:r>
        <w:r w:rsidR="00E330FE">
          <w:rPr>
            <w:webHidden/>
          </w:rPr>
        </w:r>
        <w:r w:rsidR="00E330FE">
          <w:rPr>
            <w:webHidden/>
          </w:rPr>
          <w:fldChar w:fldCharType="separate"/>
        </w:r>
        <w:r w:rsidR="004D19E0">
          <w:rPr>
            <w:webHidden/>
          </w:rPr>
          <w:t>32</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4" w:history="1">
        <w:r w:rsidR="00E330FE" w:rsidRPr="00CC4928">
          <w:rPr>
            <w:rStyle w:val="Hyperlink"/>
          </w:rPr>
          <w:t>Hartmann, Ludwig (BÜNDNIS 90/DIE GRÜNEN)</w:t>
        </w:r>
        <w:r w:rsidR="00E330FE" w:rsidRPr="00CC4928">
          <w:rPr>
            <w:rStyle w:val="Hyperlink"/>
          </w:rPr>
          <w:br/>
          <w:t>Evakuierungen bei Gefahrenlage für Atomkraftwerke</w:t>
        </w:r>
        <w:r w:rsidR="00E330FE">
          <w:rPr>
            <w:webHidden/>
          </w:rPr>
          <w:tab/>
        </w:r>
        <w:r w:rsidR="00E330FE">
          <w:rPr>
            <w:webHidden/>
          </w:rPr>
          <w:fldChar w:fldCharType="begin"/>
        </w:r>
        <w:r w:rsidR="00E330FE">
          <w:rPr>
            <w:webHidden/>
          </w:rPr>
          <w:instrText xml:space="preserve"> PAGEREF _Toc477421174 \h </w:instrText>
        </w:r>
        <w:r w:rsidR="00E330FE">
          <w:rPr>
            <w:webHidden/>
          </w:rPr>
        </w:r>
        <w:r w:rsidR="00E330FE">
          <w:rPr>
            <w:webHidden/>
          </w:rPr>
          <w:fldChar w:fldCharType="separate"/>
        </w:r>
        <w:r w:rsidR="004D19E0">
          <w:rPr>
            <w:webHidden/>
          </w:rPr>
          <w:t>32</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5" w:history="1">
        <w:r w:rsidR="00E330FE" w:rsidRPr="00CC4928">
          <w:rPr>
            <w:rStyle w:val="Hyperlink"/>
          </w:rPr>
          <w:t>Kamm, Christine (BÜNDNIS 90/DIE GRÜNEN)</w:t>
        </w:r>
        <w:r w:rsidR="00E330FE" w:rsidRPr="00CC4928">
          <w:rPr>
            <w:rStyle w:val="Hyperlink"/>
          </w:rPr>
          <w:br/>
          <w:t>Räumung von Atomkraftwerken am Freitag, den 10. März 2017</w:t>
        </w:r>
        <w:r w:rsidR="00E330FE">
          <w:rPr>
            <w:webHidden/>
          </w:rPr>
          <w:tab/>
        </w:r>
        <w:r w:rsidR="00E330FE">
          <w:rPr>
            <w:webHidden/>
          </w:rPr>
          <w:fldChar w:fldCharType="begin"/>
        </w:r>
        <w:r w:rsidR="00E330FE">
          <w:rPr>
            <w:webHidden/>
          </w:rPr>
          <w:instrText xml:space="preserve"> PAGEREF _Toc477421175 \h </w:instrText>
        </w:r>
        <w:r w:rsidR="00E330FE">
          <w:rPr>
            <w:webHidden/>
          </w:rPr>
        </w:r>
        <w:r w:rsidR="00E330FE">
          <w:rPr>
            <w:webHidden/>
          </w:rPr>
          <w:fldChar w:fldCharType="separate"/>
        </w:r>
        <w:r w:rsidR="004D19E0">
          <w:rPr>
            <w:webHidden/>
          </w:rPr>
          <w:t>33</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6" w:history="1">
        <w:r w:rsidR="00E330FE" w:rsidRPr="00CC4928">
          <w:rPr>
            <w:rStyle w:val="Hyperlink"/>
          </w:rPr>
          <w:t>Kraus, Nikolaus (FREIE WÄHLER)</w:t>
        </w:r>
        <w:r w:rsidR="00E330FE" w:rsidRPr="00CC4928">
          <w:rPr>
            <w:rStyle w:val="Hyperlink"/>
          </w:rPr>
          <w:br/>
          <w:t>FFH-Feinabgrenzung</w:t>
        </w:r>
        <w:r w:rsidR="00E330FE">
          <w:rPr>
            <w:webHidden/>
          </w:rPr>
          <w:tab/>
        </w:r>
        <w:r w:rsidR="00E330FE">
          <w:rPr>
            <w:webHidden/>
          </w:rPr>
          <w:fldChar w:fldCharType="begin"/>
        </w:r>
        <w:r w:rsidR="00E330FE">
          <w:rPr>
            <w:webHidden/>
          </w:rPr>
          <w:instrText xml:space="preserve"> PAGEREF _Toc477421176 \h </w:instrText>
        </w:r>
        <w:r w:rsidR="00E330FE">
          <w:rPr>
            <w:webHidden/>
          </w:rPr>
        </w:r>
        <w:r w:rsidR="00E330FE">
          <w:rPr>
            <w:webHidden/>
          </w:rPr>
          <w:fldChar w:fldCharType="separate"/>
        </w:r>
        <w:r w:rsidR="004D19E0">
          <w:rPr>
            <w:webHidden/>
          </w:rPr>
          <w:t>33</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7" w:history="1">
        <w:r w:rsidR="00E330FE" w:rsidRPr="00CC4928">
          <w:rPr>
            <w:rStyle w:val="Hyperlink"/>
          </w:rPr>
          <w:t>Mütze, Thomas (BÜNDNIS 90/DIE GRÜNEN)</w:t>
        </w:r>
        <w:r w:rsidR="00E330FE" w:rsidRPr="00CC4928">
          <w:rPr>
            <w:rStyle w:val="Hyperlink"/>
          </w:rPr>
          <w:br/>
          <w:t>Nitrat- und Pflanzenschutzmittelwerte im Wasser</w:t>
        </w:r>
        <w:r w:rsidR="00E330FE">
          <w:rPr>
            <w:webHidden/>
          </w:rPr>
          <w:tab/>
        </w:r>
        <w:r w:rsidR="00E330FE">
          <w:rPr>
            <w:webHidden/>
          </w:rPr>
          <w:fldChar w:fldCharType="begin"/>
        </w:r>
        <w:r w:rsidR="00E330FE">
          <w:rPr>
            <w:webHidden/>
          </w:rPr>
          <w:instrText xml:space="preserve"> PAGEREF _Toc477421177 \h </w:instrText>
        </w:r>
        <w:r w:rsidR="00E330FE">
          <w:rPr>
            <w:webHidden/>
          </w:rPr>
        </w:r>
        <w:r w:rsidR="00E330FE">
          <w:rPr>
            <w:webHidden/>
          </w:rPr>
          <w:fldChar w:fldCharType="separate"/>
        </w:r>
        <w:r w:rsidR="004D19E0">
          <w:rPr>
            <w:webHidden/>
          </w:rPr>
          <w:t>34</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8" w:history="1">
        <w:r w:rsidR="00E330FE" w:rsidRPr="00CC4928">
          <w:rPr>
            <w:rStyle w:val="Hyperlink"/>
          </w:rPr>
          <w:t>Rinderspacher, Markus (SPD)</w:t>
        </w:r>
        <w:r w:rsidR="00E330FE" w:rsidRPr="00CC4928">
          <w:rPr>
            <w:rStyle w:val="Hyperlink"/>
          </w:rPr>
          <w:br/>
          <w:t>Kooperationen zwischen Bayern und Baden-Württemberg beim Umwelt- und Naturschutz</w:t>
        </w:r>
        <w:r w:rsidR="00E330FE">
          <w:rPr>
            <w:webHidden/>
          </w:rPr>
          <w:tab/>
        </w:r>
        <w:r w:rsidR="00E330FE">
          <w:rPr>
            <w:webHidden/>
          </w:rPr>
          <w:fldChar w:fldCharType="begin"/>
        </w:r>
        <w:r w:rsidR="00E330FE">
          <w:rPr>
            <w:webHidden/>
          </w:rPr>
          <w:instrText xml:space="preserve"> PAGEREF _Toc477421178 \h </w:instrText>
        </w:r>
        <w:r w:rsidR="00E330FE">
          <w:rPr>
            <w:webHidden/>
          </w:rPr>
        </w:r>
        <w:r w:rsidR="00E330FE">
          <w:rPr>
            <w:webHidden/>
          </w:rPr>
          <w:fldChar w:fldCharType="separate"/>
        </w:r>
        <w:r w:rsidR="004D19E0">
          <w:rPr>
            <w:webHidden/>
          </w:rPr>
          <w:t>36</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79" w:history="1">
        <w:r w:rsidR="00E330FE" w:rsidRPr="00CC4928">
          <w:rPr>
            <w:rStyle w:val="Hyperlink"/>
          </w:rPr>
          <w:t>Stümpfig, Martin (BÜNDNIS 90/DIE GRÜNEN)</w:t>
        </w:r>
        <w:r w:rsidR="00E330FE" w:rsidRPr="00CC4928">
          <w:rPr>
            <w:rStyle w:val="Hyperlink"/>
          </w:rPr>
          <w:br/>
          <w:t>Kurzfristige Räumung des Atomkraftwerks Grafenrheinfeld</w:t>
        </w:r>
        <w:r w:rsidR="00E330FE">
          <w:rPr>
            <w:webHidden/>
          </w:rPr>
          <w:tab/>
        </w:r>
        <w:r w:rsidR="00E330FE">
          <w:rPr>
            <w:webHidden/>
          </w:rPr>
          <w:fldChar w:fldCharType="begin"/>
        </w:r>
        <w:r w:rsidR="00E330FE">
          <w:rPr>
            <w:webHidden/>
          </w:rPr>
          <w:instrText xml:space="preserve"> PAGEREF _Toc477421179 \h </w:instrText>
        </w:r>
        <w:r w:rsidR="00E330FE">
          <w:rPr>
            <w:webHidden/>
          </w:rPr>
        </w:r>
        <w:r w:rsidR="00E330FE">
          <w:rPr>
            <w:webHidden/>
          </w:rPr>
          <w:fldChar w:fldCharType="separate"/>
        </w:r>
        <w:r w:rsidR="004D19E0">
          <w:rPr>
            <w:webHidden/>
          </w:rPr>
          <w:t>39</w:t>
        </w:r>
        <w:r w:rsidR="00E330FE">
          <w:rPr>
            <w:webHidden/>
          </w:rPr>
          <w:fldChar w:fldCharType="end"/>
        </w:r>
      </w:hyperlink>
    </w:p>
    <w:p w:rsidR="00E330FE" w:rsidRDefault="005C3DB8">
      <w:pPr>
        <w:pStyle w:val="Verzeichnis1"/>
        <w:tabs>
          <w:tab w:val="right" w:leader="dot" w:pos="4383"/>
        </w:tabs>
        <w:rPr>
          <w:rFonts w:asciiTheme="minorHAnsi" w:eastAsiaTheme="minorEastAsia" w:hAnsiTheme="minorHAnsi" w:cstheme="minorBidi"/>
          <w:b w:val="0"/>
          <w:noProof/>
        </w:rPr>
      </w:pPr>
      <w:hyperlink w:anchor="_Toc477421180" w:history="1">
        <w:r w:rsidR="00E330FE" w:rsidRPr="00CC4928">
          <w:rPr>
            <w:rStyle w:val="Hyperlink"/>
            <w:noProof/>
          </w:rPr>
          <w:t>Geschäftsbereich des Staatsministeriums für Ernährung, Landwirtschaft und Forsten</w:t>
        </w:r>
        <w:r w:rsidR="00E330FE">
          <w:rPr>
            <w:noProof/>
            <w:webHidden/>
          </w:rPr>
          <w:tab/>
        </w:r>
        <w:r w:rsidR="00E330FE">
          <w:rPr>
            <w:noProof/>
            <w:webHidden/>
          </w:rPr>
          <w:fldChar w:fldCharType="begin"/>
        </w:r>
        <w:r w:rsidR="00E330FE">
          <w:rPr>
            <w:noProof/>
            <w:webHidden/>
          </w:rPr>
          <w:instrText xml:space="preserve"> PAGEREF _Toc477421180 \h </w:instrText>
        </w:r>
        <w:r w:rsidR="00E330FE">
          <w:rPr>
            <w:noProof/>
            <w:webHidden/>
          </w:rPr>
        </w:r>
        <w:r w:rsidR="00E330FE">
          <w:rPr>
            <w:noProof/>
            <w:webHidden/>
          </w:rPr>
          <w:fldChar w:fldCharType="separate"/>
        </w:r>
        <w:r w:rsidR="004D19E0">
          <w:rPr>
            <w:noProof/>
            <w:webHidden/>
          </w:rPr>
          <w:t>40</w:t>
        </w:r>
        <w:r w:rsidR="00E330FE">
          <w:rPr>
            <w:noProof/>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81" w:history="1">
        <w:r w:rsidR="00E330FE" w:rsidRPr="00CC4928">
          <w:rPr>
            <w:rStyle w:val="Hyperlink"/>
          </w:rPr>
          <w:t>Arnold, Horst (SPD)</w:t>
        </w:r>
        <w:r w:rsidR="00E330FE" w:rsidRPr="00CC4928">
          <w:rPr>
            <w:rStyle w:val="Hyperlink"/>
          </w:rPr>
          <w:br/>
          <w:t>Zukunft der Gemeinsamen Agrarpolitik (GAP) nach 2020</w:t>
        </w:r>
        <w:r w:rsidR="00E330FE">
          <w:rPr>
            <w:webHidden/>
          </w:rPr>
          <w:tab/>
        </w:r>
        <w:r w:rsidR="00E330FE">
          <w:rPr>
            <w:webHidden/>
          </w:rPr>
          <w:fldChar w:fldCharType="begin"/>
        </w:r>
        <w:r w:rsidR="00E330FE">
          <w:rPr>
            <w:webHidden/>
          </w:rPr>
          <w:instrText xml:space="preserve"> PAGEREF _Toc477421181 \h </w:instrText>
        </w:r>
        <w:r w:rsidR="00E330FE">
          <w:rPr>
            <w:webHidden/>
          </w:rPr>
        </w:r>
        <w:r w:rsidR="00E330FE">
          <w:rPr>
            <w:webHidden/>
          </w:rPr>
          <w:fldChar w:fldCharType="separate"/>
        </w:r>
        <w:r w:rsidR="004D19E0">
          <w:rPr>
            <w:webHidden/>
          </w:rPr>
          <w:t>40</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82" w:history="1">
        <w:r w:rsidR="00B961CE">
          <w:rPr>
            <w:rStyle w:val="Hyperlink"/>
          </w:rPr>
          <w:t>von B</w:t>
        </w:r>
        <w:r w:rsidR="00E330FE" w:rsidRPr="00CC4928">
          <w:rPr>
            <w:rStyle w:val="Hyperlink"/>
          </w:rPr>
          <w:t>runn, Florian (SPD)</w:t>
        </w:r>
        <w:r w:rsidR="00E330FE" w:rsidRPr="00CC4928">
          <w:rPr>
            <w:rStyle w:val="Hyperlink"/>
          </w:rPr>
          <w:br/>
          <w:t>Waldflächen und Holzvorräte in Franken</w:t>
        </w:r>
        <w:r w:rsidR="00E330FE">
          <w:rPr>
            <w:webHidden/>
          </w:rPr>
          <w:tab/>
        </w:r>
        <w:r w:rsidR="00E330FE">
          <w:rPr>
            <w:webHidden/>
          </w:rPr>
          <w:fldChar w:fldCharType="begin"/>
        </w:r>
        <w:r w:rsidR="00E330FE">
          <w:rPr>
            <w:webHidden/>
          </w:rPr>
          <w:instrText xml:space="preserve"> PAGEREF _Toc477421182 \h </w:instrText>
        </w:r>
        <w:r w:rsidR="00E330FE">
          <w:rPr>
            <w:webHidden/>
          </w:rPr>
        </w:r>
        <w:r w:rsidR="00E330FE">
          <w:rPr>
            <w:webHidden/>
          </w:rPr>
          <w:fldChar w:fldCharType="separate"/>
        </w:r>
        <w:r w:rsidR="004D19E0">
          <w:rPr>
            <w:webHidden/>
          </w:rPr>
          <w:t>40</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83" w:history="1">
        <w:r w:rsidR="00E330FE" w:rsidRPr="00CC4928">
          <w:rPr>
            <w:rStyle w:val="Hyperlink"/>
          </w:rPr>
          <w:t>Dr. Herz, Leopold (FREIE WÄHLER)</w:t>
        </w:r>
        <w:r w:rsidR="00E330FE" w:rsidRPr="00CC4928">
          <w:rPr>
            <w:rStyle w:val="Hyperlink"/>
          </w:rPr>
          <w:br/>
          <w:t>Entwicklung der landwirtschaftlichen Betriebe</w:t>
        </w:r>
        <w:r w:rsidR="00E330FE">
          <w:rPr>
            <w:webHidden/>
          </w:rPr>
          <w:tab/>
        </w:r>
        <w:r w:rsidR="00E330FE">
          <w:rPr>
            <w:webHidden/>
          </w:rPr>
          <w:fldChar w:fldCharType="begin"/>
        </w:r>
        <w:r w:rsidR="00E330FE">
          <w:rPr>
            <w:webHidden/>
          </w:rPr>
          <w:instrText xml:space="preserve"> PAGEREF _Toc477421183 \h </w:instrText>
        </w:r>
        <w:r w:rsidR="00E330FE">
          <w:rPr>
            <w:webHidden/>
          </w:rPr>
        </w:r>
        <w:r w:rsidR="00E330FE">
          <w:rPr>
            <w:webHidden/>
          </w:rPr>
          <w:fldChar w:fldCharType="separate"/>
        </w:r>
        <w:r w:rsidR="004D19E0">
          <w:rPr>
            <w:webHidden/>
          </w:rPr>
          <w:t>42</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84" w:history="1">
        <w:r w:rsidR="00E330FE" w:rsidRPr="00CC4928">
          <w:rPr>
            <w:rStyle w:val="Hyperlink"/>
          </w:rPr>
          <w:t>Müller, Ruth (SPD)</w:t>
        </w:r>
        <w:r w:rsidR="00E330FE" w:rsidRPr="00CC4928">
          <w:rPr>
            <w:rStyle w:val="Hyperlink"/>
          </w:rPr>
          <w:br/>
          <w:t>Maßvolle Umschichtung von Direktzahlungen in die zweite Säule</w:t>
        </w:r>
        <w:r w:rsidR="00E330FE">
          <w:rPr>
            <w:webHidden/>
          </w:rPr>
          <w:tab/>
        </w:r>
        <w:r w:rsidR="00E330FE">
          <w:rPr>
            <w:webHidden/>
          </w:rPr>
          <w:fldChar w:fldCharType="begin"/>
        </w:r>
        <w:r w:rsidR="00E330FE">
          <w:rPr>
            <w:webHidden/>
          </w:rPr>
          <w:instrText xml:space="preserve"> PAGEREF _Toc477421184 \h </w:instrText>
        </w:r>
        <w:r w:rsidR="00E330FE">
          <w:rPr>
            <w:webHidden/>
          </w:rPr>
        </w:r>
        <w:r w:rsidR="00E330FE">
          <w:rPr>
            <w:webHidden/>
          </w:rPr>
          <w:fldChar w:fldCharType="separate"/>
        </w:r>
        <w:r w:rsidR="004D19E0">
          <w:rPr>
            <w:webHidden/>
          </w:rPr>
          <w:t>43</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85" w:history="1">
        <w:r w:rsidR="00E330FE" w:rsidRPr="00CC4928">
          <w:rPr>
            <w:rStyle w:val="Hyperlink"/>
          </w:rPr>
          <w:t>Sengl, Gisela (BÜNDNIS 90/DIE GRÜNEN)</w:t>
        </w:r>
        <w:r w:rsidR="00E330FE" w:rsidRPr="00CC4928">
          <w:rPr>
            <w:rStyle w:val="Hyperlink"/>
          </w:rPr>
          <w:br/>
          <w:t>Kriterien für Fleischqualität</w:t>
        </w:r>
        <w:r w:rsidR="00E330FE">
          <w:rPr>
            <w:webHidden/>
          </w:rPr>
          <w:tab/>
        </w:r>
        <w:r w:rsidR="00E330FE">
          <w:rPr>
            <w:webHidden/>
          </w:rPr>
          <w:fldChar w:fldCharType="begin"/>
        </w:r>
        <w:r w:rsidR="00E330FE">
          <w:rPr>
            <w:webHidden/>
          </w:rPr>
          <w:instrText xml:space="preserve"> PAGEREF _Toc477421185 \h </w:instrText>
        </w:r>
        <w:r w:rsidR="00E330FE">
          <w:rPr>
            <w:webHidden/>
          </w:rPr>
        </w:r>
        <w:r w:rsidR="00E330FE">
          <w:rPr>
            <w:webHidden/>
          </w:rPr>
          <w:fldChar w:fldCharType="separate"/>
        </w:r>
        <w:r w:rsidR="004D19E0">
          <w:rPr>
            <w:webHidden/>
          </w:rPr>
          <w:t>45</w:t>
        </w:r>
        <w:r w:rsidR="00E330FE">
          <w:rPr>
            <w:webHidden/>
          </w:rPr>
          <w:fldChar w:fldCharType="end"/>
        </w:r>
      </w:hyperlink>
    </w:p>
    <w:p w:rsidR="00E330FE" w:rsidRDefault="005C3DB8">
      <w:pPr>
        <w:pStyle w:val="Verzeichnis1"/>
        <w:tabs>
          <w:tab w:val="right" w:leader="dot" w:pos="4383"/>
        </w:tabs>
        <w:rPr>
          <w:rFonts w:asciiTheme="minorHAnsi" w:eastAsiaTheme="minorEastAsia" w:hAnsiTheme="minorHAnsi" w:cstheme="minorBidi"/>
          <w:b w:val="0"/>
          <w:noProof/>
        </w:rPr>
      </w:pPr>
      <w:hyperlink w:anchor="_Toc477421186" w:history="1">
        <w:r w:rsidR="00E330FE" w:rsidRPr="00CC4928">
          <w:rPr>
            <w:rStyle w:val="Hyperlink"/>
            <w:noProof/>
          </w:rPr>
          <w:t>Geschäftsbereich des Staatsministeriums für Arbeit und Soziales, Familie und Integration</w:t>
        </w:r>
        <w:r w:rsidR="00E330FE">
          <w:rPr>
            <w:noProof/>
            <w:webHidden/>
          </w:rPr>
          <w:tab/>
        </w:r>
        <w:r w:rsidR="00E330FE">
          <w:rPr>
            <w:noProof/>
            <w:webHidden/>
          </w:rPr>
          <w:fldChar w:fldCharType="begin"/>
        </w:r>
        <w:r w:rsidR="00E330FE">
          <w:rPr>
            <w:noProof/>
            <w:webHidden/>
          </w:rPr>
          <w:instrText xml:space="preserve"> PAGEREF _Toc477421186 \h </w:instrText>
        </w:r>
        <w:r w:rsidR="00E330FE">
          <w:rPr>
            <w:noProof/>
            <w:webHidden/>
          </w:rPr>
        </w:r>
        <w:r w:rsidR="00E330FE">
          <w:rPr>
            <w:noProof/>
            <w:webHidden/>
          </w:rPr>
          <w:fldChar w:fldCharType="separate"/>
        </w:r>
        <w:r w:rsidR="004D19E0">
          <w:rPr>
            <w:noProof/>
            <w:webHidden/>
          </w:rPr>
          <w:t>46</w:t>
        </w:r>
        <w:r w:rsidR="00E330FE">
          <w:rPr>
            <w:noProof/>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87" w:history="1">
        <w:r w:rsidR="00E330FE" w:rsidRPr="00CC4928">
          <w:rPr>
            <w:rStyle w:val="Hyperlink"/>
          </w:rPr>
          <w:t>Prof. (Univ. Lima) Dr. Bauer, Peter (FREIE WÄHLER)</w:t>
        </w:r>
        <w:r w:rsidR="00E330FE" w:rsidRPr="00CC4928">
          <w:rPr>
            <w:rStyle w:val="Hyperlink"/>
          </w:rPr>
          <w:br/>
          <w:t>Berücksichtigung von Staatenlosen im Bayerischen Integrationsgesetz</w:t>
        </w:r>
        <w:r w:rsidR="00E330FE">
          <w:rPr>
            <w:webHidden/>
          </w:rPr>
          <w:tab/>
        </w:r>
        <w:r w:rsidR="00E330FE">
          <w:rPr>
            <w:webHidden/>
          </w:rPr>
          <w:fldChar w:fldCharType="begin"/>
        </w:r>
        <w:r w:rsidR="00E330FE">
          <w:rPr>
            <w:webHidden/>
          </w:rPr>
          <w:instrText xml:space="preserve"> PAGEREF _Toc477421187 \h </w:instrText>
        </w:r>
        <w:r w:rsidR="00E330FE">
          <w:rPr>
            <w:webHidden/>
          </w:rPr>
        </w:r>
        <w:r w:rsidR="00E330FE">
          <w:rPr>
            <w:webHidden/>
          </w:rPr>
          <w:fldChar w:fldCharType="separate"/>
        </w:r>
        <w:r w:rsidR="004D19E0">
          <w:rPr>
            <w:webHidden/>
          </w:rPr>
          <w:t>46</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88" w:history="1">
        <w:r w:rsidR="00E330FE" w:rsidRPr="00CC4928">
          <w:rPr>
            <w:rStyle w:val="Hyperlink"/>
          </w:rPr>
          <w:t>Osgyan, Verena (BÜNDNIS 90/DIE GRÜNEN)</w:t>
        </w:r>
        <w:r w:rsidR="00E330FE" w:rsidRPr="00CC4928">
          <w:rPr>
            <w:rStyle w:val="Hyperlink"/>
          </w:rPr>
          <w:br/>
          <w:t>Aktueller Stand des Gender Pay Gap in Bayern</w:t>
        </w:r>
        <w:r w:rsidR="00E330FE">
          <w:rPr>
            <w:webHidden/>
          </w:rPr>
          <w:tab/>
        </w:r>
        <w:r w:rsidR="00E330FE">
          <w:rPr>
            <w:webHidden/>
          </w:rPr>
          <w:fldChar w:fldCharType="begin"/>
        </w:r>
        <w:r w:rsidR="00E330FE">
          <w:rPr>
            <w:webHidden/>
          </w:rPr>
          <w:instrText xml:space="preserve"> PAGEREF _Toc477421188 \h </w:instrText>
        </w:r>
        <w:r w:rsidR="00E330FE">
          <w:rPr>
            <w:webHidden/>
          </w:rPr>
        </w:r>
        <w:r w:rsidR="00E330FE">
          <w:rPr>
            <w:webHidden/>
          </w:rPr>
          <w:fldChar w:fldCharType="separate"/>
        </w:r>
        <w:r w:rsidR="004D19E0">
          <w:rPr>
            <w:webHidden/>
          </w:rPr>
          <w:t>46</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89" w:history="1">
        <w:r w:rsidR="00E330FE" w:rsidRPr="00CC4928">
          <w:rPr>
            <w:rStyle w:val="Hyperlink"/>
          </w:rPr>
          <w:t>Schindler, Franz (SPD)</w:t>
        </w:r>
        <w:r w:rsidR="00E330FE" w:rsidRPr="00CC4928">
          <w:rPr>
            <w:rStyle w:val="Hyperlink"/>
          </w:rPr>
          <w:br/>
          <w:t>Teilverlagerung des Landesjugendamtes nach Schwandorf</w:t>
        </w:r>
        <w:r w:rsidR="00E330FE">
          <w:rPr>
            <w:webHidden/>
          </w:rPr>
          <w:tab/>
        </w:r>
        <w:r w:rsidR="00E330FE">
          <w:rPr>
            <w:webHidden/>
          </w:rPr>
          <w:fldChar w:fldCharType="begin"/>
        </w:r>
        <w:r w:rsidR="00E330FE">
          <w:rPr>
            <w:webHidden/>
          </w:rPr>
          <w:instrText xml:space="preserve"> PAGEREF _Toc477421189 \h </w:instrText>
        </w:r>
        <w:r w:rsidR="00E330FE">
          <w:rPr>
            <w:webHidden/>
          </w:rPr>
        </w:r>
        <w:r w:rsidR="00E330FE">
          <w:rPr>
            <w:webHidden/>
          </w:rPr>
          <w:fldChar w:fldCharType="separate"/>
        </w:r>
        <w:r w:rsidR="004D19E0">
          <w:rPr>
            <w:webHidden/>
          </w:rPr>
          <w:t>47</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90" w:history="1">
        <w:r w:rsidR="00B961CE">
          <w:rPr>
            <w:rStyle w:val="Hyperlink"/>
          </w:rPr>
          <w:t>Taşdelen</w:t>
        </w:r>
        <w:r w:rsidR="00E330FE" w:rsidRPr="00CC4928">
          <w:rPr>
            <w:rStyle w:val="Hyperlink"/>
          </w:rPr>
          <w:t>, Arif (SPD)</w:t>
        </w:r>
        <w:r w:rsidR="00E330FE" w:rsidRPr="00CC4928">
          <w:rPr>
            <w:rStyle w:val="Hyperlink"/>
          </w:rPr>
          <w:br/>
          <w:t>Verwaltungsvorschriften zum Bayerischen Integrationsgesetz</w:t>
        </w:r>
        <w:r w:rsidR="00E330FE">
          <w:rPr>
            <w:webHidden/>
          </w:rPr>
          <w:tab/>
        </w:r>
        <w:r w:rsidR="00E330FE">
          <w:rPr>
            <w:webHidden/>
          </w:rPr>
          <w:fldChar w:fldCharType="begin"/>
        </w:r>
        <w:r w:rsidR="00E330FE">
          <w:rPr>
            <w:webHidden/>
          </w:rPr>
          <w:instrText xml:space="preserve"> PAGEREF _Toc477421190 \h </w:instrText>
        </w:r>
        <w:r w:rsidR="00E330FE">
          <w:rPr>
            <w:webHidden/>
          </w:rPr>
        </w:r>
        <w:r w:rsidR="00E330FE">
          <w:rPr>
            <w:webHidden/>
          </w:rPr>
          <w:fldChar w:fldCharType="separate"/>
        </w:r>
        <w:r w:rsidR="004D19E0">
          <w:rPr>
            <w:webHidden/>
          </w:rPr>
          <w:t>47</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91" w:history="1">
        <w:r w:rsidR="00E330FE" w:rsidRPr="00CC4928">
          <w:rPr>
            <w:rStyle w:val="Hyperlink"/>
          </w:rPr>
          <w:t>Weikert, Angelika (SPD)</w:t>
        </w:r>
        <w:r w:rsidR="00E330FE" w:rsidRPr="00CC4928">
          <w:rPr>
            <w:rStyle w:val="Hyperlink"/>
          </w:rPr>
          <w:br/>
          <w:t>Auszahlungstermin für Fördergelder durch das Zentrum Bayern Familie und Soziales</w:t>
        </w:r>
        <w:r w:rsidR="00E330FE">
          <w:rPr>
            <w:webHidden/>
          </w:rPr>
          <w:tab/>
        </w:r>
        <w:r w:rsidR="00E330FE">
          <w:rPr>
            <w:webHidden/>
          </w:rPr>
          <w:fldChar w:fldCharType="begin"/>
        </w:r>
        <w:r w:rsidR="00E330FE">
          <w:rPr>
            <w:webHidden/>
          </w:rPr>
          <w:instrText xml:space="preserve"> PAGEREF _Toc477421191 \h </w:instrText>
        </w:r>
        <w:r w:rsidR="00E330FE">
          <w:rPr>
            <w:webHidden/>
          </w:rPr>
        </w:r>
        <w:r w:rsidR="00E330FE">
          <w:rPr>
            <w:webHidden/>
          </w:rPr>
          <w:fldChar w:fldCharType="separate"/>
        </w:r>
        <w:r w:rsidR="004D19E0">
          <w:rPr>
            <w:webHidden/>
          </w:rPr>
          <w:t>48</w:t>
        </w:r>
        <w:r w:rsidR="00E330FE">
          <w:rPr>
            <w:webHidden/>
          </w:rPr>
          <w:fldChar w:fldCharType="end"/>
        </w:r>
      </w:hyperlink>
    </w:p>
    <w:p w:rsidR="00E330FE" w:rsidRDefault="005C3DB8">
      <w:pPr>
        <w:pStyle w:val="Verzeichnis1"/>
        <w:tabs>
          <w:tab w:val="right" w:leader="dot" w:pos="4383"/>
        </w:tabs>
        <w:rPr>
          <w:rFonts w:asciiTheme="minorHAnsi" w:eastAsiaTheme="minorEastAsia" w:hAnsiTheme="minorHAnsi" w:cstheme="minorBidi"/>
          <w:b w:val="0"/>
          <w:noProof/>
        </w:rPr>
      </w:pPr>
      <w:hyperlink w:anchor="_Toc477421192" w:history="1">
        <w:r w:rsidR="00E330FE" w:rsidRPr="00CC4928">
          <w:rPr>
            <w:rStyle w:val="Hyperlink"/>
            <w:noProof/>
          </w:rPr>
          <w:t>Geschäftsbereich des Staatsministeriums für Gesundheit und Pflege</w:t>
        </w:r>
        <w:r w:rsidR="00E330FE">
          <w:rPr>
            <w:noProof/>
            <w:webHidden/>
          </w:rPr>
          <w:tab/>
        </w:r>
        <w:r w:rsidR="00E330FE">
          <w:rPr>
            <w:noProof/>
            <w:webHidden/>
          </w:rPr>
          <w:fldChar w:fldCharType="begin"/>
        </w:r>
        <w:r w:rsidR="00E330FE">
          <w:rPr>
            <w:noProof/>
            <w:webHidden/>
          </w:rPr>
          <w:instrText xml:space="preserve"> PAGEREF _Toc477421192 \h </w:instrText>
        </w:r>
        <w:r w:rsidR="00E330FE">
          <w:rPr>
            <w:noProof/>
            <w:webHidden/>
          </w:rPr>
        </w:r>
        <w:r w:rsidR="00E330FE">
          <w:rPr>
            <w:noProof/>
            <w:webHidden/>
          </w:rPr>
          <w:fldChar w:fldCharType="separate"/>
        </w:r>
        <w:r w:rsidR="004D19E0">
          <w:rPr>
            <w:noProof/>
            <w:webHidden/>
          </w:rPr>
          <w:t>49</w:t>
        </w:r>
        <w:r w:rsidR="00E330FE">
          <w:rPr>
            <w:noProof/>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93" w:history="1">
        <w:r w:rsidR="00E330FE" w:rsidRPr="00CC4928">
          <w:rPr>
            <w:rStyle w:val="Hyperlink"/>
          </w:rPr>
          <w:t>Aures, Inge (SPD)</w:t>
        </w:r>
        <w:r w:rsidR="00E330FE" w:rsidRPr="00CC4928">
          <w:rPr>
            <w:rStyle w:val="Hyperlink"/>
          </w:rPr>
          <w:br/>
          <w:t>Hilfe für Entbindungsstationen</w:t>
        </w:r>
        <w:r w:rsidR="00E330FE">
          <w:rPr>
            <w:webHidden/>
          </w:rPr>
          <w:tab/>
        </w:r>
        <w:r w:rsidR="00E330FE">
          <w:rPr>
            <w:webHidden/>
          </w:rPr>
          <w:fldChar w:fldCharType="begin"/>
        </w:r>
        <w:r w:rsidR="00E330FE">
          <w:rPr>
            <w:webHidden/>
          </w:rPr>
          <w:instrText xml:space="preserve"> PAGEREF _Toc477421193 \h </w:instrText>
        </w:r>
        <w:r w:rsidR="00E330FE">
          <w:rPr>
            <w:webHidden/>
          </w:rPr>
        </w:r>
        <w:r w:rsidR="00E330FE">
          <w:rPr>
            <w:webHidden/>
          </w:rPr>
          <w:fldChar w:fldCharType="separate"/>
        </w:r>
        <w:r w:rsidR="004D19E0">
          <w:rPr>
            <w:webHidden/>
          </w:rPr>
          <w:t>49</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94" w:history="1">
        <w:r w:rsidR="00E330FE" w:rsidRPr="00CC4928">
          <w:rPr>
            <w:rStyle w:val="Hyperlink"/>
          </w:rPr>
          <w:t>Biedefeld, Susann (SPD)</w:t>
        </w:r>
        <w:r w:rsidR="00E330FE" w:rsidRPr="00CC4928">
          <w:rPr>
            <w:rStyle w:val="Hyperlink"/>
          </w:rPr>
          <w:br/>
          <w:t>Erhalt des Bezirksklinikums Obermain</w:t>
        </w:r>
        <w:r w:rsidR="00E330FE">
          <w:rPr>
            <w:webHidden/>
          </w:rPr>
          <w:tab/>
        </w:r>
        <w:r w:rsidR="00E330FE">
          <w:rPr>
            <w:webHidden/>
          </w:rPr>
          <w:fldChar w:fldCharType="begin"/>
        </w:r>
        <w:r w:rsidR="00E330FE">
          <w:rPr>
            <w:webHidden/>
          </w:rPr>
          <w:instrText xml:space="preserve"> PAGEREF _Toc477421194 \h </w:instrText>
        </w:r>
        <w:r w:rsidR="00E330FE">
          <w:rPr>
            <w:webHidden/>
          </w:rPr>
        </w:r>
        <w:r w:rsidR="00E330FE">
          <w:rPr>
            <w:webHidden/>
          </w:rPr>
          <w:fldChar w:fldCharType="separate"/>
        </w:r>
        <w:r w:rsidR="004D19E0">
          <w:rPr>
            <w:webHidden/>
          </w:rPr>
          <w:t>49</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95" w:history="1">
        <w:r w:rsidR="00E330FE" w:rsidRPr="00CC4928">
          <w:rPr>
            <w:rStyle w:val="Hyperlink"/>
          </w:rPr>
          <w:t>Leiner, Ulrich (BÜNDNIS 90/DIE GRÜNEN)</w:t>
        </w:r>
        <w:r w:rsidR="00E330FE" w:rsidRPr="00CC4928">
          <w:rPr>
            <w:rStyle w:val="Hyperlink"/>
          </w:rPr>
          <w:br/>
          <w:t>Entwicklung der Kurzzeitpflegeplätze</w:t>
        </w:r>
        <w:r w:rsidR="00E330FE">
          <w:rPr>
            <w:webHidden/>
          </w:rPr>
          <w:tab/>
        </w:r>
        <w:r w:rsidR="00E330FE">
          <w:rPr>
            <w:webHidden/>
          </w:rPr>
          <w:fldChar w:fldCharType="begin"/>
        </w:r>
        <w:r w:rsidR="00E330FE">
          <w:rPr>
            <w:webHidden/>
          </w:rPr>
          <w:instrText xml:space="preserve"> PAGEREF _Toc477421195 \h </w:instrText>
        </w:r>
        <w:r w:rsidR="00E330FE">
          <w:rPr>
            <w:webHidden/>
          </w:rPr>
        </w:r>
        <w:r w:rsidR="00E330FE">
          <w:rPr>
            <w:webHidden/>
          </w:rPr>
          <w:fldChar w:fldCharType="separate"/>
        </w:r>
        <w:r w:rsidR="004D19E0">
          <w:rPr>
            <w:webHidden/>
          </w:rPr>
          <w:t>50</w:t>
        </w:r>
        <w:r w:rsidR="00E330FE">
          <w:rPr>
            <w:webHidden/>
          </w:rPr>
          <w:fldChar w:fldCharType="end"/>
        </w:r>
      </w:hyperlink>
    </w:p>
    <w:p w:rsidR="00E330FE" w:rsidRDefault="005C3DB8">
      <w:pPr>
        <w:pStyle w:val="Verzeichnis2"/>
        <w:tabs>
          <w:tab w:val="right" w:leader="dot" w:pos="4383"/>
        </w:tabs>
        <w:rPr>
          <w:rFonts w:asciiTheme="minorHAnsi" w:eastAsiaTheme="minorEastAsia" w:hAnsiTheme="minorHAnsi" w:cstheme="minorBidi"/>
          <w:sz w:val="22"/>
        </w:rPr>
      </w:pPr>
      <w:hyperlink w:anchor="_Toc477421196" w:history="1">
        <w:r w:rsidR="00E330FE" w:rsidRPr="00CC4928">
          <w:rPr>
            <w:rStyle w:val="Hyperlink"/>
          </w:rPr>
          <w:t>Sonnenholzner, Kathrin (SPD)</w:t>
        </w:r>
        <w:r w:rsidR="00E330FE" w:rsidRPr="00CC4928">
          <w:rPr>
            <w:rStyle w:val="Hyperlink"/>
          </w:rPr>
          <w:br/>
          <w:t xml:space="preserve">Projekt </w:t>
        </w:r>
        <w:r w:rsidR="0069325A">
          <w:rPr>
            <w:rStyle w:val="Hyperlink"/>
          </w:rPr>
          <w:t>für</w:t>
        </w:r>
        <w:r w:rsidR="00E330FE" w:rsidRPr="00CC4928">
          <w:rPr>
            <w:rStyle w:val="Hyperlink"/>
          </w:rPr>
          <w:t xml:space="preserve"> sozialpädagogische Begleitung in der Altenpflegeaus</w:t>
        </w:r>
        <w:r w:rsidR="00353838">
          <w:rPr>
            <w:rStyle w:val="Hyperlink"/>
          </w:rPr>
          <w:softHyphen/>
        </w:r>
        <w:r w:rsidR="00E330FE" w:rsidRPr="00CC4928">
          <w:rPr>
            <w:rStyle w:val="Hyperlink"/>
          </w:rPr>
          <w:t>bildung</w:t>
        </w:r>
        <w:r w:rsidR="00E330FE">
          <w:rPr>
            <w:webHidden/>
          </w:rPr>
          <w:tab/>
        </w:r>
        <w:r w:rsidR="00E330FE">
          <w:rPr>
            <w:webHidden/>
          </w:rPr>
          <w:fldChar w:fldCharType="begin"/>
        </w:r>
        <w:r w:rsidR="00E330FE">
          <w:rPr>
            <w:webHidden/>
          </w:rPr>
          <w:instrText xml:space="preserve"> PAGEREF _Toc477421196 \h </w:instrText>
        </w:r>
        <w:r w:rsidR="00E330FE">
          <w:rPr>
            <w:webHidden/>
          </w:rPr>
        </w:r>
        <w:r w:rsidR="00E330FE">
          <w:rPr>
            <w:webHidden/>
          </w:rPr>
          <w:fldChar w:fldCharType="separate"/>
        </w:r>
        <w:r w:rsidR="004D19E0">
          <w:rPr>
            <w:webHidden/>
          </w:rPr>
          <w:t>51</w:t>
        </w:r>
        <w:r w:rsidR="00E330FE">
          <w:rPr>
            <w:webHidden/>
          </w:rPr>
          <w:fldChar w:fldCharType="end"/>
        </w:r>
      </w:hyperlink>
    </w:p>
    <w:p w:rsidR="00C84F6F" w:rsidRDefault="00CF77F6" w:rsidP="00353838">
      <w:pPr>
        <w:pStyle w:val="Verzeichnis1"/>
      </w:pPr>
      <w:r>
        <w:fldChar w:fldCharType="end"/>
      </w:r>
    </w:p>
    <w:p w:rsidR="00353838" w:rsidRDefault="00353838" w:rsidP="00353838"/>
    <w:p w:rsidR="00353838" w:rsidRPr="00353838" w:rsidRDefault="00353838" w:rsidP="00353838"/>
    <w:p w:rsidR="00353838" w:rsidRDefault="00353838" w:rsidP="00D45EB8">
      <w:pPr>
        <w:spacing w:before="120"/>
        <w:sectPr w:rsidR="00353838"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E330FE" w:rsidP="00E330FE">
      <w:pPr>
        <w:pStyle w:val="LTUeberschrRessort"/>
      </w:pPr>
      <w:r>
        <w:lastRenderedPageBreak/>
        <w:t>Geschäftsbereich des Staatsministeriums des Innern, für Bau und Verkehr</w:t>
      </w:r>
      <w:r>
        <w:fldChar w:fldCharType="begin"/>
      </w:r>
      <w:r>
        <w:instrText xml:space="preserve"> TC </w:instrText>
      </w:r>
      <w:r w:rsidR="00793F8E">
        <w:instrText>„</w:instrText>
      </w:r>
      <w:bookmarkStart w:id="3" w:name="_Toc477421130"/>
      <w:r>
        <w:instrText>Geschäftsbereich des Staatsministeriums des Innern, für Bau und Verkehr</w:instrText>
      </w:r>
      <w:bookmarkEnd w:id="3"/>
      <w:r w:rsidR="00793F8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Kerstin</w:t>
            </w:r>
            <w:r w:rsidRPr="00E330FE">
              <w:rPr>
                <w:b/>
              </w:rPr>
              <w:br/>
              <w:t>Celina</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4" w:name="_Toc477421131"/>
            <w:r>
              <w:instrText>Celina, Kerstin (BÜNDNIS 90/DIE GRÜNEN)</w:instrText>
            </w:r>
            <w:r>
              <w:br/>
              <w:instrText>Sicherheit im Straßenverkehr für hörbehinderte Menschen durch das C-ITS Corridor-Projekt?</w:instrText>
            </w:r>
            <w:bookmarkEnd w:id="4"/>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Nachdem in der Sitzung des Ausschusses für Kommunale Fragen, Innere Sicherheit und Sport am 8. März 2017 vom Vertreter des zuständigen Staat</w:t>
            </w:r>
            <w:r>
              <w:t>s</w:t>
            </w:r>
            <w:r>
              <w:t>ministeriums erläutert wurde, dass mit dem C-ITS Corridor-Projekt, an dem das Bundesministerium für Verkehr und digitale Infrastruktur beteiligt sei, ein einheitlicher Standard entwickelt werden könne, der auch für den Zweck g</w:t>
            </w:r>
            <w:r>
              <w:t>e</w:t>
            </w:r>
            <w:r>
              <w:t>nützt werden könnte, die Sicherheit im Straßenverkehr für Menschen mit Hö</w:t>
            </w:r>
            <w:r>
              <w:t>r</w:t>
            </w:r>
            <w:r>
              <w:t>behinderungen zu verbessern, frage ich die Staatsregierung, welchen Einfluss sie auf die genaue Ausgestaltung des C-ITS Corridor-Projektes hat, um s</w:t>
            </w:r>
            <w:r>
              <w:t>i</w:t>
            </w:r>
            <w:r>
              <w:t xml:space="preserve">cherzustellen, dass die Thematik </w:t>
            </w:r>
            <w:r w:rsidR="00793F8E">
              <w:t>„</w:t>
            </w:r>
            <w:r>
              <w:t>Sicherheit von Menschen mit Hörbehind</w:t>
            </w:r>
            <w:r>
              <w:t>e</w:t>
            </w:r>
            <w:r>
              <w:t>rungen im Straßenverkehr</w:t>
            </w:r>
            <w:r w:rsidR="00793F8E">
              <w:t>“</w:t>
            </w:r>
            <w:r>
              <w:t xml:space="preserve"> tatsächlich in diesem Projekt berücksichtigt wird, bis wann in dem vorgeschlagenen C-ITS Corridor-Projekt umsetzbare Erge</w:t>
            </w:r>
            <w:r>
              <w:t>b</w:t>
            </w:r>
            <w:r>
              <w:t>nisse für die im Ausschuss diskutierte Problematik zu erwarten sind und i</w:t>
            </w:r>
            <w:r>
              <w:t>n</w:t>
            </w:r>
            <w:r>
              <w:t>wieweit dieses Projekt von der Staatsregierung als alternative Lösung für das grundsätzliche Problem, für mehr Sicherheit im Straßenverkehr für hörbehi</w:t>
            </w:r>
            <w:r>
              <w:t>n</w:t>
            </w:r>
            <w:r>
              <w:t>derte Menschen zu sorgen, besser geeignet ist als ein Modellversuch wie im Antrag der Fraktion BÜNDNIS 90/DIE GRÜNEN auf Drs. 17/15381 vorg</w:t>
            </w:r>
            <w:r>
              <w:t>e</w:t>
            </w:r>
            <w:r>
              <w:t>schlagen?</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E330FE" w:rsidP="00E330FE">
      <w:pPr>
        <w:pStyle w:val="LTAntwortRessortText"/>
      </w:pPr>
      <w:r>
        <w:t xml:space="preserve">Die bayerische Straßenbauverwaltung unterstützt die Entwicklungen im </w:t>
      </w:r>
      <w:r w:rsidR="00417122">
        <w:t xml:space="preserve">Projekt </w:t>
      </w:r>
      <w:r w:rsidR="004114A5" w:rsidRPr="004114A5">
        <w:t>C-ITS Co</w:t>
      </w:r>
      <w:r w:rsidR="00417122">
        <w:t>rridor</w:t>
      </w:r>
      <w:r w:rsidR="004114A5" w:rsidRPr="004114A5">
        <w:t xml:space="preserve"> </w:t>
      </w:r>
      <w:r>
        <w:t>zur Fortentwicklung der Kommunikationstechniken zwischen Fahrzeugen untereinander und mit der In</w:t>
      </w:r>
      <w:r>
        <w:t>f</w:t>
      </w:r>
      <w:r>
        <w:t>rastruktur. Dies erfolgte in der Vergangenheit auch durch die Teilnahme an diversen Forschung</w:t>
      </w:r>
      <w:r>
        <w:t>s</w:t>
      </w:r>
      <w:r>
        <w:t>pro</w:t>
      </w:r>
      <w:r w:rsidR="00417122">
        <w:t>jekten und Pilotvorhabe</w:t>
      </w:r>
      <w:r w:rsidR="00494E22">
        <w:t xml:space="preserve"> wie z.</w:t>
      </w:r>
      <w:r>
        <w:t>B. KOLIBRI, DIWA, COOPERS. Auch die Weiterentwicklungen im Bereich des automatisierten und vernetzten Fahrens auf dem Digitalen Testfeld A 9 beinhalten i</w:t>
      </w:r>
      <w:r>
        <w:t>n</w:t>
      </w:r>
      <w:r>
        <w:t>novative Kommunikationstechniken und werden zu mehr Sicherheit im Straßenverkehr beitragen.</w:t>
      </w:r>
    </w:p>
    <w:p w:rsidR="00E330FE" w:rsidRDefault="00E330FE" w:rsidP="00E330FE">
      <w:pPr>
        <w:pStyle w:val="LTAntwortRessortText"/>
      </w:pPr>
      <w:r>
        <w:t xml:space="preserve">Nach </w:t>
      </w:r>
      <w:r w:rsidR="009C6FB8">
        <w:t>der</w:t>
      </w:r>
      <w:r>
        <w:t xml:space="preserve"> Einschätzung</w:t>
      </w:r>
      <w:r w:rsidR="009C6FB8">
        <w:t xml:space="preserve"> des Staatsministeriums des Innern, für Bau und Verkehr (StMI)</w:t>
      </w:r>
      <w:r>
        <w:t>, die sich auch auf die Aussagen der EU-Kommission stützt, kann mit umsetzbaren Ergebnissen aus C-ITS ab 2020 ff. gerechnet werden, also auch mit Ergebnissen, die zur Warnung vor sich nähernden Ei</w:t>
      </w:r>
      <w:r>
        <w:t>n</w:t>
      </w:r>
      <w:r>
        <w:t>satzfahrzeugen geeignet sind.</w:t>
      </w:r>
    </w:p>
    <w:p w:rsidR="00E330FE" w:rsidRDefault="00E330FE" w:rsidP="00E330FE">
      <w:pPr>
        <w:pStyle w:val="LTAntwortRessortText"/>
      </w:pPr>
      <w:r>
        <w:t xml:space="preserve">Bei entsprechend ausgestatteten Blaulichtfahrzeugen könnten solche Warnmeldungen auch für (noch zu </w:t>
      </w:r>
      <w:r w:rsidR="00793F8E">
        <w:t>„</w:t>
      </w:r>
      <w:r>
        <w:t>bauende</w:t>
      </w:r>
      <w:r w:rsidR="00793F8E">
        <w:t>“</w:t>
      </w:r>
      <w:r>
        <w:t>) Handy-Apps genutzt werden, die bei Herannahen eines Fahrzeu</w:t>
      </w:r>
      <w:r w:rsidR="009C6FB8">
        <w:t>ges z.</w:t>
      </w:r>
      <w:r>
        <w:t>B. einen Vibrationsalarm (für Gehörlose) auslösen.</w:t>
      </w:r>
    </w:p>
    <w:p w:rsidR="00E330FE" w:rsidRDefault="00E330FE" w:rsidP="00E330FE">
      <w:pPr>
        <w:pStyle w:val="LTAntwortRessortText"/>
      </w:pPr>
      <w:r>
        <w:t>Die grundsätzliche technische Machbarkeit zur Beeinflussung von Lichtsignalanlagen mit Fun</w:t>
      </w:r>
      <w:r>
        <w:t>k</w:t>
      </w:r>
      <w:r>
        <w:t xml:space="preserve">techniken bei Fahrzeugen mit Blaulicht wurde bereits erprobt, weshalb ein Modellversuch aus </w:t>
      </w:r>
      <w:r w:rsidR="009C6FB8">
        <w:t>der Sicht des StMI</w:t>
      </w:r>
      <w:r>
        <w:t xml:space="preserve"> keine neuen Erke</w:t>
      </w:r>
      <w:r w:rsidR="009C6FB8">
        <w:t>nntnisse bringen würde (siehe z</w:t>
      </w:r>
      <w:r>
        <w:t xml:space="preserve"> B. Projekt Feuerwehr Ulm). Gün</w:t>
      </w:r>
      <w:r>
        <w:t>s</w:t>
      </w:r>
      <w:r>
        <w:t xml:space="preserve">tiger und sicherer als ein zusätzlicher Signalgeber für Gehörlose ist </w:t>
      </w:r>
      <w:r w:rsidR="00417122">
        <w:t>nach Auffassung des StMI</w:t>
      </w:r>
      <w:r>
        <w:t>, wenn ein Blaulichtfahrzeug beim Herannahen an eine Lichtsignalanlage durch entsprechende Au</w:t>
      </w:r>
      <w:r>
        <w:t>s</w:t>
      </w:r>
      <w:r>
        <w:t xml:space="preserve">stattung mit dieser kommunizieren und sie so auf GRÜN für das Blaulichtfahrzeug bzw. auf ROT für die Fußgänger schalten kann. Ein Modellversuch, wie beispielsweise in Würzburg vorgeschlagen, </w:t>
      </w:r>
      <w:r>
        <w:lastRenderedPageBreak/>
        <w:t>würde unter Beachtung der genannten Entwicklungen allenfalls zu einer technischen Insellösung führen.</w:t>
      </w:r>
    </w:p>
    <w:p w:rsidR="00E330FE" w:rsidRDefault="00E330FE" w:rsidP="00E330FE">
      <w:pPr>
        <w:pStyle w:val="LTAntwortRessortText"/>
      </w:pPr>
      <w:r>
        <w:t>Ziel sollte daher sein, die Entwicklungen von C-ITS deutschlandweit und europaweit mit einheitl</w:t>
      </w:r>
      <w:r>
        <w:t>i</w:t>
      </w:r>
      <w:r>
        <w:t xml:space="preserve">chen Standards zu unterstützen. Nach </w:t>
      </w:r>
      <w:r w:rsidR="00417122">
        <w:t>dem</w:t>
      </w:r>
      <w:r>
        <w:t xml:space="preserve"> Kenntnisstand </w:t>
      </w:r>
      <w:r w:rsidR="00417122">
        <w:t xml:space="preserve">des StMI </w:t>
      </w:r>
      <w:r>
        <w:t>vertritt diese Auffassung auch die Bundesanstalt für Straßenwesen.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Dr. Hans Jü</w:t>
            </w:r>
            <w:r w:rsidRPr="00E330FE">
              <w:rPr>
                <w:b/>
              </w:rPr>
              <w:t>r</w:t>
            </w:r>
            <w:r w:rsidRPr="00E330FE">
              <w:rPr>
                <w:b/>
              </w:rPr>
              <w:t>gen</w:t>
            </w:r>
            <w:r w:rsidRPr="00E330FE">
              <w:rPr>
                <w:b/>
              </w:rPr>
              <w:br/>
              <w:t>Fahn</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5" w:name="_Toc477421132"/>
            <w:r>
              <w:instrText>Dr. Fahn, Hans Jürgen (FREIE WÄHLER)</w:instrText>
            </w:r>
            <w:r>
              <w:br/>
              <w:instrText>Streckenbezogene Geschwindigkeitsbeschränkungen</w:instrText>
            </w:r>
            <w:bookmarkEnd w:id="5"/>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viele Anträge auf Einrichtung einer str</w:t>
            </w:r>
            <w:r>
              <w:t>e</w:t>
            </w:r>
            <w:r>
              <w:t>ckenbezogenen Geschwindigkeitsbeschränkung im Sinne des § 45 Abs. 9 Nr.</w:t>
            </w:r>
            <w:r w:rsidR="009C6FB8">
              <w:t> </w:t>
            </w:r>
            <w:r>
              <w:t>6 der Straßenverkehrs</w:t>
            </w:r>
            <w:r w:rsidR="009C6FB8">
              <w:t>-O</w:t>
            </w:r>
            <w:r>
              <w:t xml:space="preserve">rdnung (StVO) wurden in den Jahren 2016 und 2017 in Unterfranken gestellt und wie viele davon wurden positiv beschieden (bitte </w:t>
            </w:r>
            <w:r w:rsidR="00793F8E">
              <w:t xml:space="preserve"> </w:t>
            </w:r>
            <w:r>
              <w:t>Name der Gemeinde bzw. Stadt, Straßennummer, Art der zugrunde liegenden Einrichtung, z.B. Kindergarten oder Altenheim, Länge der eingeric</w:t>
            </w:r>
            <w:r>
              <w:t>h</w:t>
            </w:r>
            <w:r>
              <w:t>teten Beschränkung bzw. Grund der Ablehnung nennen)?</w:t>
            </w:r>
          </w:p>
          <w:p w:rsidR="00E330FE" w:rsidRDefault="00E330FE" w:rsidP="00E330FE">
            <w:pPr>
              <w:pStyle w:val="LTAnfrageText"/>
            </w:pPr>
          </w:p>
        </w:tc>
      </w:tr>
    </w:tbl>
    <w:p w:rsidR="00E330FE" w:rsidRDefault="00E330FE" w:rsidP="00B65B07">
      <w:pPr>
        <w:pStyle w:val="LTUeberschrAntwortRessort"/>
        <w:spacing w:before="720"/>
      </w:pPr>
      <w:r>
        <w:t>Antwort des Staatsministeriums des Innern, für Bau und Verkehr</w:t>
      </w:r>
    </w:p>
    <w:p w:rsidR="00E330FE" w:rsidRDefault="00E330FE" w:rsidP="00B65B07">
      <w:pPr>
        <w:pStyle w:val="LTAntwortRessortText"/>
        <w:spacing w:before="360"/>
      </w:pPr>
      <w:r>
        <w:t>Bis zur Änderung der Straßenv</w:t>
      </w:r>
      <w:r w:rsidR="009C6FB8">
        <w:t xml:space="preserve">erkehrs-Ordnung (StVO) am 23. Dezember </w:t>
      </w:r>
      <w:r>
        <w:t>2016 konnten Verbote, die sich an den fließenden Verkehr richten, n</w:t>
      </w:r>
      <w:r w:rsidR="009C6FB8">
        <w:t>ur angeordnet werden, wenn aufg</w:t>
      </w:r>
      <w:r>
        <w:t>rund der besonderen örtlichen Verhältnisse eine Gefahrenlage bestand, die das allgemeine Risiko einer Beeinträchtigung der Sicherheit und Leichtigkeit des Verkehrs erheblich überstieg, wobei für die Beurteilung meist die Unfallsituation herangezogen wurden.</w:t>
      </w:r>
    </w:p>
    <w:p w:rsidR="00E330FE" w:rsidRDefault="00E330FE" w:rsidP="00B65B07">
      <w:pPr>
        <w:pStyle w:val="LTAntwortRessortText"/>
        <w:spacing w:before="360"/>
      </w:pPr>
      <w:r>
        <w:t>Die Ergänzungen lockern diese restriktive Umsetzung dahingehend, dass hiervon abweichend i</w:t>
      </w:r>
      <w:r>
        <w:t>n</w:t>
      </w:r>
      <w:r w:rsidR="00417122">
        <w:t>nerörtliche</w:t>
      </w:r>
      <w:r>
        <w:t xml:space="preserve"> streckenbezogene Geschwindigkeitsbeschränkungen von 30 km/h (Zeichen 274) auch auf Straßen des überörtlichen Verkehrs (Bundes-, Landes- und Kreisstraßen) oder auf weiteren Vorfahrtstraßen (Zeichen 306) im unmittelbaren Bereich von an diesen Straßen gelegenen Kinde</w:t>
      </w:r>
      <w:r>
        <w:t>r</w:t>
      </w:r>
      <w:r>
        <w:t>gärten, Kindertagesstätten, allgemeinbildenden Schulen, Förderschulen, Alten- und Pflegeheimen oder Krankenhäusern angeordnet werden können.</w:t>
      </w:r>
    </w:p>
    <w:p w:rsidR="00E330FE" w:rsidRDefault="00E330FE" w:rsidP="00B65B07">
      <w:pPr>
        <w:pStyle w:val="LTAntwortRessortText"/>
        <w:spacing w:before="360"/>
      </w:pPr>
      <w:r>
        <w:t>Aufgrund der fehlenden Ausführungsbestimmungen werden die neuen Regelungen in den Komm</w:t>
      </w:r>
      <w:r>
        <w:t>u</w:t>
      </w:r>
      <w:r>
        <w:t>nen zwar schon intensiv diskutiert, die meisten warten aber noch vor der praktischen Umsetzung die Veröffentlichung der Verwaltungsvorschriften ab. In der Verwaltungsvorschrift wird unter and</w:t>
      </w:r>
      <w:r>
        <w:t>e</w:t>
      </w:r>
      <w:r>
        <w:t>rem auch der unmittelbare Bereich geregelt, der sich auf 300 m ausdehnen soll. Es ist aber zu e</w:t>
      </w:r>
      <w:r>
        <w:t>r</w:t>
      </w:r>
      <w:r>
        <w:t xml:space="preserve">warten, dass nach diesem Termin vor den oben genannten </w:t>
      </w:r>
      <w:r w:rsidR="00793F8E">
        <w:t>„</w:t>
      </w:r>
      <w:r>
        <w:t>sensiblen</w:t>
      </w:r>
      <w:r w:rsidR="00793F8E">
        <w:t>“</w:t>
      </w:r>
      <w:r>
        <w:t xml:space="preserve"> Bereichen eine Geschwi</w:t>
      </w:r>
      <w:r>
        <w:t>n</w:t>
      </w:r>
      <w:r>
        <w:t>digkeitsbeschränkung von 30 km/h die Regelanordnung werden wird.</w:t>
      </w:r>
    </w:p>
    <w:p w:rsidR="00E330FE" w:rsidRDefault="00E330FE" w:rsidP="00B65B07">
      <w:pPr>
        <w:pStyle w:val="LTAntwortRessortText"/>
        <w:spacing w:before="360"/>
      </w:pPr>
      <w:r>
        <w:t xml:space="preserve">Im Regierungsbezirk Unterfranken gibt es 295 Gemeinden, </w:t>
      </w:r>
      <w:r w:rsidR="009C6FB8">
        <w:t>neun</w:t>
      </w:r>
      <w:r>
        <w:t xml:space="preserve"> Landratsämter, </w:t>
      </w:r>
      <w:r w:rsidR="009C6FB8">
        <w:t>zwei Gr</w:t>
      </w:r>
      <w:r>
        <w:t>oße Krei</w:t>
      </w:r>
      <w:r>
        <w:t>s</w:t>
      </w:r>
      <w:r>
        <w:t xml:space="preserve">städte und </w:t>
      </w:r>
      <w:r w:rsidR="009C6FB8">
        <w:t>drei</w:t>
      </w:r>
      <w:r>
        <w:t xml:space="preserve"> kreisfreie Städte, die alle in ihrem Zuständigkeitsbereich entweder als örtliche oder als untere Straßenverkehrsbehörde eigenständig straßenverkehrsrechtliche Anordnungen erlassen können. Anträge auf Anordnungen von Geschwindigkeitsbeschränkungen werden seitens der R</w:t>
      </w:r>
      <w:r>
        <w:t>e</w:t>
      </w:r>
      <w:r>
        <w:t>gierung von Unterfranken statistisch nicht erfasst. Ebenso gehen keine diesbezüglichen Meldungen der nachgeordneten Behörden ein. Somit liegen keine Zahlen über gestellte Anträge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lastRenderedPageBreak/>
              <w:t>Abgeordneter</w:t>
            </w:r>
            <w:r w:rsidRPr="00E330FE">
              <w:br/>
            </w:r>
            <w:r w:rsidRPr="00E330FE">
              <w:rPr>
                <w:b/>
              </w:rPr>
              <w:t>Andreas</w:t>
            </w:r>
            <w:r w:rsidRPr="00E330FE">
              <w:rPr>
                <w:b/>
              </w:rPr>
              <w:br/>
              <w:t>Lotte</w:t>
            </w:r>
            <w:r w:rsidRPr="00E330FE">
              <w:rPr>
                <w:b/>
              </w:rPr>
              <w:br/>
            </w:r>
            <w:r w:rsidRPr="00E330FE">
              <w:t>(SPD)</w:t>
            </w:r>
            <w:r>
              <w:fldChar w:fldCharType="begin"/>
            </w:r>
            <w:r>
              <w:instrText xml:space="preserve"> TC </w:instrText>
            </w:r>
            <w:r w:rsidR="00793F8E">
              <w:instrText>„</w:instrText>
            </w:r>
            <w:bookmarkStart w:id="6" w:name="_Toc477421133"/>
            <w:r>
              <w:instrText>Lotte, Andreas (SPD)</w:instrText>
            </w:r>
            <w:r>
              <w:br/>
              <w:instrText>Wohnungsgenehmigungen 2016</w:instrText>
            </w:r>
            <w:bookmarkEnd w:id="6"/>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für wie viele Wohnungen in Bayern wurden 2016 Baugenehmigungen erteilt und für wie viele Wohnungen wurden Genehm</w:t>
            </w:r>
            <w:r>
              <w:t>i</w:t>
            </w:r>
            <w:r>
              <w:t>gungsfreistellungsverfahren abgeschlossen (aufgeschlüsselt nach Baugene</w:t>
            </w:r>
            <w:r>
              <w:t>h</w:t>
            </w:r>
            <w:r>
              <w:t>migungen und Genehmigungsfreistellungsverfahren)?</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E330FE" w:rsidP="00E330FE">
      <w:pPr>
        <w:pStyle w:val="LTAntwortRessortText"/>
      </w:pPr>
      <w:r>
        <w:t xml:space="preserve">Nach vorläufiger Auskunft des Bayerischen Landesamtes für Statistik sind in den Monaten Januar bis Dezember 2016 </w:t>
      </w:r>
      <w:r w:rsidR="006860A0">
        <w:t xml:space="preserve"> </w:t>
      </w:r>
      <w:r>
        <w:t>61.985 Wohnungsbaugenehmigungen erteilt und 12.557 Wohnungen im G</w:t>
      </w:r>
      <w:r>
        <w:t>e</w:t>
      </w:r>
      <w:r>
        <w:t>nehmigungsfreistellungverfahren zum Bau freigegeben worden. Es ergibt sich damit eine Gesam</w:t>
      </w:r>
      <w:r>
        <w:t>t</w:t>
      </w:r>
      <w:r>
        <w:t>zahl von 74.542 erteilten Baugenehmigungen einschließlich Vorhaben im Genehmigungsfreiste</w:t>
      </w:r>
      <w:r>
        <w:t>l</w:t>
      </w:r>
      <w:r>
        <w:t>lungsverfahren.</w:t>
      </w:r>
    </w:p>
    <w:p w:rsidR="00E330FE" w:rsidRDefault="00E330FE" w:rsidP="00E330FE">
      <w:pPr>
        <w:pStyle w:val="LTAntwortRessortText"/>
      </w:pPr>
      <w:r>
        <w:t>Bei diesen Zahlen handelt es sich jedoch um vorläufige Zahlen, die die erteilten Tekturgenehm</w:t>
      </w:r>
      <w:r>
        <w:t>i</w:t>
      </w:r>
      <w:r>
        <w:t>gungen nicht berücksichtigen, sodass sich nach Abschluss der Erhebungen deutliche Abweichu</w:t>
      </w:r>
      <w:r>
        <w:t>n</w:t>
      </w:r>
      <w:r>
        <w:t>gen zu diesen vorläufigen Monatszahlen ergeben werden.</w:t>
      </w:r>
    </w:p>
    <w:p w:rsidR="00E330FE" w:rsidRDefault="00E330FE" w:rsidP="00E330FE">
      <w:pPr>
        <w:pStyle w:val="LTAntwortRessortText"/>
      </w:pPr>
      <w:r>
        <w:t>Die endgültigen Daten zu den im Jahr 2016 erteilten Wohnungsbaugenehmigungen und im G</w:t>
      </w:r>
      <w:r>
        <w:t>e</w:t>
      </w:r>
      <w:r>
        <w:t>nehmigungsfreistellungsverfahren freigegebenen Woh</w:t>
      </w:r>
      <w:r w:rsidR="006860A0">
        <w:t>nungsbauvorhaben werden voraus</w:t>
      </w:r>
      <w:r>
        <w:t>sichtlich Ende März 2017 vorliegen.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Peter</w:t>
            </w:r>
            <w:r w:rsidRPr="00E330FE">
              <w:rPr>
                <w:b/>
              </w:rPr>
              <w:br/>
              <w:t>Meyer</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7" w:name="_Toc477421134"/>
            <w:r>
              <w:instrText>Meyer, Peter (FREIE WÄHLER)</w:instrText>
            </w:r>
            <w:r>
              <w:br/>
              <w:instrText>Ortsdurchfahrt Bindlach der Staatsstraße 2460 (ehemalige Bundesstraße 2)</w:instrText>
            </w:r>
            <w:bookmarkEnd w:id="7"/>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bis wann werden die aktuellen Zahlen der bu</w:t>
            </w:r>
            <w:r>
              <w:t>n</w:t>
            </w:r>
            <w:r>
              <w:t>desweiten Straßenverkehrszählung 2015 vorliegen und in welchem folgenden Zeitraum wird mit aussagekräftigen Folgerungen für eine Prüfung einer eve</w:t>
            </w:r>
            <w:r>
              <w:t>n</w:t>
            </w:r>
            <w:r>
              <w:t>tuellen Tonnagebegrenzung in der Ortsdurchfahrt Bindlach der Staatsstr</w:t>
            </w:r>
            <w:r>
              <w:t>a</w:t>
            </w:r>
            <w:r>
              <w:t>ße</w:t>
            </w:r>
            <w:r w:rsidR="006860A0">
              <w:t> </w:t>
            </w:r>
            <w:r>
              <w:t>2460 (ehemals Bundesstraße 2) zu rechnen sein?</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E330FE" w:rsidP="00E330FE">
      <w:pPr>
        <w:pStyle w:val="LTAntwortRessortText"/>
      </w:pPr>
      <w:r>
        <w:t>Zur Beobachtung der Verkehrsentwicklung und zur Ermittlung der Verkehrsstärken auf dem qualif</w:t>
      </w:r>
      <w:r>
        <w:t>i</w:t>
      </w:r>
      <w:r>
        <w:t>zierten Straßennetz finden regelmäßig bundesweite Straßenverkehrszählunge</w:t>
      </w:r>
      <w:r w:rsidR="006860A0">
        <w:t>n, üblicherweise im Fünfjahrest</w:t>
      </w:r>
      <w:r>
        <w:t>urnus, statt. Die Zählungen erstrecken sich neben den Bundesfernstraßen (Autobahnen und Bundesstraßen) in Bayern auch auf die Staatsstraßen sowie den Großteil der Kreisstraßen. Die Straßenverkehrszählung (SVZ) ist eine elementare Grundlage für verkehrsplanerische, verkehr</w:t>
      </w:r>
      <w:r>
        <w:t>s</w:t>
      </w:r>
      <w:r>
        <w:t>technische und bautechnische Entscheidungen und Maßnahmen.</w:t>
      </w:r>
    </w:p>
    <w:p w:rsidR="00E330FE" w:rsidRDefault="00E330FE" w:rsidP="00B65B07">
      <w:pPr>
        <w:pStyle w:val="LTAntwortRessortText"/>
        <w:spacing w:before="360"/>
      </w:pPr>
      <w:r>
        <w:t>Für die Bereitstellung der Hochrechnungsergebnisse ist die Bundesanstalt für Straßenwesen (BASt) zuständig. Die BASt ist eine nachgeordnete Behörde des Bundesministeriums für Verkehr und digitale Infrastruktur (BMVI). Der ursprüngliche Zeitplan sah nach den Richtlinien für die SVZ 2015 vor, dass die Hochrechnungsergebnisse bis August 2016 vorliegen sollten.</w:t>
      </w:r>
    </w:p>
    <w:p w:rsidR="00E330FE" w:rsidRDefault="006860A0" w:rsidP="00B65B07">
      <w:pPr>
        <w:pStyle w:val="LTAntwortRessortText"/>
        <w:spacing w:before="360"/>
      </w:pPr>
      <w:r>
        <w:lastRenderedPageBreak/>
        <w:t xml:space="preserve">Mit Schreiben vom 30. November </w:t>
      </w:r>
      <w:r w:rsidR="00E330FE">
        <w:t xml:space="preserve">2016 hat sich die Oberste Baubehörde im Staatsministerium des Innern, für Bau und Verkehr an das BMVI mit der Bitte um eine aktuelle Sachstandsinformation und einen aktuellen, belastbaren Zeitplan gewandt. Im Antwortschreiben vom </w:t>
      </w:r>
      <w:r>
        <w:t xml:space="preserve">8. Dezember </w:t>
      </w:r>
      <w:r w:rsidR="00E330FE">
        <w:t>2016 hat das BMVI mitgeteilt, dass die Hochrechnungsergebnisse voraussichtlich Ende 2016 vorliegen we</w:t>
      </w:r>
      <w:r w:rsidR="00E330FE">
        <w:t>r</w:t>
      </w:r>
      <w:r w:rsidR="00E330FE">
        <w:t>den und die Ergebnisse nach Plausib</w:t>
      </w:r>
      <w:r>
        <w:t>ilisierung durch die Länder vo</w:t>
      </w:r>
      <w:r w:rsidR="00E330FE">
        <w:t>raussichtlich Anfang 2017 auf der Homepage der BASt (</w:t>
      </w:r>
      <w:hyperlink r:id="rId16" w:history="1">
        <w:r w:rsidRPr="0059074F">
          <w:rPr>
            <w:rStyle w:val="Hyperlink"/>
          </w:rPr>
          <w:t>www.bast.de</w:t>
        </w:r>
      </w:hyperlink>
      <w:r w:rsidR="00E330FE">
        <w:t>) veröffentlicht werden.</w:t>
      </w:r>
    </w:p>
    <w:p w:rsidR="00E330FE" w:rsidRDefault="006860A0" w:rsidP="00B65B07">
      <w:pPr>
        <w:pStyle w:val="LTAntwortRessortText"/>
        <w:spacing w:before="360"/>
      </w:pPr>
      <w:r>
        <w:t xml:space="preserve">Die BASt hat am 30. Januar </w:t>
      </w:r>
      <w:r w:rsidR="00E330FE">
        <w:t>2017 die Ergebnisse der SVZ 2015 für den Bereich der Autobahnen im Internet veröffentlicht. Die Veröffentlichung der Daten für die weiteren Straßen wurde erneut ve</w:t>
      </w:r>
      <w:r w:rsidR="00E330FE">
        <w:t>r</w:t>
      </w:r>
      <w:r w:rsidR="00E330FE">
        <w:t>schoben. Ein Termin der Veröffentlichung ist nach hiesigen Kenntnissen aktuell nicht absehbar.</w:t>
      </w:r>
    </w:p>
    <w:p w:rsidR="00B65B07" w:rsidRDefault="00417122" w:rsidP="00B65B07">
      <w:pPr>
        <w:pStyle w:val="LTAntwortRessortText"/>
        <w:spacing w:before="360"/>
      </w:pPr>
      <w:r w:rsidRPr="00417122">
        <w:t>Das Landratsamt Bayreuth wird die Daten nach ihrem Vorli</w:t>
      </w:r>
      <w:r>
        <w:t>egen im Benehmen mit dem Staat</w:t>
      </w:r>
      <w:r w:rsidRPr="00417122">
        <w:t>lichen Bauamt und der Polizei prüfen. Ob und gegebenenfalls welche Folgerungen in einer Gesamtschau der besonderen örtlichen Verhältnisse notwendig sein könnten, bleibt offen. Die Prüfung wird zei</w:t>
      </w:r>
      <w:r w:rsidRPr="00417122">
        <w:t>t</w:t>
      </w:r>
      <w:r w:rsidRPr="00417122">
        <w:t>nah erfolgen.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Jürgen</w:t>
            </w:r>
            <w:r w:rsidRPr="00E330FE">
              <w:rPr>
                <w:b/>
              </w:rPr>
              <w:br/>
              <w:t>Mistol</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8" w:name="_Toc477421135"/>
            <w:r>
              <w:instrText>Mistol, Jürgen (BÜNDNIS 90/DIE GRÜNEN)</w:instrText>
            </w:r>
            <w:r>
              <w:br/>
              <w:instrText>Kreditvergabe bei der Sparkasse Regensburg</w:instrText>
            </w:r>
            <w:bookmarkEnd w:id="8"/>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welche Erkenntnisse haben aktuell die Regi</w:t>
            </w:r>
            <w:r>
              <w:t>e</w:t>
            </w:r>
            <w:r>
              <w:t>rung der Oberpfalz als Sparkassenaufsicht sowie die Prüfungsstelle des Bay</w:t>
            </w:r>
            <w:r>
              <w:t>e</w:t>
            </w:r>
            <w:r>
              <w:t>rischen Sparkassenverbandes über die von der Sparkasse Regensburg durchgeführte Vergabe eines Kontokorrentkredits zu einem Zinssatz von 0,6</w:t>
            </w:r>
            <w:r w:rsidR="00AE108F">
              <w:t> </w:t>
            </w:r>
            <w:r>
              <w:t>Prozent an den Regensburger Bauunternehmer Volker Tretzel, der zu diesem Zeitpunkt Mitglied des Verwaltungsrats der Sparkasse war, wie beu</w:t>
            </w:r>
            <w:r>
              <w:t>r</w:t>
            </w:r>
            <w:r>
              <w:t>teilen die genannten Institutionen diese Kreditvergabe hinsichtlich ihrer Rechtmäßigkeit, und welche weiteren bayerischen Sparkassen haben einen sogenannten Kreditausschuss eingerichtet, der anstelle des Verwaltungsrates Entscheidungen über die Vergabe hoher Kredite trifft?</w:t>
            </w:r>
          </w:p>
          <w:p w:rsidR="00E330FE" w:rsidRDefault="00E330FE" w:rsidP="00E330FE">
            <w:pPr>
              <w:pStyle w:val="LTAnfrageText"/>
            </w:pPr>
          </w:p>
        </w:tc>
      </w:tr>
    </w:tbl>
    <w:p w:rsidR="00E330FE" w:rsidRDefault="00E330FE" w:rsidP="00B65B07">
      <w:pPr>
        <w:pStyle w:val="LTUeberschrAntwortRessort"/>
        <w:spacing w:before="840"/>
      </w:pPr>
      <w:r>
        <w:t>Antwort des Staatsministeriums des Innern, für Bau und Verkehr</w:t>
      </w:r>
    </w:p>
    <w:p w:rsidR="00E330FE" w:rsidRDefault="00E330FE" w:rsidP="00E330FE">
      <w:pPr>
        <w:pStyle w:val="LTAntwortRessortText"/>
      </w:pPr>
      <w:r>
        <w:t>Derzeit laufen noch staatsanwaltschaftliche Ermittlungen. Erst wenn deren Ergebnisse vorliegen, kann auf dieser Grundlage die Rechtmäßigkeit der Kreditvergabe beurteilt werden. Nach den E</w:t>
      </w:r>
      <w:r>
        <w:t>r</w:t>
      </w:r>
      <w:r>
        <w:t>kenntnissen des Staatsministeriums des Innern, für Bau und Verkehr gibt es beschließende Kredi</w:t>
      </w:r>
      <w:r>
        <w:t>t</w:t>
      </w:r>
      <w:r>
        <w:t>ausschüsse bei den Sparkassen Cham, Mittelf</w:t>
      </w:r>
      <w:r w:rsidR="00417122">
        <w:t>ranken-Süd, Neumarkt i. d. Opf.-</w:t>
      </w:r>
      <w:r>
        <w:t>Parsberg, Nürnberg und Regensburg.</w:t>
      </w:r>
    </w:p>
    <w:p w:rsidR="00B65B07" w:rsidRDefault="00B65B07">
      <w:r>
        <w:br w:type="page"/>
      </w:r>
    </w:p>
    <w:p w:rsidR="00B65B07" w:rsidRDefault="00B65B07" w:rsidP="00B65B07">
      <w:pPr>
        <w:pStyle w:val="LTAntwortRessortText"/>
        <w:spacing w:before="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B65B07" w:rsidP="00E330FE">
            <w:pPr>
              <w:pStyle w:val="LTNumAnfrageIni1"/>
            </w:pPr>
            <w:r>
              <w:br w:type="column"/>
            </w:r>
            <w:r w:rsidR="00E330FE" w:rsidRPr="00E330FE">
              <w:t>Abgeordneter</w:t>
            </w:r>
            <w:r w:rsidR="00E330FE" w:rsidRPr="00E330FE">
              <w:br/>
            </w:r>
            <w:r w:rsidR="00E330FE" w:rsidRPr="00E330FE">
              <w:rPr>
                <w:b/>
              </w:rPr>
              <w:t>Alexander</w:t>
            </w:r>
            <w:r w:rsidR="00E330FE" w:rsidRPr="00E330FE">
              <w:rPr>
                <w:b/>
              </w:rPr>
              <w:br/>
              <w:t>Muthmann</w:t>
            </w:r>
            <w:r w:rsidR="00E330FE" w:rsidRPr="00E330FE">
              <w:rPr>
                <w:b/>
              </w:rPr>
              <w:br/>
            </w:r>
            <w:r w:rsidR="00E330FE" w:rsidRPr="00E330FE">
              <w:t>(FREIE WÄ</w:t>
            </w:r>
            <w:r w:rsidR="00E330FE" w:rsidRPr="00E330FE">
              <w:t>H</w:t>
            </w:r>
            <w:r w:rsidR="00E330FE" w:rsidRPr="00E330FE">
              <w:t>LER)</w:t>
            </w:r>
            <w:r w:rsidR="00E330FE">
              <w:fldChar w:fldCharType="begin"/>
            </w:r>
            <w:r w:rsidR="00E330FE">
              <w:instrText xml:space="preserve"> TC </w:instrText>
            </w:r>
            <w:r w:rsidR="00793F8E">
              <w:instrText>„</w:instrText>
            </w:r>
            <w:bookmarkStart w:id="9" w:name="_Toc477421136"/>
            <w:r w:rsidR="00E330FE">
              <w:instrText>Muthmann, Alexander (FREIE WÄHLER)</w:instrText>
            </w:r>
            <w:r w:rsidR="00E330FE">
              <w:br/>
              <w:instrText>Kosten für den Bau von Unterkunftsgebäuden bei der Bayerischen Polizei</w:instrText>
            </w:r>
            <w:bookmarkEnd w:id="9"/>
            <w:r w:rsidR="00E330FE">
              <w:instrText xml:space="preserve"> </w:instrText>
            </w:r>
            <w:r w:rsidR="00793F8E">
              <w:instrText>„</w:instrText>
            </w:r>
            <w:r w:rsidR="00E330FE">
              <w:instrText xml:space="preserve"> \l 2 </w:instrText>
            </w:r>
            <w:r w:rsidR="00E330FE">
              <w:fldChar w:fldCharType="end"/>
            </w:r>
          </w:p>
        </w:tc>
        <w:tc>
          <w:tcPr>
            <w:tcW w:w="7200" w:type="dxa"/>
            <w:shd w:val="clear" w:color="auto" w:fill="auto"/>
          </w:tcPr>
          <w:p w:rsidR="00E330FE" w:rsidRDefault="00E330FE" w:rsidP="00E330FE">
            <w:pPr>
              <w:pStyle w:val="LTAnfrageText"/>
            </w:pPr>
            <w:r>
              <w:t>Nachdem das Staatsministerium des Innern, für Bau und Verkehr bei der B</w:t>
            </w:r>
            <w:r>
              <w:t>e</w:t>
            </w:r>
            <w:r>
              <w:t xml:space="preserve">antwortung der Schriftlichen Anfrage vom 19. Dezember 2016 betreffend der </w:t>
            </w:r>
            <w:r w:rsidR="00793F8E">
              <w:t>„</w:t>
            </w:r>
            <w:r>
              <w:t>Errichtung eines Ausbildungsstandortes der Bayerischen Bereitschaftspolizei in Freyung</w:t>
            </w:r>
            <w:r w:rsidR="00793F8E">
              <w:t>“</w:t>
            </w:r>
            <w:r>
              <w:t xml:space="preserve"> </w:t>
            </w:r>
            <w:r w:rsidR="00417122">
              <w:t xml:space="preserve">(Drs. 17/15501) </w:t>
            </w:r>
            <w:r>
              <w:t xml:space="preserve">mitgeteilt hat, dass in Nürnberg und Königsbrunn Unterkunftsgebäude für jeweils rund 12 bzw. 11,5 Mio. Euro errichtet werden, frage ich die Staatsregierung, wie viele Polizeidienstanwärterinnen und </w:t>
            </w:r>
            <w:r w:rsidR="00805CBD">
              <w:br/>
            </w:r>
            <w:r>
              <w:t>-anwärter in den jeweiligen Gebäuden untergebracht werden können, wieviel Quadratmeter Nutzfläche das Gebäude hat und wie groß der Bruttorauminhalt bezogen auf die Baukosten ist?</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E330FE" w:rsidP="00E330FE">
      <w:pPr>
        <w:pStyle w:val="LTAntwortRessortText"/>
      </w:pPr>
      <w:r>
        <w:t>Die beiden Unterkunftsgebäude in Nürnberg und das Gebäude in Königsbrunn sind auf die Unte</w:t>
      </w:r>
      <w:r>
        <w:t>r</w:t>
      </w:r>
      <w:r>
        <w:t>bringung von jeweils ca. 160 Polizeianwärtern ausgelegt.</w:t>
      </w:r>
    </w:p>
    <w:p w:rsidR="00E330FE" w:rsidRDefault="00E330FE" w:rsidP="00E330FE">
      <w:pPr>
        <w:pStyle w:val="LTAntwortRessortText"/>
      </w:pPr>
      <w:r>
        <w:t>In Nürnberg werden dafür je Gebäude 2.760 m² Nutzfläche (Nutzfläche 1-6 nach DIN 277) mit 17.950 m³ Bruttorauminhalt (BRI) geschaffen, in Königsbrunn 2.614 m² Nutzfläche (NF 1-6) mit 17.057 m³ BRI.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Kathi</w:t>
            </w:r>
            <w:r w:rsidRPr="00E330FE">
              <w:rPr>
                <w:b/>
              </w:rPr>
              <w:br/>
              <w:t>Petersen</w:t>
            </w:r>
            <w:r w:rsidRPr="00E330FE">
              <w:rPr>
                <w:b/>
              </w:rPr>
              <w:br/>
            </w:r>
            <w:r w:rsidRPr="00E330FE">
              <w:t>(SPD)</w:t>
            </w:r>
            <w:r>
              <w:fldChar w:fldCharType="begin"/>
            </w:r>
            <w:r>
              <w:instrText xml:space="preserve"> TC </w:instrText>
            </w:r>
            <w:r w:rsidR="00793F8E">
              <w:instrText>„</w:instrText>
            </w:r>
            <w:bookmarkStart w:id="10" w:name="_Toc477421137"/>
            <w:r>
              <w:instrText>Petersen, Kathi (SPD)</w:instrText>
            </w:r>
            <w:r>
              <w:br/>
              <w:instrText>Abschiebungen nach Afghanistan</w:instrText>
            </w:r>
            <w:bookmarkEnd w:id="10"/>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was weiß sie über den Verbleib der aus Bayern nach Afghanistan abgeschobenen Asylsuchenden, welche Kenntnisse hat die Staatsregierung über die aktuelle Situation von Atiqullah Akbari und wie b</w:t>
            </w:r>
            <w:r>
              <w:t>e</w:t>
            </w:r>
            <w:r>
              <w:t>wertet sie die Abschiebungen nach Afghanistan vor dem Hintergrund, dass Atiqullah Akbari zwei Wochen nach seiner Abschiebung aus Bayern, Opfer eines Selbstmordattentats in Kabul geworden ist?</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E330FE" w:rsidP="00E330FE">
      <w:pPr>
        <w:pStyle w:val="LTAntwortRessortText"/>
      </w:pPr>
      <w:r>
        <w:t>Soweit die Anfrage</w:t>
      </w:r>
      <w:r w:rsidR="00B5384F">
        <w:t xml:space="preserve"> zum Plenum</w:t>
      </w:r>
      <w:r>
        <w:t xml:space="preserve"> von </w:t>
      </w:r>
      <w:r w:rsidR="00793F8E">
        <w:t>„</w:t>
      </w:r>
      <w:r>
        <w:t>abgeschobenen Asylsuchenden</w:t>
      </w:r>
      <w:r w:rsidR="00793F8E">
        <w:t>“</w:t>
      </w:r>
      <w:r>
        <w:t xml:space="preserve"> spricht, wird zunächst kla</w:t>
      </w:r>
      <w:r>
        <w:t>r</w:t>
      </w:r>
      <w:r>
        <w:t>gestellt, dass Personen, deren Asylverfahren noch nicht bestands- bzw. rechtskräftig abgeschlo</w:t>
      </w:r>
      <w:r>
        <w:t>s</w:t>
      </w:r>
      <w:r>
        <w:t>sen ist, nicht vollziehbar ausreisepflichtig sind und daher auch nicht abgeschoben werden. Bei den nach Afghanistan abgeschobenen Personen handelt e</w:t>
      </w:r>
      <w:r w:rsidR="00B5384F">
        <w:t xml:space="preserve">s sich um solche, die bestands- bzw. </w:t>
      </w:r>
      <w:r>
        <w:t>recht</w:t>
      </w:r>
      <w:r>
        <w:t>s</w:t>
      </w:r>
      <w:r>
        <w:t>kräftig vollziehbar ausreisepflichtig waren.</w:t>
      </w:r>
    </w:p>
    <w:p w:rsidR="00E330FE" w:rsidRDefault="00E330FE" w:rsidP="00E330FE">
      <w:pPr>
        <w:pStyle w:val="LTAntwortRessortText"/>
      </w:pPr>
      <w:r>
        <w:t xml:space="preserve">Die Staatsregierung verfügt über keine über Medienberichte hinausgehenden Kenntnisse über den Verbleib der nach Afghanistan abgeschobenen afghanischen Staatsangehörigen. Dies gilt auch für die Situation von Herrn </w:t>
      </w:r>
      <w:r w:rsidR="00B5384F" w:rsidRPr="00B5384F">
        <w:t xml:space="preserve">Atiqullah </w:t>
      </w:r>
      <w:r>
        <w:t>Akbari.</w:t>
      </w:r>
    </w:p>
    <w:p w:rsidR="00E330FE" w:rsidRDefault="00B5384F" w:rsidP="00E330FE">
      <w:pPr>
        <w:pStyle w:val="LTAntwortRessortText"/>
      </w:pPr>
      <w:r>
        <w:lastRenderedPageBreak/>
        <w:t>Die Einschätzung des Bundes</w:t>
      </w:r>
      <w:r w:rsidR="00E330FE">
        <w:t xml:space="preserve">ministeriums </w:t>
      </w:r>
      <w:r>
        <w:t xml:space="preserve">des Innern </w:t>
      </w:r>
      <w:r w:rsidR="00E330FE">
        <w:t>und des Auswärtigen Amtes lassen Rückfü</w:t>
      </w:r>
      <w:r w:rsidR="00E330FE">
        <w:t>h</w:t>
      </w:r>
      <w:r w:rsidR="00E330FE">
        <w:t>rungen in gesicherte afghanische Provinzen zu. Welche Personen wohin zurückgeführt werden können, entscheidet das Bundesamt für Migration und Flüchtlinge im Asylverfahren, dessen En</w:t>
      </w:r>
      <w:r w:rsidR="00E330FE">
        <w:t>t</w:t>
      </w:r>
      <w:r w:rsidR="00E330FE">
        <w:t>scheidung gerichtlich überprüfbar ist. Die für den Vollzug der Abschiebung zuständigen Auslände</w:t>
      </w:r>
      <w:r w:rsidR="00E330FE">
        <w:t>r</w:t>
      </w:r>
      <w:r w:rsidR="00E330FE">
        <w:t>behörden sind an diese Asylentscheidungen gebunden. Der Freistaat Bayern wird sich weiterhin an den vom Bund organisierten Abschiebungen nach Afghanistan beteiligen, solange die Bewertung der aktuellen Sicherheitslage durch die Bundesregierung unverändert fortbesteht.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Florian</w:t>
            </w:r>
            <w:r w:rsidRPr="00E330FE">
              <w:rPr>
                <w:b/>
              </w:rPr>
              <w:br/>
              <w:t>Ritter</w:t>
            </w:r>
            <w:r w:rsidRPr="00E330FE">
              <w:rPr>
                <w:b/>
              </w:rPr>
              <w:br/>
            </w:r>
            <w:r w:rsidRPr="00E330FE">
              <w:t>(SPD)</w:t>
            </w:r>
            <w:r>
              <w:fldChar w:fldCharType="begin"/>
            </w:r>
            <w:r>
              <w:instrText xml:space="preserve"> TC </w:instrText>
            </w:r>
            <w:r w:rsidR="00793F8E">
              <w:instrText>„</w:instrText>
            </w:r>
            <w:bookmarkStart w:id="11" w:name="_Toc477421138"/>
            <w:r>
              <w:instrText>Ritter, Florian (SPD)</w:instrText>
            </w:r>
            <w:r>
              <w:br/>
              <w:instrText>Seminare von \</w:instrText>
            </w:r>
            <w:r w:rsidR="00793F8E">
              <w:instrText>“</w:instrText>
            </w:r>
            <w:r>
              <w:instrText>Reichsbürgern\</w:instrText>
            </w:r>
            <w:r w:rsidR="00793F8E">
              <w:instrText>“</w:instrText>
            </w:r>
            <w:r>
              <w:instrText xml:space="preserve"> in Bayern</w:instrText>
            </w:r>
            <w:bookmarkEnd w:id="11"/>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welche Erkenntnisse (Veranstaltungsort, Tei</w:t>
            </w:r>
            <w:r>
              <w:t>l</w:t>
            </w:r>
            <w:r>
              <w:t xml:space="preserve">nehmerzahl, besondere Vorkommnisse) über von Reichsbürgern in Bayern geplante Seminare </w:t>
            </w:r>
            <w:r w:rsidR="00460021">
              <w:t>–</w:t>
            </w:r>
            <w:r>
              <w:t xml:space="preserve"> Stichtag 1. März 2016 </w:t>
            </w:r>
            <w:r w:rsidR="00460021">
              <w:t>–</w:t>
            </w:r>
            <w:r>
              <w:t xml:space="preserve"> liegen der Staatsregierung vor?</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E330FE" w:rsidP="00E330FE">
      <w:pPr>
        <w:pStyle w:val="LTAntwortRessortText"/>
      </w:pPr>
      <w:r>
        <w:t xml:space="preserve">Das Bayerische Landesamt für Verfassungsschutz (BayLfV) hat zum genannten Stichtag </w:t>
      </w:r>
      <w:r w:rsidR="00460021">
        <w:t xml:space="preserve">1. März </w:t>
      </w:r>
      <w:r>
        <w:t xml:space="preserve">2016 aus dem Spektrum der sogenannten Reichsbürgerbewegung die </w:t>
      </w:r>
      <w:r w:rsidR="00793F8E">
        <w:t>„</w:t>
      </w:r>
      <w:r>
        <w:t>Exil-Regierung Deutsches Reich</w:t>
      </w:r>
      <w:r w:rsidR="00793F8E">
        <w:t>“</w:t>
      </w:r>
      <w:r w:rsidR="00460021">
        <w:t xml:space="preserve"> beobachtet. Am 21. Oktober </w:t>
      </w:r>
      <w:r>
        <w:t xml:space="preserve">.2016 wurde die Gruppe </w:t>
      </w:r>
      <w:r w:rsidR="00793F8E">
        <w:t>„</w:t>
      </w:r>
      <w:r>
        <w:t>Bundesstaat Bayern</w:t>
      </w:r>
      <w:r w:rsidR="00793F8E">
        <w:t>“</w:t>
      </w:r>
      <w:r w:rsidR="00460021">
        <w:t xml:space="preserve"> und am 27. O</w:t>
      </w:r>
      <w:r w:rsidR="00460021">
        <w:t>k</w:t>
      </w:r>
      <w:r w:rsidR="00460021">
        <w:t xml:space="preserve">tober </w:t>
      </w:r>
      <w:r>
        <w:t xml:space="preserve">2016 die gesamte </w:t>
      </w:r>
      <w:r w:rsidR="00793F8E">
        <w:t>„</w:t>
      </w:r>
      <w:r>
        <w:t>Reichsbürgerbewegung</w:t>
      </w:r>
      <w:r w:rsidR="00793F8E">
        <w:t>“</w:t>
      </w:r>
      <w:r>
        <w:t xml:space="preserve"> sowie die sogenannten Selbstverwalter vom BayLfV zum Beobachtungsobjekt erklärt.</w:t>
      </w:r>
    </w:p>
    <w:p w:rsidR="00E330FE" w:rsidRDefault="00E330FE" w:rsidP="00E330FE">
      <w:pPr>
        <w:pStyle w:val="LTAntwortRessortText"/>
      </w:pPr>
      <w:r>
        <w:t>Daher liegen erst seit Ende Oktober 2016 Erkenntnisse über angekündigte oder durchgeführte I</w:t>
      </w:r>
      <w:r>
        <w:t>n</w:t>
      </w:r>
      <w:r>
        <w:t>formationstreffen, Stammtische oder Seminare aller Gru</w:t>
      </w:r>
      <w:r w:rsidR="00460021">
        <w:t>ppierungen der Reichsbürgerbewe</w:t>
      </w:r>
      <w:r>
        <w:t>gung vor.</w:t>
      </w:r>
    </w:p>
    <w:p w:rsidR="00E330FE" w:rsidRDefault="00E330FE" w:rsidP="00E330FE">
      <w:pPr>
        <w:pStyle w:val="LTAntwortRessortText"/>
      </w:pPr>
      <w:r>
        <w:t xml:space="preserve">Am </w:t>
      </w:r>
      <w:r w:rsidR="00460021">
        <w:t xml:space="preserve">5. März </w:t>
      </w:r>
      <w:r>
        <w:t>2016 fand in 86899 Landsberg am Lech ein Seminar mit Reichsbürgerbezug und ca. 25</w:t>
      </w:r>
      <w:r w:rsidR="00460021">
        <w:t> </w:t>
      </w:r>
      <w:r>
        <w:t>Teilnehmern statt.</w:t>
      </w:r>
    </w:p>
    <w:p w:rsidR="00E330FE" w:rsidRDefault="00460021" w:rsidP="00E330FE">
      <w:pPr>
        <w:pStyle w:val="LTAntwortRessortText"/>
      </w:pPr>
      <w:r>
        <w:t xml:space="preserve">Am 10. April </w:t>
      </w:r>
      <w:r w:rsidR="00E330FE">
        <w:t>2016 wurde in 92723 Tännesberg eine Veranstaltung von Reichsbürgern mit ca. 30</w:t>
      </w:r>
      <w:r>
        <w:t> </w:t>
      </w:r>
      <w:r w:rsidR="00E330FE">
        <w:t>Teilnehmern durchgeführt.</w:t>
      </w:r>
    </w:p>
    <w:p w:rsidR="00E330FE" w:rsidRDefault="00460021" w:rsidP="00E330FE">
      <w:pPr>
        <w:pStyle w:val="LTAntwortRessortText"/>
      </w:pPr>
      <w:r>
        <w:t xml:space="preserve">Am 10. Oktober </w:t>
      </w:r>
      <w:r w:rsidR="00E330FE">
        <w:t>2016 fand in 82490 Farchant ein Treffen mit Reichsbürgerbezug und 38 Teilne</w:t>
      </w:r>
      <w:r w:rsidR="00E330FE">
        <w:t>h</w:t>
      </w:r>
      <w:r w:rsidR="00E330FE">
        <w:t>mern st</w:t>
      </w:r>
      <w:r>
        <w:t xml:space="preserve">att. Ein weiteres, für den 29. Oktober </w:t>
      </w:r>
      <w:r w:rsidR="00E330FE">
        <w:t>2016 angekündigtes Treffen wurde nicht durchgeführt. Zum genannten Veranstaltungszeitpunkt erschienen keine Personen am Veranstaltungsort.</w:t>
      </w:r>
    </w:p>
    <w:p w:rsidR="00E330FE" w:rsidRDefault="00E330FE" w:rsidP="00E330FE">
      <w:pPr>
        <w:pStyle w:val="LTAntwortRessortText"/>
      </w:pPr>
      <w:r>
        <w:t xml:space="preserve">In der Vergangenheit veröffentlichte der </w:t>
      </w:r>
      <w:r w:rsidR="00793F8E">
        <w:t>„</w:t>
      </w:r>
      <w:r>
        <w:t>Bundesstaat Bayern</w:t>
      </w:r>
      <w:r w:rsidR="00793F8E">
        <w:t>“</w:t>
      </w:r>
      <w:r>
        <w:t xml:space="preserve"> auf seiner Webseite Termine für I</w:t>
      </w:r>
      <w:r>
        <w:t>n</w:t>
      </w:r>
      <w:r>
        <w:t>formationstreffen und Veranstaltungen. So wurden für das 4</w:t>
      </w:r>
      <w:r w:rsidR="00460021">
        <w:t>. Quartal 2016 in Landau (19. Okt</w:t>
      </w:r>
      <w:r w:rsidR="00460021">
        <w:t>o</w:t>
      </w:r>
      <w:r w:rsidR="00460021">
        <w:t xml:space="preserve">ber 2016), Nürnberg (22. Oktober 2016 und 24. Oktober 2016) und München (25. Oktober </w:t>
      </w:r>
      <w:r>
        <w:t>2016) Veranstaltungen angekündigt.</w:t>
      </w:r>
    </w:p>
    <w:p w:rsidR="00E330FE" w:rsidRDefault="00460021" w:rsidP="00E330FE">
      <w:pPr>
        <w:pStyle w:val="LTAntwortRessortText"/>
      </w:pPr>
      <w:r>
        <w:t xml:space="preserve">Am 22. November </w:t>
      </w:r>
      <w:r w:rsidR="00E330FE">
        <w:t>2016 fand in 84513 Erharting eine Vortragsveranstaltung mit Reichsbürgerbezug und ca. 60 Teilnehmern statt.</w:t>
      </w:r>
    </w:p>
    <w:p w:rsidR="00E330FE" w:rsidRDefault="00E330FE" w:rsidP="00E330FE">
      <w:pPr>
        <w:pStyle w:val="LTAntwortRessortText"/>
      </w:pPr>
      <w:r>
        <w:t xml:space="preserve">Für </w:t>
      </w:r>
      <w:r w:rsidR="007633A7">
        <w:t xml:space="preserve">den 4. Februar </w:t>
      </w:r>
      <w:r>
        <w:t>2017 wurde in 85405 Nandlstadt für einen Reichsbürger-Stammtisch geworben.</w:t>
      </w:r>
    </w:p>
    <w:p w:rsidR="00E330FE" w:rsidRDefault="007633A7" w:rsidP="00E330FE">
      <w:pPr>
        <w:pStyle w:val="LTAntwortRessortText"/>
      </w:pPr>
      <w:r>
        <w:t>Am 11. März</w:t>
      </w:r>
      <w:r w:rsidR="00417122">
        <w:t xml:space="preserve"> </w:t>
      </w:r>
      <w:r w:rsidR="00E330FE">
        <w:t>2017 fand in 90461 Nürnberg ein Stammtisch der Reichsbürgerbewegung mit ca. 15</w:t>
      </w:r>
      <w:r>
        <w:t xml:space="preserve"> bis</w:t>
      </w:r>
      <w:r w:rsidR="00E330FE">
        <w:t xml:space="preserve"> 20 Teilnehmern statt.</w:t>
      </w:r>
    </w:p>
    <w:p w:rsidR="00E330FE" w:rsidRDefault="007633A7" w:rsidP="00E330FE">
      <w:pPr>
        <w:pStyle w:val="LTAntwortRessortText"/>
      </w:pPr>
      <w:r>
        <w:t xml:space="preserve">Ebenfalls für 11. März </w:t>
      </w:r>
      <w:r w:rsidR="00E330FE">
        <w:t xml:space="preserve">2017 war ein Seminar zum Thema </w:t>
      </w:r>
      <w:r w:rsidR="00793F8E">
        <w:t>„</w:t>
      </w:r>
      <w:r w:rsidR="00E330FE">
        <w:t>So setzen Sie Behörden, GEZ, Finan</w:t>
      </w:r>
      <w:r w:rsidR="00E330FE">
        <w:t>z</w:t>
      </w:r>
      <w:r w:rsidR="00E330FE">
        <w:t>ämter, Gerichtsvollzieher und Gerichte rechtlich legal schachmatt</w:t>
      </w:r>
      <w:r w:rsidR="00793F8E">
        <w:t>“</w:t>
      </w:r>
      <w:r w:rsidR="00E330FE">
        <w:t xml:space="preserve"> in 93047 Regensburg geplant. </w:t>
      </w:r>
      <w:r w:rsidR="00E330FE">
        <w:lastRenderedPageBreak/>
        <w:t>Das Seminar fand nicht statt. Durch die Polizei konnten keine Teilnehmer festgestellt werden. Ein weiteres derar</w:t>
      </w:r>
      <w:r>
        <w:t xml:space="preserve">tiges Seminar war für den 12. März </w:t>
      </w:r>
      <w:r w:rsidR="00E330FE">
        <w:t>2017 in Nürnberg angekündigt.</w:t>
      </w:r>
    </w:p>
    <w:p w:rsidR="00E330FE" w:rsidRDefault="00E330FE" w:rsidP="00E330FE">
      <w:pPr>
        <w:pStyle w:val="LTAntwortRessortText"/>
      </w:pPr>
      <w:r>
        <w:t>Dem Bayerischen Landeskriminalamt liegen über die zuvor genannten Veranstaltungen derzeit ke</w:t>
      </w:r>
      <w:r>
        <w:t>i</w:t>
      </w:r>
      <w:r>
        <w:t>ne weiter</w:t>
      </w:r>
      <w:r w:rsidR="007633A7">
        <w:t>en Erkenntnisse zu Seminaren o.</w:t>
      </w:r>
      <w:r>
        <w:t>ä. Veranstaltungen mit Reichsbürgerbezug vor. Eine m</w:t>
      </w:r>
      <w:r>
        <w:t>a</w:t>
      </w:r>
      <w:r>
        <w:t>nuelle Auswertung bei den örtlichen Polizeipräsidien konnte in der für die Beantwortung der Anfrage zum Plenum zur Verfügung stehenden Zeit nicht erfolgen.</w:t>
      </w:r>
    </w:p>
    <w:p w:rsidR="00E330FE" w:rsidRDefault="00E330FE" w:rsidP="00E330FE">
      <w:pPr>
        <w:pStyle w:val="LTAntwortRessortText"/>
      </w:pPr>
      <w:r>
        <w:t xml:space="preserve">Auch den Versammlungsbehörden liegen in aller Regel keine Informationen über Veranstaltungen oder Seminare von </w:t>
      </w:r>
      <w:r w:rsidR="00793F8E">
        <w:t>„</w:t>
      </w:r>
      <w:r>
        <w:t>Reichsbürgern</w:t>
      </w:r>
      <w:r w:rsidR="00793F8E">
        <w:t>“</w:t>
      </w:r>
      <w:r>
        <w:t xml:space="preserve"> vor. Anders als bei Versammlungen </w:t>
      </w:r>
      <w:r w:rsidR="00793F8E">
        <w:t>„</w:t>
      </w:r>
      <w:r>
        <w:t>unter freiem Himmel</w:t>
      </w:r>
      <w:r w:rsidR="00793F8E">
        <w:t>“</w:t>
      </w:r>
      <w:r>
        <w:t xml:space="preserve"> b</w:t>
      </w:r>
      <w:r>
        <w:t>e</w:t>
      </w:r>
      <w:r>
        <w:t xml:space="preserve">steht bei Versammlungen </w:t>
      </w:r>
      <w:r w:rsidR="00793F8E">
        <w:t>„</w:t>
      </w:r>
      <w:r>
        <w:t>in geschlossenen Räumen</w:t>
      </w:r>
      <w:r w:rsidR="00793F8E">
        <w:t>“</w:t>
      </w:r>
      <w:r>
        <w:t xml:space="preserve"> keine Anmelde- oder Erlaubnispflicht; vie</w:t>
      </w:r>
      <w:r>
        <w:t>l</w:t>
      </w:r>
      <w:r>
        <w:t>mehr dürfen sie ohne jede Anzeige an die Verwaltung durchgeführt werden (vgl. Enders, in: Dürig-Friedl/Enders, Versammlungsrecht, 2016, § 5 VersammlG Rn. 3).</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Harry</w:t>
            </w:r>
            <w:r w:rsidRPr="00E330FE">
              <w:rPr>
                <w:b/>
              </w:rPr>
              <w:br/>
              <w:t>Scheuenstuhl</w:t>
            </w:r>
            <w:r w:rsidRPr="00E330FE">
              <w:rPr>
                <w:b/>
              </w:rPr>
              <w:br/>
            </w:r>
            <w:r w:rsidRPr="00E330FE">
              <w:t>(SPD)</w:t>
            </w:r>
            <w:r>
              <w:fldChar w:fldCharType="begin"/>
            </w:r>
            <w:r>
              <w:instrText xml:space="preserve"> TC </w:instrText>
            </w:r>
            <w:r w:rsidR="00793F8E">
              <w:instrText>„</w:instrText>
            </w:r>
            <w:bookmarkStart w:id="12" w:name="_Toc477421139"/>
            <w:r>
              <w:instrText>Scheuenstuhl, Harry (SPD)</w:instrText>
            </w:r>
            <w:r>
              <w:br/>
              <w:instrText>Beschluss des Bayerischen Verwaltungsgerichtshofs vom 27. Februar 2017 zur Gültigkeit der Informationsfreiheitssatzung der Gemeinde Inzell</w:instrText>
            </w:r>
            <w:bookmarkEnd w:id="12"/>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Aus Anlass des Beschlusses des Bayerischen Verwaltungsgerichtshofs</w:t>
            </w:r>
            <w:r w:rsidR="00793F8E">
              <w:t xml:space="preserve"> </w:t>
            </w:r>
            <w:r>
              <w:t>(BayVGH) vom 27. Februar 2017 (Az.: 4 N 16.461) in der Normenkontrolls</w:t>
            </w:r>
            <w:r>
              <w:t>a</w:t>
            </w:r>
            <w:r>
              <w:t>che des Herrn Dr. S. E. aus München gegen die Gemeinde Inzell wegen der Gültigkeit der Satzung zur Regelung des Zugangs zu Informationen des eig</w:t>
            </w:r>
            <w:r>
              <w:t>e</w:t>
            </w:r>
            <w:r>
              <w:t>nen Wirkungskreises</w:t>
            </w:r>
            <w:r w:rsidR="00793F8E">
              <w:t xml:space="preserve"> </w:t>
            </w:r>
            <w:r>
              <w:t>der Gemeinde Inzell (Informationsfreiheitssatzung)</w:t>
            </w:r>
            <w:r w:rsidR="00793F8E">
              <w:t xml:space="preserve"> </w:t>
            </w:r>
            <w:r>
              <w:t>frage ich die Staatsregierung, ob sie das Obiter Dictum des BayVGH in seinem B</w:t>
            </w:r>
            <w:r>
              <w:t>e</w:t>
            </w:r>
            <w:r>
              <w:t>schluss</w:t>
            </w:r>
            <w:r w:rsidR="00793F8E">
              <w:t xml:space="preserve"> </w:t>
            </w:r>
            <w:r>
              <w:t>teilt, dass angesichts der Überschneidung von landes- und ortsrechtl</w:t>
            </w:r>
            <w:r>
              <w:t>i</w:t>
            </w:r>
            <w:r>
              <w:t>cher Normierung der Auskunftsanspruch nach Art. 36 des Bayerischen Date</w:t>
            </w:r>
            <w:r>
              <w:t>n</w:t>
            </w:r>
            <w:r>
              <w:t>schutzgesetzes (BayDSG) als abschließende Regelung Sperrwirkung sowohl für zukünftige als auch für bereits existierende Satzungsregelungen der Ko</w:t>
            </w:r>
            <w:r>
              <w:t>m</w:t>
            </w:r>
            <w:r>
              <w:t>munen entfalten und damit unter dem Gesichtspunkt des rechtsstaatlichen Gesetzesvorrangs zur Unwirksamkeit der Informationsfreiheitssatzung der Gemeinde Inzell führen könnte, folgt nach dem Dafürhalten der Staatsregi</w:t>
            </w:r>
            <w:r>
              <w:t>e</w:t>
            </w:r>
            <w:r>
              <w:t>rung aus der kommunalen Organisationshoheit</w:t>
            </w:r>
            <w:r w:rsidR="00793F8E">
              <w:t xml:space="preserve"> </w:t>
            </w:r>
            <w:r>
              <w:t>weiterhin die Befugnis der Kommunen zur Vermittlung erleichterter Informationszugangsrechte und we</w:t>
            </w:r>
            <w:r>
              <w:t>l</w:t>
            </w:r>
            <w:r>
              <w:t>chen Ratschlag gibt die Staatsregierung den Kommunen für die Ausgestaltung der Ablehnungs- oder Ausschlussgründe in kommunalen Informationsfreiheit</w:t>
            </w:r>
            <w:r>
              <w:t>s</w:t>
            </w:r>
            <w:r>
              <w:t>satzungen, um die Satzungen wegen behaupteter Mängel der Verhinderung von Grundrechtseingriffen (Übermittlung von personenbezogenen Daten, Ve</w:t>
            </w:r>
            <w:r>
              <w:t>r</w:t>
            </w:r>
            <w:r>
              <w:t>letzung von Betriebs- und Geschäftsgeheimnissen) rechtlich nicht angreifbar zu machen bzw. das Risiko einer solchen Angreifbarkeit zu minimieren?</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E330FE" w:rsidP="00E330FE">
      <w:pPr>
        <w:pStyle w:val="LTAntwortRessortText"/>
      </w:pPr>
      <w:r>
        <w:t xml:space="preserve">Der Bayerische Verwaltungsgerichtshof </w:t>
      </w:r>
      <w:r w:rsidR="007633A7">
        <w:t xml:space="preserve">(BayVGH) </w:t>
      </w:r>
      <w:r>
        <w:t xml:space="preserve">hat in seinem Beschluss vom 27. Februar 2017 letztlich offengelassen, ob die Regelung des Art. 36 </w:t>
      </w:r>
      <w:r w:rsidR="007633A7">
        <w:t>des Bayerischen Datenschutzgesetzes (</w:t>
      </w:r>
      <w:r>
        <w:t>BayDSG</w:t>
      </w:r>
      <w:r w:rsidR="007633A7">
        <w:t>)</w:t>
      </w:r>
      <w:r>
        <w:t xml:space="preserve"> nach dem Prinzip des Gesetzesvorranges dem Erlass von Informationsfreiheitssatzu</w:t>
      </w:r>
      <w:r>
        <w:t>n</w:t>
      </w:r>
      <w:r>
        <w:t xml:space="preserve">gen entgegensteht, da diese Frage im Normenkontrollverfahren nicht entscheidungserheblich war. Stattdessen hat er in seinem Beschluss darauf abgestellt, dass Art. 23 Satz 1 </w:t>
      </w:r>
      <w:r w:rsidR="007633A7">
        <w:t>der Gemeindeor</w:t>
      </w:r>
      <w:r w:rsidR="007633A7">
        <w:t>d</w:t>
      </w:r>
      <w:r w:rsidR="007633A7">
        <w:t>nung (</w:t>
      </w:r>
      <w:r>
        <w:t>GO</w:t>
      </w:r>
      <w:r w:rsidR="007633A7">
        <w:t>)</w:t>
      </w:r>
      <w:r>
        <w:t xml:space="preserve"> entsprechend dem Prinzip des Gesetzesvorbehaltes jedenfalls nicht zu Grundrechtsei</w:t>
      </w:r>
      <w:r>
        <w:t>n</w:t>
      </w:r>
      <w:r>
        <w:t>griffen ermächtigt, und die angegriffene Satzung für nichtig erklärt, da sie solche Eingriffe zuließ bzw. keine ausreichenden Schutzrechte der Grundrechtsträger vorsah.</w:t>
      </w:r>
    </w:p>
    <w:p w:rsidR="00E330FE" w:rsidRDefault="00E330FE" w:rsidP="00E330FE">
      <w:pPr>
        <w:pStyle w:val="LTAntwortRessortText"/>
      </w:pPr>
      <w:r>
        <w:t>Nach Auffassung der Staatsregierung schließt Art. 36 BayDSG kommunale Informationsfreiheit</w:t>
      </w:r>
      <w:r>
        <w:t>s</w:t>
      </w:r>
      <w:r>
        <w:t xml:space="preserve">satzungen dagegen nicht grundsätzlich aus. Die Entscheidung des </w:t>
      </w:r>
      <w:r w:rsidR="007633A7">
        <w:t>BayVGH</w:t>
      </w:r>
      <w:r>
        <w:t xml:space="preserve"> steht solchen, den </w:t>
      </w:r>
      <w:r>
        <w:lastRenderedPageBreak/>
        <w:t>Vorbehalt des Gesetzes wahrenden Satzungen nicht entgegen, da der Gerichtshof diese Frage o</w:t>
      </w:r>
      <w:r>
        <w:t>f</w:t>
      </w:r>
      <w:r>
        <w:t>fen ließ. Art. 36 BayDSG stellt eine Kodifikation des aus dem Rechtsstaatsprinzip abzuleitenden Anspruchs auf ermessensfehlerfreie Entscheidung über Informationszugangsbegehren dar, der in seinen Voraussetzungen und Rechtswirkungen auch im Verhältnis zur ortsrechtlichen Ausgesta</w:t>
      </w:r>
      <w:r>
        <w:t>l</w:t>
      </w:r>
      <w:r>
        <w:t>tung solcher Rechtsverhältnisse klar von der Rechtslage in Ländern mit Informationsfreiheitsgese</w:t>
      </w:r>
      <w:r>
        <w:t>t</w:t>
      </w:r>
      <w:r>
        <w:t>zen zu unterscheiden ist.</w:t>
      </w:r>
    </w:p>
    <w:p w:rsidR="00E330FE" w:rsidRDefault="00E330FE" w:rsidP="00E330FE">
      <w:pPr>
        <w:pStyle w:val="LTAntwortRessortText"/>
      </w:pPr>
      <w:r>
        <w:t>Gemeinden können im eigenen Wirkungskreis nach Art. 23 Satz 1 GO zur Regelung ihrer Angel</w:t>
      </w:r>
      <w:r>
        <w:t>e</w:t>
      </w:r>
      <w:r>
        <w:t>genheiten Satzungen erlassen. Hierzu gehört auch der Erlass von Informationsfreiheitssatzungen als Ausfluss der gemeindlichen Organisationshoheit. Art. 23 Satz 1 GO ist somit auch nach Inkraf</w:t>
      </w:r>
      <w:r>
        <w:t>t</w:t>
      </w:r>
      <w:r>
        <w:t>treten des Art. 36 BayDSG weiterhin grundsätzlich taugliche Rechtsgrundlage für Informationsfre</w:t>
      </w:r>
      <w:r>
        <w:t>i</w:t>
      </w:r>
      <w:r>
        <w:t>heitssatzungen.</w:t>
      </w:r>
    </w:p>
    <w:p w:rsidR="00E330FE" w:rsidRDefault="00E330FE" w:rsidP="00E330FE">
      <w:pPr>
        <w:pStyle w:val="LTAntwortRessortText"/>
      </w:pPr>
      <w:r>
        <w:t>Allerdings ermächtigt die allgemeine Satzungsbefugnis aus Art. 23 Satz 1 GO nur zu Regelungen, die nicht in Rechte Dritter bzw. Grundrechte eingreifen. Kommunale Informationsfreiheit</w:t>
      </w:r>
      <w:r w:rsidR="00DF7A22">
        <w:t>ssatzungen müssen daher nach dem</w:t>
      </w:r>
      <w:r>
        <w:t xml:space="preserve"> vom </w:t>
      </w:r>
      <w:r w:rsidR="007633A7">
        <w:t>BayVGH</w:t>
      </w:r>
      <w:r>
        <w:t xml:space="preserve"> zutreffend aufgezeigten Prinzip des Vorbehalts des Gese</w:t>
      </w:r>
      <w:r>
        <w:t>t</w:t>
      </w:r>
      <w:r>
        <w:t>zes so ausgestaltet sein, dass personenbezogene Daten, die vom Recht auf informationelle Selbs</w:t>
      </w:r>
      <w:r>
        <w:t>t</w:t>
      </w:r>
      <w:r>
        <w:t xml:space="preserve">bestimmung aus Art. 2 Abs. 1 i. V. m. Art. 1 Abs. 1 </w:t>
      </w:r>
      <w:r w:rsidR="007633A7">
        <w:t>des Grundgesetzes (</w:t>
      </w:r>
      <w:r>
        <w:t>GG</w:t>
      </w:r>
      <w:r w:rsidR="007633A7">
        <w:t>)</w:t>
      </w:r>
      <w:r>
        <w:t xml:space="preserve"> geschützt sind, ebe</w:t>
      </w:r>
      <w:r>
        <w:t>n</w:t>
      </w:r>
      <w:r>
        <w:t>so wie Betriebs- und Geschäftsgeheimnisse (Art. 12 Abs. 1, Art. 14 Abs. 1 GG) vor einer behördl</w:t>
      </w:r>
      <w:r>
        <w:t>i</w:t>
      </w:r>
      <w:r>
        <w:t xml:space="preserve">chen Offenlegung im gesetzlich festgelegten Umfang geschützt sind. Abhängig von der konkreten Ausgestaltung von Informationsfreiheitssatzungen ist daher eine genaue Überprüfung bestehender Satzungen an Hand der Aussagen des </w:t>
      </w:r>
      <w:r w:rsidR="007633A7">
        <w:t>BayVGH</w:t>
      </w:r>
      <w:r>
        <w:t xml:space="preserve"> angezeigt. Bei der Ausgestaltung einer Informat</w:t>
      </w:r>
      <w:r>
        <w:t>i</w:t>
      </w:r>
      <w:r>
        <w:t>onsfreiheitssatzung ist insbesondere zu beachten, dass die gesetzlich vorgegebenen Grenzen des Datenschutzrechts nicht modifiziert werden können.</w:t>
      </w:r>
    </w:p>
    <w:p w:rsidR="00B65B07" w:rsidRDefault="00B65B07"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Katharina</w:t>
            </w:r>
            <w:r w:rsidRPr="00E330FE">
              <w:rPr>
                <w:b/>
              </w:rPr>
              <w:br/>
              <w:t>Schulze</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13" w:name="_Toc477421140"/>
            <w:r>
              <w:instrText>Schulze, Katharina (BÜNDNIS 90/DIE GRÜNEN)</w:instrText>
            </w:r>
            <w:r>
              <w:br/>
              <w:instrText>Verfassungsschutz aktiv im Bereich der Islamismus- bzw. Salafismusprävention</w:instrText>
            </w:r>
            <w:bookmarkEnd w:id="13"/>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Vor dem Hintergrund, dass der Schwerpunkt der Fachstelle Ufuq.de (</w:t>
            </w:r>
            <w:hyperlink r:id="rId17" w:history="1">
              <w:r w:rsidR="006E25C7" w:rsidRPr="0059074F">
                <w:rPr>
                  <w:rStyle w:val="Hyperlink"/>
                </w:rPr>
                <w:t>http://www.ufuq.de/</w:t>
              </w:r>
            </w:hyperlink>
            <w:r>
              <w:t xml:space="preserve">) innerhalb des bayerischen Netzwerks für Prävention und Deradikalisierung gegen Salafismus </w:t>
            </w:r>
            <w:r w:rsidR="006E25C7">
              <w:t>–</w:t>
            </w:r>
            <w:r>
              <w:t xml:space="preserve"> laut der entsprechenden Homepage (</w:t>
            </w:r>
            <w:hyperlink r:id="rId18" w:history="1">
              <w:r w:rsidR="006E25C7" w:rsidRPr="0059074F">
                <w:rPr>
                  <w:rStyle w:val="Hyperlink"/>
                </w:rPr>
                <w:t>www.antworten-auf-salafismus.de</w:t>
              </w:r>
            </w:hyperlink>
            <w:r>
              <w:t xml:space="preserve">) </w:t>
            </w:r>
            <w:r w:rsidR="006E25C7">
              <w:t>–</w:t>
            </w:r>
            <w:r>
              <w:t xml:space="preserve"> </w:t>
            </w:r>
            <w:r w:rsidR="00793F8E">
              <w:t>„</w:t>
            </w:r>
            <w:r>
              <w:t>auf der Fortbildung und Beratung von pädagogischen Fachkräften und anderen Verantwortlichen, die mit Jugendl</w:t>
            </w:r>
            <w:r>
              <w:t>i</w:t>
            </w:r>
            <w:r>
              <w:t>chen arbeiten</w:t>
            </w:r>
            <w:r w:rsidR="00793F8E">
              <w:t>“</w:t>
            </w:r>
            <w:r>
              <w:t xml:space="preserve">, liegt, frage ich die Staatsregierung, inwiefern andere Akteure </w:t>
            </w:r>
            <w:r w:rsidR="006E25C7">
              <w:t>–</w:t>
            </w:r>
            <w:r>
              <w:t xml:space="preserve"> insbesondere das Bayerische Landesamt für Verfassungsschutz (BayLfV) bzw. die Bayerische Information</w:t>
            </w:r>
            <w:r w:rsidR="006E25C7">
              <w:t>sstelle gegen Extremismus (BIGE</w:t>
            </w:r>
            <w:r>
              <w:t xml:space="preserve">) </w:t>
            </w:r>
            <w:r w:rsidR="006E25C7">
              <w:t>–</w:t>
            </w:r>
            <w:r>
              <w:t xml:space="preserve"> derzeit im Bereich der Islamismus- bzw. Salafismusprävention speziell in der Beratung und Fortbildung von Schulen bzw. pädagogischen Fachkräften aktiv sind und wie viele Beratungs- bzw. Fortbildungsveranstaltungen an Schulen bzw. für Lehrkräfte oder pädagogische Fachkräfte von den einzelnen Akteuren (BayLfV bzw. BIGE sowie Deradikalsierungsnetzwerk bzw. Ufuq.de) seit Anfang 2016 durchgeführt wurden (bitte Datum, Ort und Teilnehmerzahl der einzelnen Ve</w:t>
            </w:r>
            <w:r>
              <w:t>r</w:t>
            </w:r>
            <w:r>
              <w:t xml:space="preserve">anstaltungen auflisten) und warum </w:t>
            </w:r>
            <w:r w:rsidR="006E25C7">
              <w:t>–</w:t>
            </w:r>
            <w:r>
              <w:t xml:space="preserve"> sollte es zu derartigen Beratungs- bzw. Fortbildungsveranstaltungen gekommen sein oder diese geplant sein - das BayLfV bzw. die BIGE in dem klar umrissenen Aufgabenbereich des </w:t>
            </w:r>
            <w:r w:rsidR="00793F8E">
              <w:t>„</w:t>
            </w:r>
            <w:r>
              <w:t>Bayer</w:t>
            </w:r>
            <w:r>
              <w:t>i</w:t>
            </w:r>
            <w:r>
              <w:t>schen Netzwerks für Prävention und Deradikalisierung gegen Salafismus</w:t>
            </w:r>
            <w:r w:rsidR="00793F8E">
              <w:t>“</w:t>
            </w:r>
            <w:r>
              <w:t xml:space="preserve"> ebenfalls aktiv sind?</w:t>
            </w:r>
          </w:p>
          <w:p w:rsidR="00E330FE" w:rsidRDefault="00E330FE" w:rsidP="00E330FE">
            <w:pPr>
              <w:pStyle w:val="LTAnfrageText"/>
            </w:pPr>
          </w:p>
        </w:tc>
      </w:tr>
    </w:tbl>
    <w:p w:rsidR="00B65B07" w:rsidRDefault="00B65B07" w:rsidP="00E330FE">
      <w:pPr>
        <w:pStyle w:val="LTUeberschrAntwortRessort"/>
      </w:pPr>
    </w:p>
    <w:p w:rsidR="00B65B07" w:rsidRDefault="00B65B07">
      <w:pPr>
        <w:rPr>
          <w:b/>
          <w:szCs w:val="22"/>
        </w:rPr>
      </w:pPr>
      <w:r>
        <w:br w:type="page"/>
      </w:r>
    </w:p>
    <w:p w:rsidR="00E330FE" w:rsidRDefault="00E330FE" w:rsidP="00E330FE">
      <w:pPr>
        <w:pStyle w:val="LTUeberschrAntwortRessort"/>
      </w:pPr>
      <w:r>
        <w:lastRenderedPageBreak/>
        <w:t>Antwort des Staatsministeriums des Innern, für Bau und Verkehr</w:t>
      </w:r>
    </w:p>
    <w:p w:rsidR="00E330FE" w:rsidRDefault="00E330FE" w:rsidP="00E330FE">
      <w:pPr>
        <w:pStyle w:val="LTAntwortRessortText"/>
      </w:pPr>
      <w:r>
        <w:t>Der Verfassungsschutz hat den gesetzlichen Auftrag, Regierung und Parlament sowie die Öffen</w:t>
      </w:r>
      <w:r>
        <w:t>t</w:t>
      </w:r>
      <w:r>
        <w:t>lichkeit über Aktivitäten und Ziele verfassungsfeindlicher Organisationen zu informieren. Im Ra</w:t>
      </w:r>
      <w:r>
        <w:t>h</w:t>
      </w:r>
      <w:r>
        <w:t>men seiner Öffentlichkeitsarbeit klärt das Landesamt für Verfassungsschutz zudem durch zielgru</w:t>
      </w:r>
      <w:r>
        <w:t>p</w:t>
      </w:r>
      <w:r>
        <w:t>penorientierte Fachvorträge über aktuelle extremistische Entwicklungen auf.</w:t>
      </w:r>
    </w:p>
    <w:p w:rsidR="00E330FE" w:rsidRDefault="00E330FE" w:rsidP="00E330FE">
      <w:pPr>
        <w:pStyle w:val="LTAntwortRessortText"/>
      </w:pPr>
      <w:r>
        <w:t xml:space="preserve">Für den Phänomenbereich Islamismus/Salafismus sieht das </w:t>
      </w:r>
      <w:r w:rsidR="006E25C7" w:rsidRPr="006E25C7">
        <w:t>Bayerische Landesamt für Verfa</w:t>
      </w:r>
      <w:r w:rsidR="006E25C7" w:rsidRPr="006E25C7">
        <w:t>s</w:t>
      </w:r>
      <w:r w:rsidR="006E25C7" w:rsidRPr="006E25C7">
        <w:t xml:space="preserve">sungsschutz </w:t>
      </w:r>
      <w:r w:rsidR="006E25C7">
        <w:t>(</w:t>
      </w:r>
      <w:r>
        <w:t>BayLfV</w:t>
      </w:r>
      <w:r w:rsidR="006E25C7">
        <w:t>)</w:t>
      </w:r>
      <w:r>
        <w:t xml:space="preserve"> seit 2010 seine Rolle primär in der Qualifizierung von Multiplikatoren und als Inputgeber insbesondere bei öffentlichen Bedarfsträgern. Die </w:t>
      </w:r>
      <w:r w:rsidR="006E25C7" w:rsidRPr="006E25C7">
        <w:t xml:space="preserve">Bayerische Informationsstelle gegen Extremismus </w:t>
      </w:r>
      <w:r w:rsidR="006E25C7">
        <w:t>(</w:t>
      </w:r>
      <w:r>
        <w:t>BIGE</w:t>
      </w:r>
      <w:r w:rsidR="006E25C7">
        <w:t>)</w:t>
      </w:r>
      <w:r>
        <w:t xml:space="preserve"> ist im Bereich der Islamismus- bzw. Salafismusprävention nicht tätig.</w:t>
      </w:r>
    </w:p>
    <w:p w:rsidR="00E330FE" w:rsidRDefault="00E330FE" w:rsidP="00E330FE">
      <w:pPr>
        <w:pStyle w:val="LTAntwortRessortText"/>
      </w:pPr>
      <w:r>
        <w:t xml:space="preserve">Das BayLfV ist seit 2011 mit Qualifizierungsschulungen zum Thema </w:t>
      </w:r>
      <w:r w:rsidR="00793F8E">
        <w:t>„</w:t>
      </w:r>
      <w:r>
        <w:t>Islamismus und Salafismus</w:t>
      </w:r>
      <w:r w:rsidR="00793F8E">
        <w:t>“</w:t>
      </w:r>
      <w:r>
        <w:t xml:space="preserve"> an dem Kompetenznetzwerk </w:t>
      </w:r>
      <w:r w:rsidR="00793F8E">
        <w:t>„</w:t>
      </w:r>
      <w:r>
        <w:t>Regionalbeauftragte für Demokratie und Toleranz</w:t>
      </w:r>
      <w:r w:rsidR="00793F8E">
        <w:t>“</w:t>
      </w:r>
      <w:r>
        <w:t xml:space="preserve"> beteiligt. Diese Fortbildungen wurden seit Herbst 2016 im Rahmen eines regionalen Pilotprojekts mit der Regierung von Unterfranken auf die Zielgruppe der von der Flüchtlingsthematik stark betroffenen Berufsschu</w:t>
      </w:r>
      <w:r>
        <w:t>l</w:t>
      </w:r>
      <w:r w:rsidR="006E25C7">
        <w:t>lehrkräfte</w:t>
      </w:r>
      <w:r>
        <w:t xml:space="preserve"> ausgeweitet.</w:t>
      </w:r>
    </w:p>
    <w:p w:rsidR="00E330FE" w:rsidRDefault="00E330FE" w:rsidP="00E330FE">
      <w:pPr>
        <w:pStyle w:val="LTAntwortRessortText"/>
      </w:pPr>
      <w:r>
        <w:t xml:space="preserve">Zudem ist das BayLfV Akteur im </w:t>
      </w:r>
      <w:r w:rsidR="00793F8E">
        <w:t>„</w:t>
      </w:r>
      <w:r>
        <w:t>Bayerischen Netzwerk für Prävention und Deradikalisierung g</w:t>
      </w:r>
      <w:r>
        <w:t>e</w:t>
      </w:r>
      <w:r>
        <w:t>gen Salafismus</w:t>
      </w:r>
      <w:r w:rsidR="00793F8E">
        <w:t>“</w:t>
      </w:r>
      <w:r>
        <w:t>. Das BayLfV ist hierbei vor allem im Bereich der sogenannten Spezifischen Pr</w:t>
      </w:r>
      <w:r>
        <w:t>ä</w:t>
      </w:r>
      <w:r>
        <w:t>vention tätig. In diesem Zusammenhang bietet das BayLfV zielgruppenorientierte Fachvorträge, Fortbildungen, Schulungen und Beratungen von Multiplikatoren zu den Themen Islamismus, S</w:t>
      </w:r>
      <w:r>
        <w:t>a</w:t>
      </w:r>
      <w:r>
        <w:t>lafismus, islamistischer Terrorismus und Radikalisierung an. Im Weiteren gehört zum Gesamtko</w:t>
      </w:r>
      <w:r>
        <w:t>n</w:t>
      </w:r>
      <w:r w:rsidR="00DF7A22">
        <w:t>zept Islamismusp</w:t>
      </w:r>
      <w:r>
        <w:t>rävention des BayLfV die Qualifizierung von</w:t>
      </w:r>
      <w:r w:rsidR="006E25C7">
        <w:t xml:space="preserve"> bestimmten Berufsgruppen (z.B. Lehrkräfte</w:t>
      </w:r>
      <w:r>
        <w:t>, Ausbildungsträger, Mitarbeiter</w:t>
      </w:r>
      <w:r w:rsidR="006E25C7">
        <w:t>innen und Mitarbeiter</w:t>
      </w:r>
      <w:r>
        <w:t xml:space="preserve"> in Flüchtlingseinrichtungen, Mita</w:t>
      </w:r>
      <w:r>
        <w:t>r</w:t>
      </w:r>
      <w:r>
        <w:t>beiter</w:t>
      </w:r>
      <w:r w:rsidR="006E25C7">
        <w:t>innen und Mitarbeiter</w:t>
      </w:r>
      <w:r>
        <w:t xml:space="preserve"> von Polizei und Justiz), um für das Phänomen Salafismus zu sensibil</w:t>
      </w:r>
      <w:r>
        <w:t>i</w:t>
      </w:r>
      <w:r>
        <w:t>sieren, die Fachkräfte zu befähigen, Radikalisierungsprozesse zu erkennen und deren Handlung</w:t>
      </w:r>
      <w:r>
        <w:t>s</w:t>
      </w:r>
      <w:r>
        <w:t>kompetenzen zu erhöhen. Im Jahr 2016 fanden über 60 derartige Veranstaltungen und Maßna</w:t>
      </w:r>
      <w:r>
        <w:t>h</w:t>
      </w:r>
      <w:r>
        <w:t>men statt. Im ersten Quartal 2017 fanden bzw. finden bereits ca. 50 Termine statt.</w:t>
      </w:r>
    </w:p>
    <w:p w:rsidR="00E330FE" w:rsidRDefault="00E330FE" w:rsidP="00E330FE">
      <w:pPr>
        <w:pStyle w:val="LTAntwortRessortText"/>
      </w:pPr>
      <w:r>
        <w:t>Für den Bereich Lehrkräfte und pädagogische Fachkräfte wurden 2016 sechs Fortbildungsvera</w:t>
      </w:r>
      <w:r>
        <w:t>n</w:t>
      </w:r>
      <w:r>
        <w:t>staltungen durch das BayLfV zum Teil in Zusammenarbeit mit anderen Partnern (u.a. Landeszen</w:t>
      </w:r>
      <w:r>
        <w:t>t</w:t>
      </w:r>
      <w:r>
        <w:t>rale für politische Bildungsarbeit, Regionalbeauftragte, BIGE) durchgeführt, an</w:t>
      </w:r>
      <w:r w:rsidR="006E25C7">
        <w:t xml:space="preserve"> denen insgesamt über 650 Lehrkräfte</w:t>
      </w:r>
      <w:r>
        <w:t xml:space="preserve"> und Pädagogen teilgenommen haben. Im Jahr 2017 wurden bisher neun Ve</w:t>
      </w:r>
      <w:r>
        <w:t>r</w:t>
      </w:r>
      <w:r>
        <w:t>anstaltungen für die o.g. Zielgruppe durchgeführt. Schülerinnen und Schüler sind keine Zielgruppe des Ba</w:t>
      </w:r>
      <w:r w:rsidR="006E25C7">
        <w:t xml:space="preserve">yLfV im Bereich der Salafismus- bzw. </w:t>
      </w:r>
      <w:r>
        <w:t>Islamismusprävention.</w:t>
      </w:r>
    </w:p>
    <w:p w:rsidR="00E330FE" w:rsidRDefault="00E330FE" w:rsidP="00E330FE">
      <w:pPr>
        <w:pStyle w:val="LTAntwortRessortText"/>
      </w:pPr>
      <w:r>
        <w:t>Das BayLfV arbeitet bei Angeboten, die den Schulbereich betreffen, in der Regel mit den hier z</w:t>
      </w:r>
      <w:r>
        <w:t>u</w:t>
      </w:r>
      <w:r>
        <w:t>ständigen Regionalbeauftragten zusammen und stimmt sich mit diesen ab. Die Regionalbeauftra</w:t>
      </w:r>
      <w:r>
        <w:t>g</w:t>
      </w:r>
      <w:r>
        <w:t>ten werde</w:t>
      </w:r>
      <w:r w:rsidR="006E25C7">
        <w:t xml:space="preserve">n bei ihrer Arbeit eng vom Staatsministerium für Bildung und Kultus, Wissenschaft und Kunst </w:t>
      </w:r>
      <w:r>
        <w:t>betreut.</w:t>
      </w:r>
    </w:p>
    <w:p w:rsidR="00E330FE" w:rsidRDefault="00E330FE" w:rsidP="00E330FE">
      <w:pPr>
        <w:pStyle w:val="LTAntwortRessortText"/>
      </w:pPr>
    </w:p>
    <w:tbl>
      <w:tblPr>
        <w:tblStyle w:val="TableNormal"/>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3454"/>
        <w:gridCol w:w="1267"/>
      </w:tblGrid>
      <w:tr w:rsidR="006F17E5" w:rsidRPr="006F17E5" w:rsidTr="006F17E5">
        <w:trPr>
          <w:trHeight w:hRule="exact" w:val="492"/>
        </w:trPr>
        <w:tc>
          <w:tcPr>
            <w:tcW w:w="1537" w:type="dxa"/>
          </w:tcPr>
          <w:p w:rsidR="006F17E5" w:rsidRPr="006F17E5" w:rsidRDefault="006F17E5" w:rsidP="001132BE">
            <w:pPr>
              <w:pStyle w:val="TableParagraph"/>
              <w:spacing w:before="69"/>
              <w:ind w:left="55"/>
              <w:rPr>
                <w:rFonts w:ascii="Times New Roman" w:eastAsia="Times New Roman" w:hAnsi="Times New Roman" w:cs="Times New Roman"/>
                <w:sz w:val="18"/>
                <w:szCs w:val="18"/>
              </w:rPr>
            </w:pPr>
            <w:r w:rsidRPr="006F17E5">
              <w:rPr>
                <w:rFonts w:ascii="Times New Roman"/>
                <w:sz w:val="18"/>
                <w:szCs w:val="18"/>
              </w:rPr>
              <w:t>07.03.</w:t>
            </w:r>
            <w:r>
              <w:rPr>
                <w:rFonts w:ascii="Times New Roman"/>
                <w:sz w:val="18"/>
                <w:szCs w:val="18"/>
              </w:rPr>
              <w:t>20</w:t>
            </w:r>
            <w:r w:rsidRPr="006F17E5">
              <w:rPr>
                <w:rFonts w:ascii="Times New Roman"/>
                <w:sz w:val="18"/>
                <w:szCs w:val="18"/>
              </w:rPr>
              <w:t>16</w:t>
            </w:r>
          </w:p>
        </w:tc>
        <w:tc>
          <w:tcPr>
            <w:tcW w:w="3454" w:type="dxa"/>
          </w:tcPr>
          <w:p w:rsidR="006F17E5" w:rsidRPr="006F17E5" w:rsidRDefault="006F17E5" w:rsidP="001132BE">
            <w:pPr>
              <w:pStyle w:val="TableParagraph"/>
              <w:spacing w:before="69"/>
              <w:ind w:left="641"/>
              <w:rPr>
                <w:rFonts w:ascii="Times New Roman" w:eastAsia="Times New Roman" w:hAnsi="Times New Roman" w:cs="Times New Roman"/>
                <w:sz w:val="18"/>
                <w:szCs w:val="18"/>
              </w:rPr>
            </w:pPr>
            <w:r w:rsidRPr="006F17E5">
              <w:rPr>
                <w:rFonts w:ascii="Times New Roman"/>
                <w:spacing w:val="-1"/>
                <w:sz w:val="18"/>
                <w:szCs w:val="18"/>
              </w:rPr>
              <w:t>Oberbayern</w:t>
            </w:r>
            <w:r w:rsidRPr="006F17E5">
              <w:rPr>
                <w:rFonts w:ascii="Times New Roman"/>
                <w:spacing w:val="-12"/>
                <w:sz w:val="18"/>
                <w:szCs w:val="18"/>
              </w:rPr>
              <w:t xml:space="preserve"> </w:t>
            </w:r>
            <w:r w:rsidRPr="006F17E5">
              <w:rPr>
                <w:rFonts w:ascii="Times New Roman"/>
                <w:spacing w:val="-1"/>
                <w:sz w:val="18"/>
                <w:szCs w:val="18"/>
              </w:rPr>
              <w:t>(Pfaffenhofen)</w:t>
            </w:r>
          </w:p>
        </w:tc>
        <w:tc>
          <w:tcPr>
            <w:tcW w:w="1267" w:type="dxa"/>
          </w:tcPr>
          <w:p w:rsidR="006F17E5" w:rsidRPr="006F17E5" w:rsidRDefault="006F17E5" w:rsidP="006F17E5">
            <w:pPr>
              <w:pStyle w:val="TableParagraph"/>
              <w:spacing w:before="69"/>
              <w:ind w:left="140"/>
              <w:rPr>
                <w:rFonts w:ascii="Times New Roman" w:eastAsia="Times New Roman" w:hAnsi="Times New Roman" w:cs="Times New Roman"/>
                <w:sz w:val="18"/>
                <w:szCs w:val="18"/>
                <w:lang w:val="de-DE"/>
              </w:rPr>
            </w:pPr>
            <w:r w:rsidRPr="006F17E5">
              <w:rPr>
                <w:rFonts w:ascii="Times New Roman"/>
                <w:spacing w:val="-1"/>
                <w:sz w:val="18"/>
                <w:szCs w:val="18"/>
                <w:lang w:val="de-DE"/>
              </w:rPr>
              <w:t xml:space="preserve">ca. </w:t>
            </w:r>
            <w:r>
              <w:rPr>
                <w:rFonts w:ascii="Times New Roman"/>
                <w:sz w:val="18"/>
                <w:szCs w:val="18"/>
                <w:lang w:val="de-DE"/>
              </w:rPr>
              <w:t>30 Tei</w:t>
            </w:r>
            <w:r>
              <w:rPr>
                <w:rFonts w:ascii="Times New Roman"/>
                <w:sz w:val="18"/>
                <w:szCs w:val="18"/>
                <w:lang w:val="de-DE"/>
              </w:rPr>
              <w:t>l</w:t>
            </w:r>
            <w:r>
              <w:rPr>
                <w:rFonts w:ascii="Times New Roman"/>
                <w:sz w:val="18"/>
                <w:szCs w:val="18"/>
                <w:lang w:val="de-DE"/>
              </w:rPr>
              <w:t>nehmer (TN)</w:t>
            </w:r>
          </w:p>
        </w:tc>
      </w:tr>
      <w:tr w:rsidR="006F17E5" w:rsidRPr="006F17E5" w:rsidTr="001132BE">
        <w:trPr>
          <w:trHeight w:hRule="exact" w:val="414"/>
        </w:trPr>
        <w:tc>
          <w:tcPr>
            <w:tcW w:w="1537" w:type="dxa"/>
          </w:tcPr>
          <w:p w:rsidR="006F17E5" w:rsidRPr="006F17E5" w:rsidRDefault="006F17E5" w:rsidP="001132BE">
            <w:pPr>
              <w:pStyle w:val="TableParagraph"/>
              <w:spacing w:before="56"/>
              <w:ind w:left="55"/>
              <w:rPr>
                <w:rFonts w:ascii="Times New Roman" w:eastAsia="Times New Roman" w:hAnsi="Times New Roman" w:cs="Times New Roman"/>
                <w:sz w:val="18"/>
                <w:szCs w:val="18"/>
                <w:lang w:val="de-DE"/>
              </w:rPr>
            </w:pPr>
            <w:r w:rsidRPr="006F17E5">
              <w:rPr>
                <w:rFonts w:ascii="Times New Roman"/>
                <w:sz w:val="18"/>
                <w:szCs w:val="18"/>
                <w:lang w:val="de-DE"/>
              </w:rPr>
              <w:t>08.03.</w:t>
            </w:r>
            <w:r>
              <w:rPr>
                <w:rFonts w:ascii="Times New Roman"/>
                <w:sz w:val="18"/>
                <w:szCs w:val="18"/>
                <w:lang w:val="de-DE"/>
              </w:rPr>
              <w:t>20</w:t>
            </w:r>
            <w:r w:rsidRPr="006F17E5">
              <w:rPr>
                <w:rFonts w:ascii="Times New Roman"/>
                <w:sz w:val="18"/>
                <w:szCs w:val="18"/>
                <w:lang w:val="de-DE"/>
              </w:rPr>
              <w:t>16</w:t>
            </w:r>
          </w:p>
        </w:tc>
        <w:tc>
          <w:tcPr>
            <w:tcW w:w="3454" w:type="dxa"/>
          </w:tcPr>
          <w:p w:rsidR="006F17E5" w:rsidRPr="006F17E5" w:rsidRDefault="006F17E5" w:rsidP="001132BE">
            <w:pPr>
              <w:pStyle w:val="TableParagraph"/>
              <w:spacing w:before="56"/>
              <w:ind w:left="641"/>
              <w:rPr>
                <w:rFonts w:ascii="Times New Roman" w:eastAsia="Times New Roman" w:hAnsi="Times New Roman" w:cs="Times New Roman"/>
                <w:sz w:val="18"/>
                <w:szCs w:val="18"/>
                <w:lang w:val="de-DE"/>
              </w:rPr>
            </w:pPr>
            <w:r w:rsidRPr="006F17E5">
              <w:rPr>
                <w:rFonts w:ascii="Times New Roman"/>
                <w:spacing w:val="-1"/>
                <w:sz w:val="18"/>
                <w:szCs w:val="18"/>
                <w:lang w:val="de-DE"/>
              </w:rPr>
              <w:t>Schwaben</w:t>
            </w:r>
            <w:r w:rsidRPr="006F17E5">
              <w:rPr>
                <w:rFonts w:ascii="Times New Roman"/>
                <w:spacing w:val="-10"/>
                <w:sz w:val="18"/>
                <w:szCs w:val="18"/>
                <w:lang w:val="de-DE"/>
              </w:rPr>
              <w:t xml:space="preserve"> </w:t>
            </w:r>
            <w:r w:rsidRPr="006F17E5">
              <w:rPr>
                <w:rFonts w:ascii="Times New Roman"/>
                <w:spacing w:val="-1"/>
                <w:sz w:val="18"/>
                <w:szCs w:val="18"/>
                <w:lang w:val="de-DE"/>
              </w:rPr>
              <w:t>(Leitershofen)</w:t>
            </w:r>
          </w:p>
        </w:tc>
        <w:tc>
          <w:tcPr>
            <w:tcW w:w="1267" w:type="dxa"/>
          </w:tcPr>
          <w:p w:rsidR="006F17E5" w:rsidRPr="006F17E5" w:rsidRDefault="006F17E5" w:rsidP="006F17E5">
            <w:pPr>
              <w:pStyle w:val="TableParagraph"/>
              <w:spacing w:before="56"/>
              <w:ind w:left="140"/>
              <w:rPr>
                <w:rFonts w:ascii="Times New Roman" w:eastAsia="Times New Roman" w:hAnsi="Times New Roman" w:cs="Times New Roman"/>
                <w:sz w:val="18"/>
                <w:szCs w:val="18"/>
                <w:lang w:val="de-DE"/>
              </w:rPr>
            </w:pPr>
            <w:r w:rsidRPr="006F17E5">
              <w:rPr>
                <w:rFonts w:ascii="Times New Roman"/>
                <w:spacing w:val="-1"/>
                <w:sz w:val="18"/>
                <w:szCs w:val="18"/>
                <w:lang w:val="de-DE"/>
              </w:rPr>
              <w:t>ca.</w:t>
            </w:r>
            <w:r>
              <w:rPr>
                <w:rFonts w:ascii="Times New Roman"/>
                <w:spacing w:val="-1"/>
                <w:sz w:val="18"/>
                <w:szCs w:val="18"/>
                <w:lang w:val="de-DE"/>
              </w:rPr>
              <w:t xml:space="preserve"> </w:t>
            </w:r>
            <w:r w:rsidRPr="006F17E5">
              <w:rPr>
                <w:rFonts w:ascii="Times New Roman"/>
                <w:sz w:val="18"/>
                <w:szCs w:val="18"/>
                <w:lang w:val="de-DE"/>
              </w:rPr>
              <w:t>15 TN</w:t>
            </w:r>
          </w:p>
        </w:tc>
      </w:tr>
      <w:tr w:rsidR="006F17E5" w:rsidRPr="006F17E5" w:rsidTr="001132BE">
        <w:trPr>
          <w:trHeight w:hRule="exact" w:val="414"/>
        </w:trPr>
        <w:tc>
          <w:tcPr>
            <w:tcW w:w="1537" w:type="dxa"/>
          </w:tcPr>
          <w:p w:rsidR="006F17E5" w:rsidRPr="006F17E5" w:rsidRDefault="006F17E5" w:rsidP="001132BE">
            <w:pPr>
              <w:pStyle w:val="TableParagraph"/>
              <w:spacing w:before="55"/>
              <w:ind w:left="55"/>
              <w:rPr>
                <w:rFonts w:ascii="Times New Roman" w:eastAsia="Times New Roman" w:hAnsi="Times New Roman" w:cs="Times New Roman"/>
                <w:sz w:val="18"/>
                <w:szCs w:val="18"/>
                <w:lang w:val="de-DE"/>
              </w:rPr>
            </w:pPr>
            <w:r w:rsidRPr="006F17E5">
              <w:rPr>
                <w:rFonts w:ascii="Times New Roman"/>
                <w:sz w:val="18"/>
                <w:szCs w:val="18"/>
                <w:lang w:val="de-DE"/>
              </w:rPr>
              <w:t>09.03.</w:t>
            </w:r>
            <w:r>
              <w:rPr>
                <w:rFonts w:ascii="Times New Roman"/>
                <w:sz w:val="18"/>
                <w:szCs w:val="18"/>
                <w:lang w:val="de-DE"/>
              </w:rPr>
              <w:t>20</w:t>
            </w:r>
            <w:r w:rsidRPr="006F17E5">
              <w:rPr>
                <w:rFonts w:ascii="Times New Roman"/>
                <w:sz w:val="18"/>
                <w:szCs w:val="18"/>
                <w:lang w:val="de-DE"/>
              </w:rPr>
              <w:t>16</w:t>
            </w:r>
          </w:p>
        </w:tc>
        <w:tc>
          <w:tcPr>
            <w:tcW w:w="3454" w:type="dxa"/>
          </w:tcPr>
          <w:p w:rsidR="006F17E5" w:rsidRPr="006F17E5" w:rsidRDefault="006F17E5" w:rsidP="001132BE">
            <w:pPr>
              <w:pStyle w:val="TableParagraph"/>
              <w:spacing w:before="55"/>
              <w:ind w:left="641"/>
              <w:rPr>
                <w:rFonts w:ascii="Times New Roman" w:eastAsia="Times New Roman" w:hAnsi="Times New Roman" w:cs="Times New Roman"/>
                <w:sz w:val="18"/>
                <w:szCs w:val="18"/>
                <w:lang w:val="de-DE"/>
              </w:rPr>
            </w:pPr>
            <w:r w:rsidRPr="006F17E5">
              <w:rPr>
                <w:rFonts w:ascii="Times New Roman"/>
                <w:spacing w:val="-1"/>
                <w:sz w:val="18"/>
                <w:szCs w:val="18"/>
                <w:lang w:val="de-DE"/>
              </w:rPr>
              <w:t>Oberbayern</w:t>
            </w:r>
            <w:r w:rsidRPr="006F17E5">
              <w:rPr>
                <w:rFonts w:ascii="Times New Roman"/>
                <w:spacing w:val="-8"/>
                <w:sz w:val="18"/>
                <w:szCs w:val="18"/>
                <w:lang w:val="de-DE"/>
              </w:rPr>
              <w:t xml:space="preserve"> </w:t>
            </w:r>
            <w:r w:rsidRPr="006F17E5">
              <w:rPr>
                <w:rFonts w:ascii="Times New Roman"/>
                <w:spacing w:val="-1"/>
                <w:sz w:val="18"/>
                <w:szCs w:val="18"/>
                <w:lang w:val="de-DE"/>
              </w:rPr>
              <w:t>(Poing)</w:t>
            </w:r>
          </w:p>
        </w:tc>
        <w:tc>
          <w:tcPr>
            <w:tcW w:w="1267" w:type="dxa"/>
          </w:tcPr>
          <w:p w:rsidR="006F17E5" w:rsidRPr="006F17E5" w:rsidRDefault="006F17E5" w:rsidP="006F17E5">
            <w:pPr>
              <w:pStyle w:val="TableParagraph"/>
              <w:spacing w:before="55"/>
              <w:ind w:left="140"/>
              <w:rPr>
                <w:rFonts w:ascii="Times New Roman" w:eastAsia="Times New Roman" w:hAnsi="Times New Roman" w:cs="Times New Roman"/>
                <w:sz w:val="18"/>
                <w:szCs w:val="18"/>
                <w:lang w:val="de-DE"/>
              </w:rPr>
            </w:pPr>
            <w:r w:rsidRPr="006F17E5">
              <w:rPr>
                <w:rFonts w:ascii="Times New Roman"/>
                <w:spacing w:val="-1"/>
                <w:sz w:val="18"/>
                <w:szCs w:val="18"/>
                <w:lang w:val="de-DE"/>
              </w:rPr>
              <w:t>ca.</w:t>
            </w:r>
            <w:r>
              <w:rPr>
                <w:rFonts w:ascii="Times New Roman"/>
                <w:spacing w:val="-1"/>
                <w:sz w:val="18"/>
                <w:szCs w:val="18"/>
                <w:lang w:val="de-DE"/>
              </w:rPr>
              <w:t xml:space="preserve"> </w:t>
            </w:r>
            <w:r w:rsidRPr="006F17E5">
              <w:rPr>
                <w:rFonts w:ascii="Times New Roman"/>
                <w:sz w:val="18"/>
                <w:szCs w:val="18"/>
                <w:lang w:val="de-DE"/>
              </w:rPr>
              <w:t>30 TN</w:t>
            </w:r>
          </w:p>
        </w:tc>
      </w:tr>
      <w:tr w:rsidR="006F17E5" w:rsidRPr="006F17E5" w:rsidTr="001132BE">
        <w:trPr>
          <w:trHeight w:hRule="exact" w:val="414"/>
        </w:trPr>
        <w:tc>
          <w:tcPr>
            <w:tcW w:w="1537" w:type="dxa"/>
          </w:tcPr>
          <w:p w:rsidR="006F17E5" w:rsidRPr="006F17E5" w:rsidRDefault="006F17E5" w:rsidP="001132BE">
            <w:pPr>
              <w:pStyle w:val="TableParagraph"/>
              <w:spacing w:before="56"/>
              <w:ind w:left="55"/>
              <w:rPr>
                <w:rFonts w:ascii="Times New Roman" w:eastAsia="Times New Roman" w:hAnsi="Times New Roman" w:cs="Times New Roman"/>
                <w:sz w:val="18"/>
                <w:szCs w:val="18"/>
                <w:lang w:val="de-DE"/>
              </w:rPr>
            </w:pPr>
            <w:r w:rsidRPr="006F17E5">
              <w:rPr>
                <w:rFonts w:ascii="Times New Roman"/>
                <w:sz w:val="18"/>
                <w:szCs w:val="18"/>
                <w:lang w:val="de-DE"/>
              </w:rPr>
              <w:t>26.10.</w:t>
            </w:r>
            <w:r>
              <w:rPr>
                <w:rFonts w:ascii="Times New Roman"/>
                <w:sz w:val="18"/>
                <w:szCs w:val="18"/>
                <w:lang w:val="de-DE"/>
              </w:rPr>
              <w:t>20</w:t>
            </w:r>
            <w:r w:rsidRPr="006F17E5">
              <w:rPr>
                <w:rFonts w:ascii="Times New Roman"/>
                <w:sz w:val="18"/>
                <w:szCs w:val="18"/>
                <w:lang w:val="de-DE"/>
              </w:rPr>
              <w:t>16</w:t>
            </w:r>
          </w:p>
        </w:tc>
        <w:tc>
          <w:tcPr>
            <w:tcW w:w="3454" w:type="dxa"/>
          </w:tcPr>
          <w:p w:rsidR="006F17E5" w:rsidRPr="006F17E5" w:rsidRDefault="006F17E5" w:rsidP="001132BE">
            <w:pPr>
              <w:pStyle w:val="TableParagraph"/>
              <w:spacing w:before="56"/>
              <w:ind w:left="641"/>
              <w:rPr>
                <w:rFonts w:ascii="Times New Roman" w:eastAsia="Times New Roman" w:hAnsi="Times New Roman" w:cs="Times New Roman"/>
                <w:sz w:val="18"/>
                <w:szCs w:val="18"/>
                <w:lang w:val="de-DE"/>
              </w:rPr>
            </w:pPr>
            <w:r w:rsidRPr="006F17E5">
              <w:rPr>
                <w:rFonts w:ascii="Times New Roman" w:hAnsi="Times New Roman"/>
                <w:spacing w:val="-1"/>
                <w:sz w:val="18"/>
                <w:szCs w:val="18"/>
                <w:lang w:val="de-DE"/>
              </w:rPr>
              <w:t>Unterfranken</w:t>
            </w:r>
            <w:r w:rsidRPr="006F17E5">
              <w:rPr>
                <w:rFonts w:ascii="Times New Roman" w:hAnsi="Times New Roman"/>
                <w:spacing w:val="-14"/>
                <w:sz w:val="18"/>
                <w:szCs w:val="18"/>
                <w:lang w:val="de-DE"/>
              </w:rPr>
              <w:t xml:space="preserve"> </w:t>
            </w:r>
            <w:r w:rsidRPr="006F17E5">
              <w:rPr>
                <w:rFonts w:ascii="Times New Roman" w:hAnsi="Times New Roman"/>
                <w:sz w:val="18"/>
                <w:szCs w:val="18"/>
                <w:lang w:val="de-DE"/>
              </w:rPr>
              <w:t>(Würzburg)</w:t>
            </w:r>
          </w:p>
        </w:tc>
        <w:tc>
          <w:tcPr>
            <w:tcW w:w="1267" w:type="dxa"/>
          </w:tcPr>
          <w:p w:rsidR="006F17E5" w:rsidRPr="006F17E5" w:rsidRDefault="006F17E5" w:rsidP="006F17E5">
            <w:pPr>
              <w:pStyle w:val="TableParagraph"/>
              <w:spacing w:before="56"/>
              <w:ind w:left="140"/>
              <w:rPr>
                <w:rFonts w:ascii="Times New Roman" w:eastAsia="Times New Roman" w:hAnsi="Times New Roman" w:cs="Times New Roman"/>
                <w:sz w:val="18"/>
                <w:szCs w:val="18"/>
                <w:lang w:val="de-DE"/>
              </w:rPr>
            </w:pPr>
            <w:r w:rsidRPr="006F17E5">
              <w:rPr>
                <w:rFonts w:ascii="Times New Roman"/>
                <w:spacing w:val="-1"/>
                <w:sz w:val="18"/>
                <w:szCs w:val="18"/>
                <w:lang w:val="de-DE"/>
              </w:rPr>
              <w:t>ca.</w:t>
            </w:r>
            <w:r>
              <w:rPr>
                <w:rFonts w:ascii="Times New Roman"/>
                <w:spacing w:val="-1"/>
                <w:sz w:val="18"/>
                <w:szCs w:val="18"/>
                <w:lang w:val="de-DE"/>
              </w:rPr>
              <w:t xml:space="preserve"> </w:t>
            </w:r>
            <w:r w:rsidRPr="006F17E5">
              <w:rPr>
                <w:rFonts w:ascii="Times New Roman"/>
                <w:sz w:val="18"/>
                <w:szCs w:val="18"/>
                <w:lang w:val="de-DE"/>
              </w:rPr>
              <w:t>140 TN</w:t>
            </w:r>
          </w:p>
        </w:tc>
      </w:tr>
      <w:tr w:rsidR="006F17E5" w:rsidRPr="006F17E5" w:rsidTr="001132BE">
        <w:trPr>
          <w:trHeight w:hRule="exact" w:val="414"/>
        </w:trPr>
        <w:tc>
          <w:tcPr>
            <w:tcW w:w="1537" w:type="dxa"/>
          </w:tcPr>
          <w:p w:rsidR="006F17E5" w:rsidRPr="006F17E5" w:rsidRDefault="006F17E5" w:rsidP="001132BE">
            <w:pPr>
              <w:pStyle w:val="TableParagraph"/>
              <w:spacing w:before="55"/>
              <w:ind w:left="55"/>
              <w:rPr>
                <w:rFonts w:ascii="Times New Roman" w:eastAsia="Times New Roman" w:hAnsi="Times New Roman" w:cs="Times New Roman"/>
                <w:sz w:val="18"/>
                <w:szCs w:val="18"/>
                <w:lang w:val="de-DE"/>
              </w:rPr>
            </w:pPr>
            <w:r w:rsidRPr="006F17E5">
              <w:rPr>
                <w:rFonts w:ascii="Times New Roman"/>
                <w:sz w:val="18"/>
                <w:szCs w:val="18"/>
                <w:lang w:val="de-DE"/>
              </w:rPr>
              <w:t>01.12.</w:t>
            </w:r>
            <w:r>
              <w:rPr>
                <w:rFonts w:ascii="Times New Roman"/>
                <w:sz w:val="18"/>
                <w:szCs w:val="18"/>
                <w:lang w:val="de-DE"/>
              </w:rPr>
              <w:t>20</w:t>
            </w:r>
            <w:r w:rsidRPr="006F17E5">
              <w:rPr>
                <w:rFonts w:ascii="Times New Roman"/>
                <w:sz w:val="18"/>
                <w:szCs w:val="18"/>
                <w:lang w:val="de-DE"/>
              </w:rPr>
              <w:t>16</w:t>
            </w:r>
          </w:p>
        </w:tc>
        <w:tc>
          <w:tcPr>
            <w:tcW w:w="3454" w:type="dxa"/>
          </w:tcPr>
          <w:p w:rsidR="006F17E5" w:rsidRPr="006F17E5" w:rsidRDefault="006F17E5" w:rsidP="001132BE">
            <w:pPr>
              <w:pStyle w:val="TableParagraph"/>
              <w:spacing w:before="55"/>
              <w:ind w:left="641"/>
              <w:rPr>
                <w:rFonts w:ascii="Times New Roman" w:eastAsia="Times New Roman" w:hAnsi="Times New Roman" w:cs="Times New Roman"/>
                <w:sz w:val="18"/>
                <w:szCs w:val="18"/>
                <w:lang w:val="de-DE"/>
              </w:rPr>
            </w:pPr>
            <w:r w:rsidRPr="006F17E5">
              <w:rPr>
                <w:rFonts w:ascii="Times New Roman"/>
                <w:spacing w:val="-1"/>
                <w:sz w:val="18"/>
                <w:szCs w:val="18"/>
                <w:lang w:val="de-DE"/>
              </w:rPr>
              <w:t>Unterfranken</w:t>
            </w:r>
            <w:r w:rsidRPr="006F17E5">
              <w:rPr>
                <w:rFonts w:ascii="Times New Roman"/>
                <w:spacing w:val="-16"/>
                <w:sz w:val="18"/>
                <w:szCs w:val="18"/>
                <w:lang w:val="de-DE"/>
              </w:rPr>
              <w:t xml:space="preserve"> </w:t>
            </w:r>
            <w:r w:rsidRPr="006F17E5">
              <w:rPr>
                <w:rFonts w:ascii="Times New Roman"/>
                <w:spacing w:val="-1"/>
                <w:sz w:val="18"/>
                <w:szCs w:val="18"/>
                <w:lang w:val="de-DE"/>
              </w:rPr>
              <w:t>(Schweinfurt)</w:t>
            </w:r>
          </w:p>
        </w:tc>
        <w:tc>
          <w:tcPr>
            <w:tcW w:w="1267" w:type="dxa"/>
          </w:tcPr>
          <w:p w:rsidR="006F17E5" w:rsidRPr="006F17E5" w:rsidRDefault="006F17E5" w:rsidP="006F17E5">
            <w:pPr>
              <w:pStyle w:val="TableParagraph"/>
              <w:spacing w:before="55"/>
              <w:ind w:left="140"/>
              <w:rPr>
                <w:rFonts w:ascii="Times New Roman" w:eastAsia="Times New Roman" w:hAnsi="Times New Roman" w:cs="Times New Roman"/>
                <w:sz w:val="18"/>
                <w:szCs w:val="18"/>
                <w:lang w:val="de-DE"/>
              </w:rPr>
            </w:pPr>
            <w:r w:rsidRPr="006F17E5">
              <w:rPr>
                <w:rFonts w:ascii="Times New Roman"/>
                <w:spacing w:val="-1"/>
                <w:sz w:val="18"/>
                <w:szCs w:val="18"/>
                <w:lang w:val="de-DE"/>
              </w:rPr>
              <w:t>ca.</w:t>
            </w:r>
            <w:r>
              <w:rPr>
                <w:rFonts w:ascii="Times New Roman"/>
                <w:spacing w:val="-1"/>
                <w:sz w:val="18"/>
                <w:szCs w:val="18"/>
                <w:lang w:val="de-DE"/>
              </w:rPr>
              <w:t xml:space="preserve"> </w:t>
            </w:r>
            <w:r w:rsidRPr="006F17E5">
              <w:rPr>
                <w:rFonts w:ascii="Times New Roman"/>
                <w:sz w:val="18"/>
                <w:szCs w:val="18"/>
                <w:lang w:val="de-DE"/>
              </w:rPr>
              <w:t>80 TN</w:t>
            </w:r>
          </w:p>
        </w:tc>
      </w:tr>
      <w:tr w:rsidR="006F17E5" w:rsidRPr="006F17E5" w:rsidTr="001132BE">
        <w:trPr>
          <w:trHeight w:hRule="exact" w:val="414"/>
        </w:trPr>
        <w:tc>
          <w:tcPr>
            <w:tcW w:w="1537" w:type="dxa"/>
          </w:tcPr>
          <w:p w:rsidR="006F17E5" w:rsidRPr="006F17E5" w:rsidRDefault="006F17E5" w:rsidP="001132BE">
            <w:pPr>
              <w:pStyle w:val="TableParagraph"/>
              <w:spacing w:before="56"/>
              <w:ind w:left="55"/>
              <w:rPr>
                <w:rFonts w:ascii="Times New Roman" w:eastAsia="Times New Roman" w:hAnsi="Times New Roman" w:cs="Times New Roman"/>
                <w:sz w:val="18"/>
                <w:szCs w:val="18"/>
                <w:lang w:val="de-DE"/>
              </w:rPr>
            </w:pPr>
            <w:r w:rsidRPr="006F17E5">
              <w:rPr>
                <w:rFonts w:ascii="Times New Roman"/>
                <w:sz w:val="18"/>
                <w:szCs w:val="18"/>
                <w:lang w:val="de-DE"/>
              </w:rPr>
              <w:t>07.12.</w:t>
            </w:r>
            <w:r>
              <w:rPr>
                <w:rFonts w:ascii="Times New Roman"/>
                <w:sz w:val="18"/>
                <w:szCs w:val="18"/>
                <w:lang w:val="de-DE"/>
              </w:rPr>
              <w:t>20</w:t>
            </w:r>
            <w:r w:rsidRPr="006F17E5">
              <w:rPr>
                <w:rFonts w:ascii="Times New Roman"/>
                <w:sz w:val="18"/>
                <w:szCs w:val="18"/>
                <w:lang w:val="de-DE"/>
              </w:rPr>
              <w:t>16</w:t>
            </w:r>
          </w:p>
        </w:tc>
        <w:tc>
          <w:tcPr>
            <w:tcW w:w="3454" w:type="dxa"/>
          </w:tcPr>
          <w:p w:rsidR="006F17E5" w:rsidRPr="006F17E5" w:rsidRDefault="006F17E5" w:rsidP="001132BE">
            <w:pPr>
              <w:pStyle w:val="TableParagraph"/>
              <w:spacing w:before="56"/>
              <w:ind w:left="641"/>
              <w:rPr>
                <w:rFonts w:ascii="Times New Roman" w:eastAsia="Times New Roman" w:hAnsi="Times New Roman" w:cs="Times New Roman"/>
                <w:sz w:val="18"/>
                <w:szCs w:val="18"/>
                <w:lang w:val="de-DE"/>
              </w:rPr>
            </w:pPr>
            <w:r w:rsidRPr="006F17E5">
              <w:rPr>
                <w:rFonts w:ascii="Times New Roman"/>
                <w:spacing w:val="-1"/>
                <w:sz w:val="18"/>
                <w:szCs w:val="18"/>
                <w:lang w:val="de-DE"/>
              </w:rPr>
              <w:t>Oberpfalz</w:t>
            </w:r>
            <w:r w:rsidRPr="006F17E5">
              <w:rPr>
                <w:rFonts w:ascii="Times New Roman"/>
                <w:spacing w:val="-10"/>
                <w:sz w:val="18"/>
                <w:szCs w:val="18"/>
                <w:lang w:val="de-DE"/>
              </w:rPr>
              <w:t xml:space="preserve"> </w:t>
            </w:r>
            <w:r w:rsidRPr="006F17E5">
              <w:rPr>
                <w:rFonts w:ascii="Times New Roman"/>
                <w:spacing w:val="-1"/>
                <w:sz w:val="18"/>
                <w:szCs w:val="18"/>
                <w:lang w:val="de-DE"/>
              </w:rPr>
              <w:t>(Weiden)</w:t>
            </w:r>
          </w:p>
        </w:tc>
        <w:tc>
          <w:tcPr>
            <w:tcW w:w="1267" w:type="dxa"/>
          </w:tcPr>
          <w:p w:rsidR="006F17E5" w:rsidRPr="006F17E5" w:rsidRDefault="006F17E5" w:rsidP="006F17E5">
            <w:pPr>
              <w:pStyle w:val="TableParagraph"/>
              <w:spacing w:before="56"/>
              <w:ind w:left="140"/>
              <w:rPr>
                <w:rFonts w:ascii="Times New Roman" w:eastAsia="Times New Roman" w:hAnsi="Times New Roman" w:cs="Times New Roman"/>
                <w:sz w:val="18"/>
                <w:szCs w:val="18"/>
              </w:rPr>
            </w:pPr>
            <w:r w:rsidRPr="006F17E5">
              <w:rPr>
                <w:rFonts w:ascii="Times New Roman"/>
                <w:spacing w:val="-1"/>
                <w:sz w:val="18"/>
                <w:szCs w:val="18"/>
                <w:lang w:val="de-DE"/>
              </w:rPr>
              <w:t>ca.</w:t>
            </w:r>
            <w:r>
              <w:rPr>
                <w:rFonts w:ascii="Times New Roman"/>
                <w:spacing w:val="-1"/>
                <w:sz w:val="18"/>
                <w:szCs w:val="18"/>
                <w:lang w:val="de-DE"/>
              </w:rPr>
              <w:t xml:space="preserve"> </w:t>
            </w:r>
            <w:r w:rsidRPr="006F17E5">
              <w:rPr>
                <w:rFonts w:ascii="Times New Roman"/>
                <w:sz w:val="18"/>
                <w:szCs w:val="18"/>
                <w:lang w:val="de-DE"/>
              </w:rPr>
              <w:t xml:space="preserve">30 </w:t>
            </w:r>
            <w:r w:rsidRPr="006F17E5">
              <w:rPr>
                <w:rFonts w:ascii="Times New Roman"/>
                <w:sz w:val="18"/>
                <w:szCs w:val="18"/>
              </w:rPr>
              <w:t>TN</w:t>
            </w:r>
          </w:p>
        </w:tc>
      </w:tr>
      <w:tr w:rsidR="006F17E5" w:rsidRPr="006F17E5" w:rsidTr="001132BE">
        <w:trPr>
          <w:trHeight w:hRule="exact" w:val="414"/>
        </w:trPr>
        <w:tc>
          <w:tcPr>
            <w:tcW w:w="1537" w:type="dxa"/>
          </w:tcPr>
          <w:p w:rsidR="006F17E5" w:rsidRPr="006F17E5" w:rsidRDefault="006F17E5" w:rsidP="001132BE">
            <w:pPr>
              <w:pStyle w:val="TableParagraph"/>
              <w:spacing w:before="55"/>
              <w:ind w:left="55"/>
              <w:rPr>
                <w:rFonts w:ascii="Times New Roman" w:eastAsia="Times New Roman" w:hAnsi="Times New Roman" w:cs="Times New Roman"/>
                <w:sz w:val="18"/>
                <w:szCs w:val="18"/>
              </w:rPr>
            </w:pPr>
            <w:r w:rsidRPr="006F17E5">
              <w:rPr>
                <w:rFonts w:ascii="Times New Roman"/>
                <w:sz w:val="18"/>
                <w:szCs w:val="18"/>
              </w:rPr>
              <w:t>25.01.</w:t>
            </w:r>
            <w:r>
              <w:rPr>
                <w:rFonts w:ascii="Times New Roman"/>
                <w:sz w:val="18"/>
                <w:szCs w:val="18"/>
              </w:rPr>
              <w:t>20</w:t>
            </w:r>
            <w:r w:rsidRPr="006F17E5">
              <w:rPr>
                <w:rFonts w:ascii="Times New Roman"/>
                <w:sz w:val="18"/>
                <w:szCs w:val="18"/>
              </w:rPr>
              <w:t>17</w:t>
            </w:r>
          </w:p>
        </w:tc>
        <w:tc>
          <w:tcPr>
            <w:tcW w:w="3454" w:type="dxa"/>
          </w:tcPr>
          <w:p w:rsidR="006F17E5" w:rsidRPr="006F17E5" w:rsidRDefault="006F17E5" w:rsidP="001132BE">
            <w:pPr>
              <w:pStyle w:val="TableParagraph"/>
              <w:spacing w:before="55"/>
              <w:ind w:left="641"/>
              <w:rPr>
                <w:rFonts w:ascii="Times New Roman" w:eastAsia="Times New Roman" w:hAnsi="Times New Roman" w:cs="Times New Roman"/>
                <w:sz w:val="18"/>
                <w:szCs w:val="18"/>
              </w:rPr>
            </w:pPr>
            <w:r w:rsidRPr="006F17E5">
              <w:rPr>
                <w:rFonts w:ascii="Times New Roman"/>
                <w:spacing w:val="-1"/>
                <w:sz w:val="18"/>
                <w:szCs w:val="18"/>
              </w:rPr>
              <w:t>Oberpfalz</w:t>
            </w:r>
            <w:r w:rsidRPr="006F17E5">
              <w:rPr>
                <w:rFonts w:ascii="Times New Roman"/>
                <w:spacing w:val="-11"/>
                <w:sz w:val="18"/>
                <w:szCs w:val="18"/>
              </w:rPr>
              <w:t xml:space="preserve"> </w:t>
            </w:r>
            <w:r w:rsidRPr="006F17E5">
              <w:rPr>
                <w:rFonts w:ascii="Times New Roman"/>
                <w:spacing w:val="-1"/>
                <w:sz w:val="18"/>
                <w:szCs w:val="18"/>
              </w:rPr>
              <w:t>(Weiden)</w:t>
            </w:r>
          </w:p>
        </w:tc>
        <w:tc>
          <w:tcPr>
            <w:tcW w:w="1267" w:type="dxa"/>
          </w:tcPr>
          <w:p w:rsidR="006F17E5" w:rsidRPr="006F17E5" w:rsidRDefault="006F17E5" w:rsidP="006F17E5">
            <w:pPr>
              <w:pStyle w:val="TableParagraph"/>
              <w:spacing w:before="55"/>
              <w:ind w:left="140"/>
              <w:rPr>
                <w:rFonts w:ascii="Times New Roman" w:eastAsia="Times New Roman" w:hAnsi="Times New Roman" w:cs="Times New Roman"/>
                <w:sz w:val="18"/>
                <w:szCs w:val="18"/>
              </w:rPr>
            </w:pPr>
            <w:r w:rsidRPr="006F17E5">
              <w:rPr>
                <w:rFonts w:ascii="Times New Roman"/>
                <w:spacing w:val="-1"/>
                <w:sz w:val="18"/>
                <w:szCs w:val="18"/>
              </w:rPr>
              <w:t>ca.</w:t>
            </w:r>
            <w:r>
              <w:rPr>
                <w:rFonts w:ascii="Times New Roman"/>
                <w:spacing w:val="-1"/>
                <w:sz w:val="18"/>
                <w:szCs w:val="18"/>
              </w:rPr>
              <w:t xml:space="preserve"> </w:t>
            </w:r>
            <w:r w:rsidRPr="006F17E5">
              <w:rPr>
                <w:rFonts w:ascii="Times New Roman"/>
                <w:sz w:val="18"/>
                <w:szCs w:val="18"/>
              </w:rPr>
              <w:t>25 TN</w:t>
            </w:r>
          </w:p>
        </w:tc>
      </w:tr>
      <w:tr w:rsidR="006F17E5" w:rsidRPr="006F17E5" w:rsidTr="001132BE">
        <w:trPr>
          <w:trHeight w:hRule="exact" w:val="414"/>
        </w:trPr>
        <w:tc>
          <w:tcPr>
            <w:tcW w:w="1537" w:type="dxa"/>
          </w:tcPr>
          <w:p w:rsidR="006F17E5" w:rsidRPr="006F17E5" w:rsidRDefault="006F17E5" w:rsidP="001132BE">
            <w:pPr>
              <w:pStyle w:val="TableParagraph"/>
              <w:spacing w:before="57"/>
              <w:ind w:left="55"/>
              <w:rPr>
                <w:rFonts w:ascii="Times New Roman" w:eastAsia="Times New Roman" w:hAnsi="Times New Roman" w:cs="Times New Roman"/>
                <w:sz w:val="18"/>
                <w:szCs w:val="18"/>
              </w:rPr>
            </w:pPr>
            <w:r w:rsidRPr="006F17E5">
              <w:rPr>
                <w:rFonts w:ascii="Times New Roman"/>
                <w:sz w:val="18"/>
                <w:szCs w:val="18"/>
              </w:rPr>
              <w:lastRenderedPageBreak/>
              <w:t>25.01.</w:t>
            </w:r>
            <w:r>
              <w:rPr>
                <w:rFonts w:ascii="Times New Roman"/>
                <w:sz w:val="18"/>
                <w:szCs w:val="18"/>
              </w:rPr>
              <w:t>20</w:t>
            </w:r>
            <w:r w:rsidRPr="006F17E5">
              <w:rPr>
                <w:rFonts w:ascii="Times New Roman"/>
                <w:sz w:val="18"/>
                <w:szCs w:val="18"/>
              </w:rPr>
              <w:t>17</w:t>
            </w:r>
          </w:p>
        </w:tc>
        <w:tc>
          <w:tcPr>
            <w:tcW w:w="3454" w:type="dxa"/>
          </w:tcPr>
          <w:p w:rsidR="006F17E5" w:rsidRPr="006F17E5" w:rsidRDefault="006F17E5" w:rsidP="001132BE">
            <w:pPr>
              <w:pStyle w:val="TableParagraph"/>
              <w:spacing w:before="57"/>
              <w:ind w:left="641"/>
              <w:rPr>
                <w:rFonts w:ascii="Times New Roman" w:eastAsia="Times New Roman" w:hAnsi="Times New Roman" w:cs="Times New Roman"/>
                <w:sz w:val="18"/>
                <w:szCs w:val="18"/>
              </w:rPr>
            </w:pPr>
            <w:r w:rsidRPr="006F17E5">
              <w:rPr>
                <w:rFonts w:ascii="Times New Roman"/>
                <w:spacing w:val="-1"/>
                <w:sz w:val="18"/>
                <w:szCs w:val="18"/>
              </w:rPr>
              <w:t>Mittelfranken</w:t>
            </w:r>
            <w:r w:rsidRPr="006F17E5">
              <w:rPr>
                <w:rFonts w:ascii="Times New Roman"/>
                <w:spacing w:val="-15"/>
                <w:sz w:val="18"/>
                <w:szCs w:val="18"/>
              </w:rPr>
              <w:t xml:space="preserve"> </w:t>
            </w:r>
            <w:r w:rsidRPr="006F17E5">
              <w:rPr>
                <w:rFonts w:ascii="Times New Roman"/>
                <w:spacing w:val="-1"/>
                <w:sz w:val="18"/>
                <w:szCs w:val="18"/>
              </w:rPr>
              <w:t>(Ansbach)</w:t>
            </w:r>
          </w:p>
        </w:tc>
        <w:tc>
          <w:tcPr>
            <w:tcW w:w="1267" w:type="dxa"/>
          </w:tcPr>
          <w:p w:rsidR="006F17E5" w:rsidRPr="006F17E5" w:rsidRDefault="006F17E5" w:rsidP="006F17E5">
            <w:pPr>
              <w:pStyle w:val="TableParagraph"/>
              <w:spacing w:before="57"/>
              <w:ind w:left="140"/>
              <w:rPr>
                <w:rFonts w:ascii="Times New Roman" w:eastAsia="Times New Roman" w:hAnsi="Times New Roman" w:cs="Times New Roman"/>
                <w:sz w:val="18"/>
                <w:szCs w:val="18"/>
              </w:rPr>
            </w:pPr>
            <w:r w:rsidRPr="006F17E5">
              <w:rPr>
                <w:rFonts w:ascii="Times New Roman"/>
                <w:spacing w:val="-1"/>
                <w:sz w:val="18"/>
                <w:szCs w:val="18"/>
              </w:rPr>
              <w:t>ca.</w:t>
            </w:r>
            <w:r>
              <w:rPr>
                <w:rFonts w:ascii="Times New Roman"/>
                <w:spacing w:val="-1"/>
                <w:sz w:val="18"/>
                <w:szCs w:val="18"/>
              </w:rPr>
              <w:t xml:space="preserve"> </w:t>
            </w:r>
            <w:r w:rsidRPr="006F17E5">
              <w:rPr>
                <w:rFonts w:ascii="Times New Roman"/>
                <w:sz w:val="18"/>
                <w:szCs w:val="18"/>
              </w:rPr>
              <w:t>50 TN</w:t>
            </w:r>
          </w:p>
        </w:tc>
      </w:tr>
      <w:tr w:rsidR="006F17E5" w:rsidRPr="006F17E5" w:rsidTr="001132BE">
        <w:trPr>
          <w:trHeight w:hRule="exact" w:val="426"/>
        </w:trPr>
        <w:tc>
          <w:tcPr>
            <w:tcW w:w="1537" w:type="dxa"/>
          </w:tcPr>
          <w:p w:rsidR="006F17E5" w:rsidRPr="006F17E5" w:rsidRDefault="006F17E5" w:rsidP="001132BE">
            <w:pPr>
              <w:pStyle w:val="TableParagraph"/>
              <w:spacing w:before="55"/>
              <w:ind w:left="55"/>
              <w:rPr>
                <w:rFonts w:ascii="Times New Roman" w:eastAsia="Times New Roman" w:hAnsi="Times New Roman" w:cs="Times New Roman"/>
                <w:sz w:val="18"/>
                <w:szCs w:val="18"/>
              </w:rPr>
            </w:pPr>
            <w:r w:rsidRPr="006F17E5">
              <w:rPr>
                <w:rFonts w:ascii="Times New Roman"/>
                <w:sz w:val="18"/>
                <w:szCs w:val="18"/>
              </w:rPr>
              <w:t>08.02.</w:t>
            </w:r>
            <w:r>
              <w:rPr>
                <w:rFonts w:ascii="Times New Roman"/>
                <w:sz w:val="18"/>
                <w:szCs w:val="18"/>
              </w:rPr>
              <w:t>20</w:t>
            </w:r>
            <w:r w:rsidRPr="006F17E5">
              <w:rPr>
                <w:rFonts w:ascii="Times New Roman"/>
                <w:sz w:val="18"/>
                <w:szCs w:val="18"/>
              </w:rPr>
              <w:t>17</w:t>
            </w:r>
          </w:p>
        </w:tc>
        <w:tc>
          <w:tcPr>
            <w:tcW w:w="3454" w:type="dxa"/>
          </w:tcPr>
          <w:p w:rsidR="006F17E5" w:rsidRPr="006F17E5" w:rsidRDefault="006F17E5" w:rsidP="001132BE">
            <w:pPr>
              <w:pStyle w:val="TableParagraph"/>
              <w:spacing w:before="55"/>
              <w:ind w:left="641"/>
              <w:rPr>
                <w:rFonts w:ascii="Times New Roman" w:eastAsia="Times New Roman" w:hAnsi="Times New Roman" w:cs="Times New Roman"/>
                <w:sz w:val="18"/>
                <w:szCs w:val="18"/>
              </w:rPr>
            </w:pPr>
            <w:r w:rsidRPr="006F17E5">
              <w:rPr>
                <w:rFonts w:ascii="Times New Roman"/>
                <w:spacing w:val="-1"/>
                <w:sz w:val="18"/>
                <w:szCs w:val="18"/>
              </w:rPr>
              <w:t>Oberpfalz</w:t>
            </w:r>
            <w:r w:rsidRPr="006F17E5">
              <w:rPr>
                <w:rFonts w:ascii="Times New Roman"/>
                <w:spacing w:val="-11"/>
                <w:sz w:val="18"/>
                <w:szCs w:val="18"/>
              </w:rPr>
              <w:t xml:space="preserve"> </w:t>
            </w:r>
            <w:r w:rsidRPr="006F17E5">
              <w:rPr>
                <w:rFonts w:ascii="Times New Roman"/>
                <w:spacing w:val="-1"/>
                <w:sz w:val="18"/>
                <w:szCs w:val="18"/>
              </w:rPr>
              <w:t>(Weiden)</w:t>
            </w:r>
          </w:p>
        </w:tc>
        <w:tc>
          <w:tcPr>
            <w:tcW w:w="1267" w:type="dxa"/>
          </w:tcPr>
          <w:p w:rsidR="006F17E5" w:rsidRPr="006F17E5" w:rsidRDefault="006F17E5" w:rsidP="006F17E5">
            <w:pPr>
              <w:pStyle w:val="TableParagraph"/>
              <w:spacing w:before="55"/>
              <w:ind w:left="140"/>
              <w:rPr>
                <w:rFonts w:ascii="Times New Roman" w:eastAsia="Times New Roman" w:hAnsi="Times New Roman" w:cs="Times New Roman"/>
                <w:sz w:val="18"/>
                <w:szCs w:val="18"/>
              </w:rPr>
            </w:pPr>
            <w:r w:rsidRPr="006F17E5">
              <w:rPr>
                <w:rFonts w:ascii="Times New Roman"/>
                <w:spacing w:val="-1"/>
                <w:sz w:val="18"/>
                <w:szCs w:val="18"/>
              </w:rPr>
              <w:t>ca.</w:t>
            </w:r>
            <w:r>
              <w:rPr>
                <w:rFonts w:ascii="Times New Roman"/>
                <w:spacing w:val="-1"/>
                <w:sz w:val="18"/>
                <w:szCs w:val="18"/>
              </w:rPr>
              <w:t xml:space="preserve"> </w:t>
            </w:r>
            <w:r w:rsidRPr="006F17E5">
              <w:rPr>
                <w:rFonts w:ascii="Times New Roman"/>
                <w:sz w:val="18"/>
                <w:szCs w:val="18"/>
              </w:rPr>
              <w:t>20 TN</w:t>
            </w:r>
          </w:p>
        </w:tc>
      </w:tr>
    </w:tbl>
    <w:tbl>
      <w:tblPr>
        <w:tblStyle w:val="TableNormal1"/>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3429"/>
        <w:gridCol w:w="1292"/>
      </w:tblGrid>
      <w:tr w:rsidR="006F17E5" w:rsidRPr="006F17E5" w:rsidTr="006F17E5">
        <w:trPr>
          <w:trHeight w:hRule="exact" w:val="426"/>
        </w:trPr>
        <w:tc>
          <w:tcPr>
            <w:tcW w:w="1537" w:type="dxa"/>
          </w:tcPr>
          <w:p w:rsidR="006F17E5" w:rsidRPr="006F17E5" w:rsidRDefault="006F17E5" w:rsidP="001132BE">
            <w:pPr>
              <w:pStyle w:val="TableParagraph"/>
              <w:spacing w:before="69"/>
              <w:ind w:left="55"/>
              <w:rPr>
                <w:rFonts w:ascii="Times New Roman" w:eastAsia="Times New Roman" w:hAnsi="Times New Roman" w:cs="Times New Roman"/>
                <w:sz w:val="18"/>
                <w:szCs w:val="18"/>
              </w:rPr>
            </w:pPr>
            <w:r w:rsidRPr="006F17E5">
              <w:rPr>
                <w:rFonts w:ascii="Times New Roman"/>
                <w:sz w:val="18"/>
                <w:szCs w:val="18"/>
              </w:rPr>
              <w:t>09.02.</w:t>
            </w:r>
            <w:r>
              <w:rPr>
                <w:rFonts w:ascii="Times New Roman"/>
                <w:sz w:val="18"/>
                <w:szCs w:val="18"/>
              </w:rPr>
              <w:t>20</w:t>
            </w:r>
            <w:r w:rsidRPr="006F17E5">
              <w:rPr>
                <w:rFonts w:ascii="Times New Roman"/>
                <w:sz w:val="18"/>
                <w:szCs w:val="18"/>
              </w:rPr>
              <w:t>17</w:t>
            </w:r>
          </w:p>
        </w:tc>
        <w:tc>
          <w:tcPr>
            <w:tcW w:w="3429" w:type="dxa"/>
          </w:tcPr>
          <w:p w:rsidR="006F17E5" w:rsidRPr="006F17E5" w:rsidRDefault="006F17E5" w:rsidP="001132BE">
            <w:pPr>
              <w:pStyle w:val="TableParagraph"/>
              <w:spacing w:before="69"/>
              <w:ind w:left="641"/>
              <w:rPr>
                <w:rFonts w:ascii="Times New Roman" w:eastAsia="Times New Roman" w:hAnsi="Times New Roman" w:cs="Times New Roman"/>
                <w:sz w:val="18"/>
                <w:szCs w:val="18"/>
              </w:rPr>
            </w:pPr>
            <w:r w:rsidRPr="006F17E5">
              <w:rPr>
                <w:rFonts w:ascii="Times New Roman"/>
                <w:spacing w:val="-1"/>
                <w:sz w:val="18"/>
                <w:szCs w:val="18"/>
              </w:rPr>
              <w:t>Oberpfalz</w:t>
            </w:r>
          </w:p>
        </w:tc>
        <w:tc>
          <w:tcPr>
            <w:tcW w:w="1292" w:type="dxa"/>
          </w:tcPr>
          <w:p w:rsidR="006F17E5" w:rsidRPr="006F17E5" w:rsidRDefault="006F17E5" w:rsidP="001132BE">
            <w:pPr>
              <w:pStyle w:val="TableParagraph"/>
              <w:spacing w:before="69"/>
              <w:ind w:left="194"/>
              <w:rPr>
                <w:rFonts w:ascii="Times New Roman" w:eastAsia="Times New Roman" w:hAnsi="Times New Roman" w:cs="Times New Roman"/>
                <w:sz w:val="18"/>
                <w:szCs w:val="18"/>
              </w:rPr>
            </w:pPr>
            <w:r w:rsidRPr="006F17E5">
              <w:rPr>
                <w:rFonts w:ascii="Times New Roman"/>
                <w:spacing w:val="-1"/>
                <w:sz w:val="18"/>
                <w:szCs w:val="18"/>
              </w:rPr>
              <w:t>ca.</w:t>
            </w:r>
            <w:r w:rsidRPr="006F17E5">
              <w:rPr>
                <w:rFonts w:ascii="Times New Roman"/>
                <w:sz w:val="18"/>
                <w:szCs w:val="18"/>
              </w:rPr>
              <w:t xml:space="preserve"> 20</w:t>
            </w:r>
            <w:r w:rsidRPr="006F17E5">
              <w:rPr>
                <w:rFonts w:ascii="Times New Roman"/>
                <w:spacing w:val="-1"/>
                <w:sz w:val="18"/>
                <w:szCs w:val="18"/>
              </w:rPr>
              <w:t xml:space="preserve"> </w:t>
            </w:r>
            <w:r w:rsidRPr="006F17E5">
              <w:rPr>
                <w:rFonts w:ascii="Times New Roman"/>
                <w:sz w:val="18"/>
                <w:szCs w:val="18"/>
              </w:rPr>
              <w:t>TN</w:t>
            </w:r>
          </w:p>
        </w:tc>
      </w:tr>
      <w:tr w:rsidR="006F17E5" w:rsidRPr="006F17E5" w:rsidTr="006F17E5">
        <w:trPr>
          <w:trHeight w:hRule="exact" w:val="414"/>
        </w:trPr>
        <w:tc>
          <w:tcPr>
            <w:tcW w:w="1537" w:type="dxa"/>
          </w:tcPr>
          <w:p w:rsidR="006F17E5" w:rsidRPr="006F17E5" w:rsidRDefault="006F17E5" w:rsidP="001132BE">
            <w:pPr>
              <w:pStyle w:val="TableParagraph"/>
              <w:spacing w:before="55"/>
              <w:ind w:left="55"/>
              <w:rPr>
                <w:rFonts w:ascii="Times New Roman" w:eastAsia="Times New Roman" w:hAnsi="Times New Roman" w:cs="Times New Roman"/>
                <w:sz w:val="18"/>
                <w:szCs w:val="18"/>
              </w:rPr>
            </w:pPr>
            <w:r w:rsidRPr="006F17E5">
              <w:rPr>
                <w:rFonts w:ascii="Times New Roman"/>
                <w:sz w:val="18"/>
                <w:szCs w:val="18"/>
              </w:rPr>
              <w:t>20.02.</w:t>
            </w:r>
            <w:r>
              <w:rPr>
                <w:rFonts w:ascii="Times New Roman"/>
                <w:sz w:val="18"/>
                <w:szCs w:val="18"/>
              </w:rPr>
              <w:t>20</w:t>
            </w:r>
            <w:r w:rsidRPr="006F17E5">
              <w:rPr>
                <w:rFonts w:ascii="Times New Roman"/>
                <w:sz w:val="18"/>
                <w:szCs w:val="18"/>
              </w:rPr>
              <w:t>17</w:t>
            </w:r>
          </w:p>
        </w:tc>
        <w:tc>
          <w:tcPr>
            <w:tcW w:w="3429" w:type="dxa"/>
          </w:tcPr>
          <w:p w:rsidR="006F17E5" w:rsidRPr="006F17E5" w:rsidRDefault="006F17E5" w:rsidP="001132BE">
            <w:pPr>
              <w:pStyle w:val="TableParagraph"/>
              <w:spacing w:before="55"/>
              <w:ind w:left="641"/>
              <w:rPr>
                <w:rFonts w:ascii="Times New Roman" w:eastAsia="Times New Roman" w:hAnsi="Times New Roman" w:cs="Times New Roman"/>
                <w:sz w:val="18"/>
                <w:szCs w:val="18"/>
              </w:rPr>
            </w:pPr>
            <w:r w:rsidRPr="006F17E5">
              <w:rPr>
                <w:rFonts w:ascii="Times New Roman"/>
                <w:spacing w:val="-1"/>
                <w:sz w:val="18"/>
                <w:szCs w:val="18"/>
              </w:rPr>
              <w:t>Oberbayern</w:t>
            </w:r>
            <w:r w:rsidRPr="006F17E5">
              <w:rPr>
                <w:rFonts w:ascii="Times New Roman"/>
                <w:spacing w:val="-7"/>
                <w:sz w:val="18"/>
                <w:szCs w:val="18"/>
              </w:rPr>
              <w:t xml:space="preserve"> </w:t>
            </w:r>
            <w:r w:rsidRPr="006F17E5">
              <w:rPr>
                <w:rFonts w:ascii="Times New Roman"/>
                <w:spacing w:val="-1"/>
                <w:sz w:val="18"/>
                <w:szCs w:val="18"/>
              </w:rPr>
              <w:t>(Landsberg)</w:t>
            </w:r>
          </w:p>
        </w:tc>
        <w:tc>
          <w:tcPr>
            <w:tcW w:w="1292" w:type="dxa"/>
          </w:tcPr>
          <w:p w:rsidR="006F17E5" w:rsidRPr="006F17E5" w:rsidRDefault="006F17E5" w:rsidP="001132BE">
            <w:pPr>
              <w:pStyle w:val="TableParagraph"/>
              <w:spacing w:before="55"/>
              <w:ind w:left="194"/>
              <w:rPr>
                <w:rFonts w:ascii="Times New Roman" w:eastAsia="Times New Roman" w:hAnsi="Times New Roman" w:cs="Times New Roman"/>
                <w:sz w:val="18"/>
                <w:szCs w:val="18"/>
              </w:rPr>
            </w:pPr>
            <w:r w:rsidRPr="006F17E5">
              <w:rPr>
                <w:rFonts w:ascii="Times New Roman"/>
                <w:spacing w:val="-1"/>
                <w:sz w:val="18"/>
                <w:szCs w:val="18"/>
              </w:rPr>
              <w:t>ca.</w:t>
            </w:r>
            <w:r w:rsidRPr="006F17E5">
              <w:rPr>
                <w:rFonts w:ascii="Times New Roman"/>
                <w:sz w:val="18"/>
                <w:szCs w:val="18"/>
              </w:rPr>
              <w:t xml:space="preserve"> 40</w:t>
            </w:r>
            <w:r w:rsidRPr="006F17E5">
              <w:rPr>
                <w:rFonts w:ascii="Times New Roman"/>
                <w:spacing w:val="-1"/>
                <w:sz w:val="18"/>
                <w:szCs w:val="18"/>
              </w:rPr>
              <w:t xml:space="preserve"> </w:t>
            </w:r>
            <w:r w:rsidRPr="006F17E5">
              <w:rPr>
                <w:rFonts w:ascii="Times New Roman"/>
                <w:sz w:val="18"/>
                <w:szCs w:val="18"/>
              </w:rPr>
              <w:t>TN</w:t>
            </w:r>
          </w:p>
        </w:tc>
      </w:tr>
      <w:tr w:rsidR="006F17E5" w:rsidRPr="006F17E5" w:rsidTr="006F17E5">
        <w:trPr>
          <w:trHeight w:hRule="exact" w:val="414"/>
        </w:trPr>
        <w:tc>
          <w:tcPr>
            <w:tcW w:w="1537" w:type="dxa"/>
          </w:tcPr>
          <w:p w:rsidR="006F17E5" w:rsidRPr="006F17E5" w:rsidRDefault="006F17E5" w:rsidP="001132BE">
            <w:pPr>
              <w:pStyle w:val="TableParagraph"/>
              <w:spacing w:before="57"/>
              <w:ind w:left="55"/>
              <w:rPr>
                <w:rFonts w:ascii="Times New Roman" w:eastAsia="Times New Roman" w:hAnsi="Times New Roman" w:cs="Times New Roman"/>
                <w:sz w:val="18"/>
                <w:szCs w:val="18"/>
              </w:rPr>
            </w:pPr>
            <w:r w:rsidRPr="006F17E5">
              <w:rPr>
                <w:rFonts w:ascii="Times New Roman"/>
                <w:sz w:val="18"/>
                <w:szCs w:val="18"/>
              </w:rPr>
              <w:t>23.02.</w:t>
            </w:r>
            <w:r>
              <w:rPr>
                <w:rFonts w:ascii="Times New Roman"/>
                <w:sz w:val="18"/>
                <w:szCs w:val="18"/>
              </w:rPr>
              <w:t>20</w:t>
            </w:r>
            <w:r w:rsidRPr="006F17E5">
              <w:rPr>
                <w:rFonts w:ascii="Times New Roman"/>
                <w:sz w:val="18"/>
                <w:szCs w:val="18"/>
              </w:rPr>
              <w:t>17</w:t>
            </w:r>
          </w:p>
        </w:tc>
        <w:tc>
          <w:tcPr>
            <w:tcW w:w="3429" w:type="dxa"/>
          </w:tcPr>
          <w:p w:rsidR="006F17E5" w:rsidRPr="006F17E5" w:rsidRDefault="006F17E5" w:rsidP="001132BE">
            <w:pPr>
              <w:pStyle w:val="TableParagraph"/>
              <w:spacing w:before="57"/>
              <w:ind w:left="641"/>
              <w:rPr>
                <w:rFonts w:ascii="Times New Roman" w:eastAsia="Times New Roman" w:hAnsi="Times New Roman" w:cs="Times New Roman"/>
                <w:sz w:val="18"/>
                <w:szCs w:val="18"/>
              </w:rPr>
            </w:pPr>
            <w:r w:rsidRPr="006F17E5">
              <w:rPr>
                <w:rFonts w:ascii="Times New Roman"/>
                <w:spacing w:val="-1"/>
                <w:sz w:val="18"/>
                <w:szCs w:val="18"/>
              </w:rPr>
              <w:t>Niederbayern</w:t>
            </w:r>
            <w:r w:rsidRPr="006F17E5">
              <w:rPr>
                <w:rFonts w:ascii="Times New Roman"/>
                <w:spacing w:val="-10"/>
                <w:sz w:val="18"/>
                <w:szCs w:val="18"/>
              </w:rPr>
              <w:t xml:space="preserve"> </w:t>
            </w:r>
            <w:r w:rsidRPr="006F17E5">
              <w:rPr>
                <w:rFonts w:ascii="Times New Roman"/>
                <w:spacing w:val="-1"/>
                <w:sz w:val="18"/>
                <w:szCs w:val="18"/>
              </w:rPr>
              <w:t>(Abensberg)</w:t>
            </w:r>
          </w:p>
        </w:tc>
        <w:tc>
          <w:tcPr>
            <w:tcW w:w="1292" w:type="dxa"/>
          </w:tcPr>
          <w:p w:rsidR="006F17E5" w:rsidRPr="006F17E5" w:rsidRDefault="006F17E5" w:rsidP="001132BE">
            <w:pPr>
              <w:pStyle w:val="TableParagraph"/>
              <w:spacing w:before="57"/>
              <w:ind w:left="194"/>
              <w:rPr>
                <w:rFonts w:ascii="Times New Roman" w:eastAsia="Times New Roman" w:hAnsi="Times New Roman" w:cs="Times New Roman"/>
                <w:sz w:val="18"/>
                <w:szCs w:val="18"/>
              </w:rPr>
            </w:pPr>
            <w:r w:rsidRPr="006F17E5">
              <w:rPr>
                <w:rFonts w:ascii="Times New Roman"/>
                <w:spacing w:val="-1"/>
                <w:sz w:val="18"/>
                <w:szCs w:val="18"/>
              </w:rPr>
              <w:t>ca.</w:t>
            </w:r>
            <w:r w:rsidRPr="006F17E5">
              <w:rPr>
                <w:rFonts w:ascii="Times New Roman"/>
                <w:spacing w:val="-2"/>
                <w:sz w:val="18"/>
                <w:szCs w:val="18"/>
              </w:rPr>
              <w:t xml:space="preserve"> </w:t>
            </w:r>
            <w:r w:rsidRPr="006F17E5">
              <w:rPr>
                <w:rFonts w:ascii="Times New Roman"/>
                <w:sz w:val="18"/>
                <w:szCs w:val="18"/>
              </w:rPr>
              <w:t>100</w:t>
            </w:r>
            <w:r w:rsidRPr="006F17E5">
              <w:rPr>
                <w:rFonts w:ascii="Times New Roman"/>
                <w:spacing w:val="-1"/>
                <w:sz w:val="18"/>
                <w:szCs w:val="18"/>
              </w:rPr>
              <w:t xml:space="preserve"> </w:t>
            </w:r>
            <w:r w:rsidRPr="006F17E5">
              <w:rPr>
                <w:rFonts w:ascii="Times New Roman"/>
                <w:sz w:val="18"/>
                <w:szCs w:val="18"/>
              </w:rPr>
              <w:t>TN</w:t>
            </w:r>
          </w:p>
        </w:tc>
      </w:tr>
      <w:tr w:rsidR="006F17E5" w:rsidRPr="006F17E5" w:rsidTr="006F17E5">
        <w:trPr>
          <w:trHeight w:hRule="exact" w:val="414"/>
        </w:trPr>
        <w:tc>
          <w:tcPr>
            <w:tcW w:w="1537" w:type="dxa"/>
          </w:tcPr>
          <w:p w:rsidR="006F17E5" w:rsidRPr="006F17E5" w:rsidRDefault="006F17E5" w:rsidP="001132BE">
            <w:pPr>
              <w:pStyle w:val="TableParagraph"/>
              <w:spacing w:before="55"/>
              <w:ind w:left="55"/>
              <w:rPr>
                <w:rFonts w:ascii="Times New Roman" w:eastAsia="Times New Roman" w:hAnsi="Times New Roman" w:cs="Times New Roman"/>
                <w:sz w:val="18"/>
                <w:szCs w:val="18"/>
              </w:rPr>
            </w:pPr>
            <w:r w:rsidRPr="006F17E5">
              <w:rPr>
                <w:rFonts w:ascii="Times New Roman"/>
                <w:sz w:val="18"/>
                <w:szCs w:val="18"/>
              </w:rPr>
              <w:t>02.03.</w:t>
            </w:r>
            <w:r>
              <w:rPr>
                <w:rFonts w:ascii="Times New Roman"/>
                <w:sz w:val="18"/>
                <w:szCs w:val="18"/>
              </w:rPr>
              <w:t>20</w:t>
            </w:r>
            <w:r w:rsidRPr="006F17E5">
              <w:rPr>
                <w:rFonts w:ascii="Times New Roman"/>
                <w:sz w:val="18"/>
                <w:szCs w:val="18"/>
              </w:rPr>
              <w:t>17</w:t>
            </w:r>
          </w:p>
        </w:tc>
        <w:tc>
          <w:tcPr>
            <w:tcW w:w="3429" w:type="dxa"/>
          </w:tcPr>
          <w:p w:rsidR="006F17E5" w:rsidRPr="006F17E5" w:rsidRDefault="006F17E5" w:rsidP="001132BE">
            <w:pPr>
              <w:pStyle w:val="TableParagraph"/>
              <w:spacing w:before="55"/>
              <w:ind w:left="641"/>
              <w:rPr>
                <w:rFonts w:ascii="Times New Roman" w:eastAsia="Times New Roman" w:hAnsi="Times New Roman" w:cs="Times New Roman"/>
                <w:sz w:val="18"/>
                <w:szCs w:val="18"/>
              </w:rPr>
            </w:pPr>
            <w:r w:rsidRPr="006F17E5">
              <w:rPr>
                <w:rFonts w:ascii="Times New Roman"/>
                <w:spacing w:val="-1"/>
                <w:sz w:val="18"/>
                <w:szCs w:val="18"/>
              </w:rPr>
              <w:t>Oberpfalz</w:t>
            </w:r>
            <w:r w:rsidRPr="006F17E5">
              <w:rPr>
                <w:rFonts w:ascii="Times New Roman"/>
                <w:spacing w:val="-11"/>
                <w:sz w:val="18"/>
                <w:szCs w:val="18"/>
              </w:rPr>
              <w:t xml:space="preserve"> </w:t>
            </w:r>
            <w:r w:rsidRPr="006F17E5">
              <w:rPr>
                <w:rFonts w:ascii="Times New Roman"/>
                <w:spacing w:val="-1"/>
                <w:sz w:val="18"/>
                <w:szCs w:val="18"/>
              </w:rPr>
              <w:t>(Weiden)</w:t>
            </w:r>
          </w:p>
        </w:tc>
        <w:tc>
          <w:tcPr>
            <w:tcW w:w="1292" w:type="dxa"/>
          </w:tcPr>
          <w:p w:rsidR="006F17E5" w:rsidRPr="006F17E5" w:rsidRDefault="006F17E5" w:rsidP="001132BE">
            <w:pPr>
              <w:pStyle w:val="TableParagraph"/>
              <w:spacing w:before="55"/>
              <w:ind w:left="194"/>
              <w:rPr>
                <w:rFonts w:ascii="Times New Roman" w:eastAsia="Times New Roman" w:hAnsi="Times New Roman" w:cs="Times New Roman"/>
                <w:sz w:val="18"/>
                <w:szCs w:val="18"/>
              </w:rPr>
            </w:pPr>
            <w:r w:rsidRPr="006F17E5">
              <w:rPr>
                <w:rFonts w:ascii="Times New Roman"/>
                <w:spacing w:val="-1"/>
                <w:sz w:val="18"/>
                <w:szCs w:val="18"/>
              </w:rPr>
              <w:t>ca.</w:t>
            </w:r>
            <w:r w:rsidRPr="006F17E5">
              <w:rPr>
                <w:rFonts w:ascii="Times New Roman"/>
                <w:sz w:val="18"/>
                <w:szCs w:val="18"/>
              </w:rPr>
              <w:t xml:space="preserve"> 20</w:t>
            </w:r>
            <w:r w:rsidRPr="006F17E5">
              <w:rPr>
                <w:rFonts w:ascii="Times New Roman"/>
                <w:spacing w:val="-1"/>
                <w:sz w:val="18"/>
                <w:szCs w:val="18"/>
              </w:rPr>
              <w:t xml:space="preserve"> </w:t>
            </w:r>
            <w:r w:rsidRPr="006F17E5">
              <w:rPr>
                <w:rFonts w:ascii="Times New Roman"/>
                <w:sz w:val="18"/>
                <w:szCs w:val="18"/>
              </w:rPr>
              <w:t>TN</w:t>
            </w:r>
          </w:p>
        </w:tc>
      </w:tr>
      <w:tr w:rsidR="006F17E5" w:rsidRPr="006F17E5" w:rsidTr="006F17E5">
        <w:trPr>
          <w:trHeight w:hRule="exact" w:val="414"/>
        </w:trPr>
        <w:tc>
          <w:tcPr>
            <w:tcW w:w="1537" w:type="dxa"/>
          </w:tcPr>
          <w:p w:rsidR="006F17E5" w:rsidRPr="006F17E5" w:rsidRDefault="006F17E5" w:rsidP="001132BE">
            <w:pPr>
              <w:pStyle w:val="TableParagraph"/>
              <w:spacing w:before="56"/>
              <w:ind w:left="55"/>
              <w:rPr>
                <w:rFonts w:ascii="Times New Roman" w:eastAsia="Times New Roman" w:hAnsi="Times New Roman" w:cs="Times New Roman"/>
                <w:sz w:val="18"/>
                <w:szCs w:val="18"/>
              </w:rPr>
            </w:pPr>
            <w:r w:rsidRPr="006F17E5">
              <w:rPr>
                <w:rFonts w:ascii="Times New Roman"/>
                <w:sz w:val="18"/>
                <w:szCs w:val="18"/>
              </w:rPr>
              <w:t>08.03.</w:t>
            </w:r>
            <w:r>
              <w:rPr>
                <w:rFonts w:ascii="Times New Roman"/>
                <w:sz w:val="18"/>
                <w:szCs w:val="18"/>
              </w:rPr>
              <w:t>20</w:t>
            </w:r>
            <w:r w:rsidRPr="006F17E5">
              <w:rPr>
                <w:rFonts w:ascii="Times New Roman"/>
                <w:sz w:val="18"/>
                <w:szCs w:val="18"/>
              </w:rPr>
              <w:t>17</w:t>
            </w:r>
          </w:p>
        </w:tc>
        <w:tc>
          <w:tcPr>
            <w:tcW w:w="3429" w:type="dxa"/>
          </w:tcPr>
          <w:p w:rsidR="006F17E5" w:rsidRPr="006F17E5" w:rsidRDefault="006F17E5" w:rsidP="001132BE">
            <w:pPr>
              <w:pStyle w:val="TableParagraph"/>
              <w:spacing w:before="56"/>
              <w:ind w:left="641"/>
              <w:rPr>
                <w:rFonts w:ascii="Times New Roman" w:eastAsia="Times New Roman" w:hAnsi="Times New Roman" w:cs="Times New Roman"/>
                <w:sz w:val="18"/>
                <w:szCs w:val="18"/>
              </w:rPr>
            </w:pPr>
            <w:r w:rsidRPr="006F17E5">
              <w:rPr>
                <w:rFonts w:ascii="Times New Roman"/>
                <w:spacing w:val="-1"/>
                <w:sz w:val="18"/>
                <w:szCs w:val="18"/>
              </w:rPr>
              <w:t>Mittelfranken</w:t>
            </w:r>
            <w:r w:rsidRPr="006F17E5">
              <w:rPr>
                <w:rFonts w:ascii="Times New Roman"/>
                <w:spacing w:val="-18"/>
                <w:sz w:val="18"/>
                <w:szCs w:val="18"/>
              </w:rPr>
              <w:t xml:space="preserve"> </w:t>
            </w:r>
            <w:r w:rsidRPr="006F17E5">
              <w:rPr>
                <w:rFonts w:ascii="Times New Roman"/>
                <w:spacing w:val="-1"/>
                <w:sz w:val="18"/>
                <w:szCs w:val="18"/>
              </w:rPr>
              <w:t>(Erlangen)</w:t>
            </w:r>
          </w:p>
        </w:tc>
        <w:tc>
          <w:tcPr>
            <w:tcW w:w="1292" w:type="dxa"/>
          </w:tcPr>
          <w:p w:rsidR="006F17E5" w:rsidRPr="006F17E5" w:rsidRDefault="006F17E5" w:rsidP="001132BE">
            <w:pPr>
              <w:pStyle w:val="TableParagraph"/>
              <w:spacing w:before="56"/>
              <w:ind w:left="194"/>
              <w:rPr>
                <w:rFonts w:ascii="Times New Roman" w:eastAsia="Times New Roman" w:hAnsi="Times New Roman" w:cs="Times New Roman"/>
                <w:sz w:val="18"/>
                <w:szCs w:val="18"/>
              </w:rPr>
            </w:pPr>
            <w:r w:rsidRPr="006F17E5">
              <w:rPr>
                <w:rFonts w:ascii="Times New Roman"/>
                <w:spacing w:val="-1"/>
                <w:sz w:val="18"/>
                <w:szCs w:val="18"/>
              </w:rPr>
              <w:t>ca.</w:t>
            </w:r>
            <w:r w:rsidRPr="006F17E5">
              <w:rPr>
                <w:rFonts w:ascii="Times New Roman"/>
                <w:sz w:val="18"/>
                <w:szCs w:val="18"/>
              </w:rPr>
              <w:t xml:space="preserve"> 40</w:t>
            </w:r>
            <w:r w:rsidRPr="006F17E5">
              <w:rPr>
                <w:rFonts w:ascii="Times New Roman"/>
                <w:spacing w:val="-1"/>
                <w:sz w:val="18"/>
                <w:szCs w:val="18"/>
              </w:rPr>
              <w:t xml:space="preserve"> </w:t>
            </w:r>
            <w:r w:rsidRPr="006F17E5">
              <w:rPr>
                <w:rFonts w:ascii="Times New Roman"/>
                <w:sz w:val="18"/>
                <w:szCs w:val="18"/>
              </w:rPr>
              <w:t>TN</w:t>
            </w:r>
          </w:p>
        </w:tc>
      </w:tr>
      <w:tr w:rsidR="006F17E5" w:rsidRPr="006F17E5" w:rsidTr="006F17E5">
        <w:trPr>
          <w:trHeight w:hRule="exact" w:val="426"/>
        </w:trPr>
        <w:tc>
          <w:tcPr>
            <w:tcW w:w="1537" w:type="dxa"/>
          </w:tcPr>
          <w:p w:rsidR="006F17E5" w:rsidRPr="006F17E5" w:rsidRDefault="006F17E5" w:rsidP="001132BE">
            <w:pPr>
              <w:pStyle w:val="TableParagraph"/>
              <w:spacing w:before="55"/>
              <w:ind w:left="55"/>
              <w:rPr>
                <w:rFonts w:ascii="Times New Roman" w:eastAsia="Times New Roman" w:hAnsi="Times New Roman" w:cs="Times New Roman"/>
                <w:sz w:val="18"/>
                <w:szCs w:val="18"/>
              </w:rPr>
            </w:pPr>
            <w:r w:rsidRPr="006F17E5">
              <w:rPr>
                <w:rFonts w:ascii="Times New Roman"/>
                <w:sz w:val="18"/>
                <w:szCs w:val="18"/>
              </w:rPr>
              <w:t>09.03.</w:t>
            </w:r>
            <w:r>
              <w:rPr>
                <w:rFonts w:ascii="Times New Roman"/>
                <w:sz w:val="18"/>
                <w:szCs w:val="18"/>
              </w:rPr>
              <w:t>20</w:t>
            </w:r>
            <w:r w:rsidRPr="006F17E5">
              <w:rPr>
                <w:rFonts w:ascii="Times New Roman"/>
                <w:sz w:val="18"/>
                <w:szCs w:val="18"/>
              </w:rPr>
              <w:t>17</w:t>
            </w:r>
          </w:p>
        </w:tc>
        <w:tc>
          <w:tcPr>
            <w:tcW w:w="3429" w:type="dxa"/>
          </w:tcPr>
          <w:p w:rsidR="006F17E5" w:rsidRPr="006F17E5" w:rsidRDefault="006F17E5" w:rsidP="001132BE">
            <w:pPr>
              <w:pStyle w:val="TableParagraph"/>
              <w:spacing w:before="55"/>
              <w:ind w:left="641"/>
              <w:rPr>
                <w:rFonts w:ascii="Times New Roman" w:eastAsia="Times New Roman" w:hAnsi="Times New Roman" w:cs="Times New Roman"/>
                <w:sz w:val="18"/>
                <w:szCs w:val="18"/>
              </w:rPr>
            </w:pPr>
            <w:r w:rsidRPr="006F17E5">
              <w:rPr>
                <w:rFonts w:ascii="Times New Roman"/>
                <w:spacing w:val="-1"/>
                <w:sz w:val="18"/>
                <w:szCs w:val="18"/>
              </w:rPr>
              <w:t>Oberfranken</w:t>
            </w:r>
            <w:r w:rsidRPr="006F17E5">
              <w:rPr>
                <w:rFonts w:ascii="Times New Roman"/>
                <w:spacing w:val="-11"/>
                <w:sz w:val="18"/>
                <w:szCs w:val="18"/>
              </w:rPr>
              <w:t xml:space="preserve"> </w:t>
            </w:r>
            <w:r w:rsidRPr="006F17E5">
              <w:rPr>
                <w:rFonts w:ascii="Times New Roman"/>
                <w:spacing w:val="-1"/>
                <w:sz w:val="18"/>
                <w:szCs w:val="18"/>
              </w:rPr>
              <w:t>(Kulmbach)</w:t>
            </w:r>
          </w:p>
        </w:tc>
        <w:tc>
          <w:tcPr>
            <w:tcW w:w="1292" w:type="dxa"/>
          </w:tcPr>
          <w:p w:rsidR="006F17E5" w:rsidRPr="006F17E5" w:rsidRDefault="006F17E5" w:rsidP="001132BE">
            <w:pPr>
              <w:pStyle w:val="TableParagraph"/>
              <w:spacing w:before="55"/>
              <w:ind w:left="194"/>
              <w:rPr>
                <w:rFonts w:ascii="Times New Roman" w:eastAsia="Times New Roman" w:hAnsi="Times New Roman" w:cs="Times New Roman"/>
                <w:sz w:val="18"/>
                <w:szCs w:val="18"/>
              </w:rPr>
            </w:pPr>
            <w:r w:rsidRPr="006F17E5">
              <w:rPr>
                <w:rFonts w:ascii="Times New Roman"/>
                <w:spacing w:val="-1"/>
                <w:sz w:val="18"/>
                <w:szCs w:val="18"/>
              </w:rPr>
              <w:t>ca.</w:t>
            </w:r>
            <w:r w:rsidRPr="006F17E5">
              <w:rPr>
                <w:rFonts w:ascii="Times New Roman"/>
                <w:sz w:val="18"/>
                <w:szCs w:val="18"/>
              </w:rPr>
              <w:t xml:space="preserve"> 20</w:t>
            </w:r>
            <w:r w:rsidRPr="006F17E5">
              <w:rPr>
                <w:rFonts w:ascii="Times New Roman"/>
                <w:spacing w:val="-1"/>
                <w:sz w:val="18"/>
                <w:szCs w:val="18"/>
              </w:rPr>
              <w:t xml:space="preserve"> </w:t>
            </w:r>
            <w:r w:rsidRPr="006F17E5">
              <w:rPr>
                <w:rFonts w:ascii="Times New Roman"/>
                <w:sz w:val="18"/>
                <w:szCs w:val="18"/>
              </w:rPr>
              <w:t>TN</w:t>
            </w:r>
          </w:p>
        </w:tc>
      </w:tr>
    </w:tbl>
    <w:p w:rsidR="00E330FE" w:rsidRDefault="00E330FE" w:rsidP="00E330FE">
      <w:pPr>
        <w:pStyle w:val="LTAntwortRessortText"/>
      </w:pPr>
      <w:r>
        <w:t>Im Gegensatz zum BayLfV ist die ziv</w:t>
      </w:r>
      <w:r w:rsidR="006F17E5">
        <w:t>ilgesellschaftliche Fachstelle U</w:t>
      </w:r>
      <w:r>
        <w:t>fuq.de vorwiegend im Bereich der sogenannten Allgemeinen Prävention tätig und bietet Unterstützung und Hilfe für die pädagog</w:t>
      </w:r>
      <w:r>
        <w:t>i</w:t>
      </w:r>
      <w:r>
        <w:t>sche Praxis. Ufuq.de informiert und berät Einrichtungen der Bildungs- und Jugendarbeit, aber auch kommunale Verwaltungen und zivilgesellschaftliche Akteure in der Prävention von religiös begrü</w:t>
      </w:r>
      <w:r>
        <w:t>n</w:t>
      </w:r>
      <w:r>
        <w:t>deten Radikalisierungen und im Umgang</w:t>
      </w:r>
      <w:r w:rsidR="006F17E5">
        <w:t xml:space="preserve"> mit demokratie- und freiheits</w:t>
      </w:r>
      <w:r>
        <w:t>feindlichen Einstellungen. Die Unterstützung der Fachkräfte erfolgt durch Fortbildungen, Vorträge und Beratungen zum pädagog</w:t>
      </w:r>
      <w:r>
        <w:t>i</w:t>
      </w:r>
      <w:r>
        <w:t>schen Umgang mit den Themenfeldern Islam, Islamfeindlichkeit und Islamismus. Im Bereich Sch</w:t>
      </w:r>
      <w:r>
        <w:t>u</w:t>
      </w:r>
      <w:r w:rsidR="00DF7A22">
        <w:t>len hat U</w:t>
      </w:r>
      <w:r>
        <w:t xml:space="preserve">fuq.de seit 2016 </w:t>
      </w:r>
      <w:r w:rsidR="006F17E5">
        <w:t xml:space="preserve"> </w:t>
      </w:r>
      <w:r>
        <w:t>25 Fortbildungsveranstaltungen für Lehrkräfte und 30 Beratungsgespr</w:t>
      </w:r>
      <w:r>
        <w:t>ä</w:t>
      </w:r>
      <w:r>
        <w:t>che mit Lehrern durch</w:t>
      </w:r>
      <w:r w:rsidR="006F17E5">
        <w:t>geführt. Darüber hinaus bietet U</w:t>
      </w:r>
      <w:r>
        <w:t>fuq.de Schulen wie auch außerschulischen Jugendeinrichtungen sogenannte Team</w:t>
      </w:r>
      <w:r w:rsidR="006F17E5">
        <w:t>er- Workshops an, in denen von U</w:t>
      </w:r>
      <w:r>
        <w:t>fuq.de qualifizierte J</w:t>
      </w:r>
      <w:r>
        <w:t>u</w:t>
      </w:r>
      <w:r>
        <w:t>gendliche mit anderen Jugendlichen zum Themenfeld arbeiten.</w:t>
      </w:r>
    </w:p>
    <w:p w:rsidR="00E330FE" w:rsidRDefault="00E330FE" w:rsidP="00E330FE">
      <w:pPr>
        <w:pStyle w:val="LTAntwortRessortText"/>
      </w:pPr>
      <w:r>
        <w:t xml:space="preserve">Darüber hinaus hat das </w:t>
      </w:r>
      <w:r w:rsidR="00793F8E">
        <w:t>„</w:t>
      </w:r>
      <w:r>
        <w:t>Bayerische Netzwerk für Prävention und Deradikalisierung gegen Salafi</w:t>
      </w:r>
      <w:r>
        <w:t>s</w:t>
      </w:r>
      <w:r>
        <w:t>mus</w:t>
      </w:r>
      <w:r w:rsidR="00793F8E">
        <w:t>“</w:t>
      </w:r>
      <w:r>
        <w:t xml:space="preserve"> in den Regierungsbezirken nachfolgende Informationsveranstaltungen gemeinsam durchg</w:t>
      </w:r>
      <w:r>
        <w:t>e</w:t>
      </w:r>
      <w:r>
        <w:t>führt, um möglichst flächendeckend über das Phänomen der Radikalisierung und die Hintergründe zu sensibilisieren.</w:t>
      </w:r>
    </w:p>
    <w:p w:rsidR="00E330FE" w:rsidRPr="0015184F" w:rsidRDefault="00E330FE" w:rsidP="00C006B0">
      <w:pPr>
        <w:pStyle w:val="TableParagraph"/>
        <w:spacing w:before="69"/>
        <w:ind w:left="55"/>
        <w:rPr>
          <w:rFonts w:ascii="Times New Roman"/>
          <w:sz w:val="18"/>
          <w:szCs w:val="18"/>
          <w:lang w:val="de-DE"/>
        </w:rPr>
      </w:pPr>
    </w:p>
    <w:tbl>
      <w:tblPr>
        <w:tblStyle w:val="Tabellenraster"/>
        <w:tblW w:w="4961" w:type="dxa"/>
        <w:tblInd w:w="534" w:type="dxa"/>
        <w:tblLook w:val="04A0" w:firstRow="1" w:lastRow="0" w:firstColumn="1" w:lastColumn="0" w:noHBand="0" w:noVBand="1"/>
      </w:tblPr>
      <w:tblGrid>
        <w:gridCol w:w="1559"/>
        <w:gridCol w:w="3402"/>
      </w:tblGrid>
      <w:tr w:rsidR="00C006B0" w:rsidRPr="00C006B0" w:rsidTr="00C006B0">
        <w:tc>
          <w:tcPr>
            <w:tcW w:w="1559" w:type="dxa"/>
          </w:tcPr>
          <w:p w:rsidR="00C006B0" w:rsidRPr="00C006B0" w:rsidRDefault="00C006B0" w:rsidP="001132BE">
            <w:pPr>
              <w:pStyle w:val="LTAntwortRessortText"/>
              <w:ind w:left="0"/>
              <w:rPr>
                <w:sz w:val="18"/>
                <w:szCs w:val="18"/>
              </w:rPr>
            </w:pPr>
            <w:r w:rsidRPr="00C006B0">
              <w:rPr>
                <w:sz w:val="18"/>
                <w:szCs w:val="18"/>
              </w:rPr>
              <w:t>13.09.2016</w:t>
            </w:r>
          </w:p>
        </w:tc>
        <w:tc>
          <w:tcPr>
            <w:tcW w:w="3402" w:type="dxa"/>
          </w:tcPr>
          <w:p w:rsidR="00C006B0" w:rsidRPr="00C006B0" w:rsidRDefault="00C006B0" w:rsidP="001132BE">
            <w:pPr>
              <w:pStyle w:val="LTAntwortRessortText"/>
              <w:ind w:left="0"/>
              <w:rPr>
                <w:sz w:val="18"/>
                <w:szCs w:val="18"/>
              </w:rPr>
            </w:pPr>
            <w:r w:rsidRPr="00C006B0">
              <w:rPr>
                <w:sz w:val="18"/>
                <w:szCs w:val="18"/>
              </w:rPr>
              <w:t>Unterfranken (Würzburg)</w:t>
            </w:r>
          </w:p>
        </w:tc>
      </w:tr>
      <w:tr w:rsidR="00C006B0" w:rsidRPr="00C006B0" w:rsidTr="00C006B0">
        <w:tc>
          <w:tcPr>
            <w:tcW w:w="1559" w:type="dxa"/>
          </w:tcPr>
          <w:p w:rsidR="00C006B0" w:rsidRPr="00C006B0" w:rsidRDefault="00C006B0" w:rsidP="001132BE">
            <w:pPr>
              <w:pStyle w:val="LTAntwortRessortText"/>
              <w:ind w:left="0"/>
              <w:rPr>
                <w:sz w:val="18"/>
                <w:szCs w:val="18"/>
              </w:rPr>
            </w:pPr>
            <w:r w:rsidRPr="00C006B0">
              <w:rPr>
                <w:sz w:val="18"/>
                <w:szCs w:val="18"/>
              </w:rPr>
              <w:t>15.09.2016</w:t>
            </w:r>
          </w:p>
        </w:tc>
        <w:tc>
          <w:tcPr>
            <w:tcW w:w="3402" w:type="dxa"/>
          </w:tcPr>
          <w:p w:rsidR="00C006B0" w:rsidRPr="00C006B0" w:rsidRDefault="00C006B0" w:rsidP="001132BE">
            <w:pPr>
              <w:pStyle w:val="LTAntwortRessortText"/>
              <w:ind w:left="0"/>
              <w:rPr>
                <w:sz w:val="18"/>
                <w:szCs w:val="18"/>
              </w:rPr>
            </w:pPr>
            <w:r w:rsidRPr="00C006B0">
              <w:rPr>
                <w:sz w:val="18"/>
                <w:szCs w:val="18"/>
              </w:rPr>
              <w:t>Mittelfranken (Nürnberg)</w:t>
            </w:r>
          </w:p>
        </w:tc>
      </w:tr>
      <w:tr w:rsidR="00C006B0" w:rsidRPr="00C006B0" w:rsidTr="00C006B0">
        <w:tc>
          <w:tcPr>
            <w:tcW w:w="1559" w:type="dxa"/>
          </w:tcPr>
          <w:p w:rsidR="00C006B0" w:rsidRPr="00C006B0" w:rsidRDefault="00C006B0" w:rsidP="001132BE">
            <w:pPr>
              <w:pStyle w:val="LTAntwortRessortText"/>
              <w:ind w:left="0"/>
              <w:rPr>
                <w:sz w:val="18"/>
                <w:szCs w:val="18"/>
              </w:rPr>
            </w:pPr>
            <w:r w:rsidRPr="00C006B0">
              <w:rPr>
                <w:sz w:val="18"/>
                <w:szCs w:val="18"/>
              </w:rPr>
              <w:t>24.10.2016</w:t>
            </w:r>
          </w:p>
        </w:tc>
        <w:tc>
          <w:tcPr>
            <w:tcW w:w="3402" w:type="dxa"/>
          </w:tcPr>
          <w:p w:rsidR="00C006B0" w:rsidRPr="00C006B0" w:rsidRDefault="00C006B0" w:rsidP="001132BE">
            <w:pPr>
              <w:pStyle w:val="LTAntwortRessortText"/>
              <w:ind w:left="0"/>
              <w:rPr>
                <w:sz w:val="18"/>
                <w:szCs w:val="18"/>
              </w:rPr>
            </w:pPr>
            <w:r w:rsidRPr="00C006B0">
              <w:rPr>
                <w:sz w:val="18"/>
                <w:szCs w:val="18"/>
              </w:rPr>
              <w:t>Oberbayern (München)</w:t>
            </w:r>
          </w:p>
        </w:tc>
      </w:tr>
      <w:tr w:rsidR="00C006B0" w:rsidRPr="00C006B0" w:rsidTr="00C006B0">
        <w:tc>
          <w:tcPr>
            <w:tcW w:w="1559" w:type="dxa"/>
          </w:tcPr>
          <w:p w:rsidR="00C006B0" w:rsidRPr="00C006B0" w:rsidRDefault="00C006B0" w:rsidP="001132BE">
            <w:pPr>
              <w:pStyle w:val="LTAntwortRessortText"/>
              <w:ind w:left="0"/>
              <w:rPr>
                <w:sz w:val="18"/>
                <w:szCs w:val="18"/>
              </w:rPr>
            </w:pPr>
            <w:r w:rsidRPr="00C006B0">
              <w:rPr>
                <w:sz w:val="18"/>
                <w:szCs w:val="18"/>
              </w:rPr>
              <w:t>25.10.2016</w:t>
            </w:r>
          </w:p>
        </w:tc>
        <w:tc>
          <w:tcPr>
            <w:tcW w:w="3402" w:type="dxa"/>
          </w:tcPr>
          <w:p w:rsidR="00C006B0" w:rsidRPr="00C006B0" w:rsidRDefault="00C006B0" w:rsidP="001132BE">
            <w:pPr>
              <w:pStyle w:val="LTAntwortRessortText"/>
              <w:ind w:left="0"/>
              <w:rPr>
                <w:sz w:val="18"/>
                <w:szCs w:val="18"/>
              </w:rPr>
            </w:pPr>
            <w:r w:rsidRPr="00C006B0">
              <w:rPr>
                <w:sz w:val="18"/>
                <w:szCs w:val="18"/>
              </w:rPr>
              <w:t>Oberfranken (Bayreuth)</w:t>
            </w:r>
          </w:p>
        </w:tc>
      </w:tr>
      <w:tr w:rsidR="00C006B0" w:rsidRPr="00C006B0" w:rsidTr="00C006B0">
        <w:tc>
          <w:tcPr>
            <w:tcW w:w="1559" w:type="dxa"/>
          </w:tcPr>
          <w:p w:rsidR="00C006B0" w:rsidRPr="00C006B0" w:rsidRDefault="00C006B0" w:rsidP="001132BE">
            <w:pPr>
              <w:pStyle w:val="LTAntwortRessortText"/>
              <w:ind w:left="0"/>
              <w:rPr>
                <w:sz w:val="18"/>
                <w:szCs w:val="18"/>
              </w:rPr>
            </w:pPr>
            <w:r w:rsidRPr="00C006B0">
              <w:rPr>
                <w:sz w:val="18"/>
                <w:szCs w:val="18"/>
              </w:rPr>
              <w:t>30.11.2016</w:t>
            </w:r>
          </w:p>
        </w:tc>
        <w:tc>
          <w:tcPr>
            <w:tcW w:w="3402" w:type="dxa"/>
          </w:tcPr>
          <w:p w:rsidR="00C006B0" w:rsidRPr="00C006B0" w:rsidRDefault="00C006B0" w:rsidP="001132BE">
            <w:pPr>
              <w:pStyle w:val="LTAntwortRessortText"/>
              <w:ind w:left="0"/>
              <w:rPr>
                <w:sz w:val="18"/>
                <w:szCs w:val="18"/>
              </w:rPr>
            </w:pPr>
            <w:r w:rsidRPr="00C006B0">
              <w:rPr>
                <w:sz w:val="18"/>
                <w:szCs w:val="18"/>
              </w:rPr>
              <w:t>Oberpfalz (Regensburg)</w:t>
            </w:r>
          </w:p>
        </w:tc>
      </w:tr>
      <w:tr w:rsidR="00C006B0" w:rsidRPr="00C006B0" w:rsidTr="00C006B0">
        <w:tc>
          <w:tcPr>
            <w:tcW w:w="1559" w:type="dxa"/>
          </w:tcPr>
          <w:p w:rsidR="00C006B0" w:rsidRPr="00C006B0" w:rsidRDefault="00C006B0" w:rsidP="001132BE">
            <w:pPr>
              <w:pStyle w:val="LTAntwortRessortText"/>
              <w:ind w:left="0"/>
              <w:rPr>
                <w:sz w:val="18"/>
                <w:szCs w:val="18"/>
              </w:rPr>
            </w:pPr>
            <w:r w:rsidRPr="00C006B0">
              <w:rPr>
                <w:sz w:val="18"/>
                <w:szCs w:val="18"/>
              </w:rPr>
              <w:t>17.01.2017</w:t>
            </w:r>
          </w:p>
        </w:tc>
        <w:tc>
          <w:tcPr>
            <w:tcW w:w="3402" w:type="dxa"/>
          </w:tcPr>
          <w:p w:rsidR="00C006B0" w:rsidRPr="00C006B0" w:rsidRDefault="00C006B0" w:rsidP="001132BE">
            <w:pPr>
              <w:pStyle w:val="LTAntwortRessortText"/>
              <w:ind w:left="0"/>
              <w:rPr>
                <w:sz w:val="18"/>
                <w:szCs w:val="18"/>
              </w:rPr>
            </w:pPr>
            <w:r w:rsidRPr="00C006B0">
              <w:rPr>
                <w:sz w:val="18"/>
                <w:szCs w:val="18"/>
              </w:rPr>
              <w:t>Niederbayern (Mamming)</w:t>
            </w:r>
          </w:p>
        </w:tc>
      </w:tr>
    </w:tbl>
    <w:p w:rsidR="00E330FE" w:rsidRDefault="00E330FE" w:rsidP="00E330FE">
      <w:pPr>
        <w:pStyle w:val="LTAntwortRessortText"/>
      </w:pPr>
      <w:r>
        <w:t xml:space="preserve">Die Veranstaltung im Regierungsbezirk Schwaben ist in Planung, sie soll noch im Frühjahr </w:t>
      </w:r>
      <w:r w:rsidR="00C006B0">
        <w:t>2017</w:t>
      </w:r>
      <w:r w:rsidR="00DF7A22">
        <w:t xml:space="preserve"> </w:t>
      </w:r>
      <w:r>
        <w:t>stattfinden.</w:t>
      </w:r>
    </w:p>
    <w:p w:rsidR="00E330FE" w:rsidRDefault="00E330FE" w:rsidP="00E330FE">
      <w:pPr>
        <w:pStyle w:val="LTAntwortRessortText"/>
      </w:pPr>
      <w:r>
        <w:t>An den Informationsveranstaltungen haben je nach räumlicher Kapazität am Veranstaltungsort zw</w:t>
      </w:r>
      <w:r>
        <w:t>i</w:t>
      </w:r>
      <w:r>
        <w:t>schen ca. 120 und ca. 250 Multiplikatoren teilgenommen. Zielgruppen waren insbesondere die Mi</w:t>
      </w:r>
      <w:r>
        <w:t>t</w:t>
      </w:r>
      <w:r>
        <w:t>arbeiterinnen und Mitarbeiter der Regierungen, der Helferkreise sowie die Ehrenamtskoordinatori</w:t>
      </w:r>
      <w:r>
        <w:t>n</w:t>
      </w:r>
      <w:r>
        <w:t>nen und -koordinatoren, die Verantwortlichen für die Unterbringung von Flüchtlingen sowie die Tr</w:t>
      </w:r>
      <w:r>
        <w:t>ä</w:t>
      </w:r>
      <w:r>
        <w:t>ger der öffentlichen und freien Jugendhilfe. An den Veranstaltungen haben aber auch Vertreter aus dem Bereich Schulen teilgenommen.</w:t>
      </w:r>
    </w:p>
    <w:p w:rsidR="00E330FE" w:rsidRDefault="00E330FE" w:rsidP="00E330FE">
      <w:pPr>
        <w:pStyle w:val="LTAntwortRessortText"/>
      </w:pPr>
      <w:r>
        <w:lastRenderedPageBreak/>
        <w:t>Im Nachgang zu den regionalen Veranstaltungen haben in den Regierungsbezirken zum Teil auch weitere Informationsveranstaltungen der Partner des Netzwerkes auf Ebene der Landratsämter und Städte stattgefunden. Je nach räumlicher Kapazität am Veranstaltungsort haben hieran bis zu ca.</w:t>
      </w:r>
      <w:r w:rsidR="00C006B0">
        <w:t> </w:t>
      </w:r>
      <w:r>
        <w:t>200 Multiplikatoren und Fachkräfte teilgenommen. Weitere Veranstaltungen sind bereits in Pl</w:t>
      </w:r>
      <w:r>
        <w:t>a</w:t>
      </w:r>
      <w:r>
        <w:t>nung.</w:t>
      </w:r>
    </w:p>
    <w:p w:rsidR="00E330FE" w:rsidRDefault="00E330FE" w:rsidP="00E330FE">
      <w:pPr>
        <w:pStyle w:val="LTAntwortRessortText"/>
      </w:pPr>
      <w:r>
        <w:t xml:space="preserve">Eine detaillierte Aufschlüsselung der Veranstaltungen ist in der Kürze der </w:t>
      </w:r>
      <w:r w:rsidR="00C006B0">
        <w:t>für die Beantwortung e</w:t>
      </w:r>
      <w:r w:rsidR="00C006B0">
        <w:t>i</w:t>
      </w:r>
      <w:r w:rsidR="00C006B0">
        <w:t xml:space="preserve">ner Anfrage zum Plenum zur Verfügung stehenden </w:t>
      </w:r>
      <w:r>
        <w:t>Zeit nicht möglich.</w:t>
      </w:r>
    </w:p>
    <w:p w:rsidR="00E330FE" w:rsidRDefault="00E330FE" w:rsidP="00E330FE">
      <w:pPr>
        <w:pStyle w:val="LTAntwortRessortText"/>
      </w:pPr>
      <w:r>
        <w:t xml:space="preserve">Die vielfältigen Angebote und Maßnahmen der Akteure des </w:t>
      </w:r>
      <w:r w:rsidR="00793F8E">
        <w:t>„</w:t>
      </w:r>
      <w:r>
        <w:t>Bayerischen Netzwerks für Prävention und Deradikalisierung gegen Salafismus</w:t>
      </w:r>
      <w:r w:rsidR="00793F8E">
        <w:t>“</w:t>
      </w:r>
      <w:r>
        <w:t xml:space="preserve"> (darunter auch BayLfV und Ufuq.de) werden eng aufe</w:t>
      </w:r>
      <w:r>
        <w:t>i</w:t>
      </w:r>
      <w:r>
        <w:t>nander abgestimmt und ergänzen sich gegenseitig im Sinne eines arbeitsteiligen Vorgehens inne</w:t>
      </w:r>
      <w:r>
        <w:t>r</w:t>
      </w:r>
      <w:r>
        <w:t>halb des Netzwerks. Dadurch können Synergieeffekte genutzt und Doppelstrukturen vermieden werden.</w:t>
      </w:r>
    </w:p>
    <w:p w:rsidR="00B65B07" w:rsidRDefault="00B65B07"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Rosi</w:t>
            </w:r>
            <w:r w:rsidRPr="00E330FE">
              <w:rPr>
                <w:b/>
              </w:rPr>
              <w:br/>
              <w:t>Steinberger</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14" w:name="_Toc477421141"/>
            <w:r>
              <w:instrText>Steinberger, Rosi (BÜNDNIS 90/DIE GRÜNEN)</w:instrText>
            </w:r>
            <w:r>
              <w:br/>
              <w:instrText>Fördermittel nach Art. 13f des Finanzausgleichsgesetzes (FAG)</w:instrText>
            </w:r>
            <w:bookmarkEnd w:id="14"/>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welche Straßenbauprojekte wurden in den let</w:t>
            </w:r>
            <w:r>
              <w:t>z</w:t>
            </w:r>
            <w:r>
              <w:t>ten fünf Jahren in Bayern nach Art. 13f des Finanzausgleichsgesetzes (FAG) mit welchen Fördersätzen gefördert und wie hoch sind die Mittel, die jährlich für die Förderung nach Art. 13f FAG in Bayern zur Verfügung stehen?</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E330FE" w:rsidP="00E330FE">
      <w:pPr>
        <w:pStyle w:val="LTAntwortRessortText"/>
      </w:pPr>
      <w:r>
        <w:t xml:space="preserve">In der Kürze der Zeit, die für die Beantwortung einer Anfrage zum Plenum zur Verfügung steht, ist eine Zusammenstellung der einzelnen Vorhaben nicht möglich. Die Antwort muss sich deshalb auf zusammenfassende Angaben zur Förderung von Straßenbauprojekten nach </w:t>
      </w:r>
      <w:r w:rsidR="00A55628">
        <w:t>Art.</w:t>
      </w:r>
      <w:r>
        <w:t xml:space="preserve"> 13f </w:t>
      </w:r>
      <w:r w:rsidR="001132BE">
        <w:t>des Finan</w:t>
      </w:r>
      <w:r w:rsidR="001132BE">
        <w:t>z</w:t>
      </w:r>
      <w:r w:rsidR="001132BE">
        <w:t>ausgleichsgesetzes (</w:t>
      </w:r>
      <w:r>
        <w:t>FAG</w:t>
      </w:r>
      <w:r w:rsidR="001132BE">
        <w:t>)</w:t>
      </w:r>
      <w:r>
        <w:t xml:space="preserve"> in den letzten fünf Jahren beschränken.</w:t>
      </w:r>
    </w:p>
    <w:p w:rsidR="00E330FE" w:rsidRDefault="00E330FE" w:rsidP="00E330FE">
      <w:pPr>
        <w:pStyle w:val="LTAntwortRessortText"/>
      </w:pPr>
      <w:r>
        <w:t>Für 367 Fördervorhaben wurden in den einzelnen Jahren folgende Beträge ausgezahlt:</w:t>
      </w:r>
    </w:p>
    <w:p w:rsidR="00E330FE" w:rsidRDefault="00E330FE" w:rsidP="00E330FE">
      <w:pPr>
        <w:pStyle w:val="LTAntwortRessortText"/>
      </w:pPr>
    </w:p>
    <w:tbl>
      <w:tblPr>
        <w:tblStyle w:val="TableNormal"/>
        <w:tblW w:w="0" w:type="auto"/>
        <w:tblInd w:w="432" w:type="dxa"/>
        <w:tblLayout w:type="fixed"/>
        <w:tblLook w:val="01E0" w:firstRow="1" w:lastRow="1" w:firstColumn="1" w:lastColumn="1" w:noHBand="0" w:noVBand="0"/>
      </w:tblPr>
      <w:tblGrid>
        <w:gridCol w:w="1536"/>
        <w:gridCol w:w="1354"/>
        <w:gridCol w:w="1354"/>
        <w:gridCol w:w="1352"/>
        <w:gridCol w:w="1354"/>
        <w:gridCol w:w="1354"/>
      </w:tblGrid>
      <w:tr w:rsidR="001132BE" w:rsidRPr="001132BE" w:rsidTr="001132BE">
        <w:trPr>
          <w:trHeight w:hRule="exact" w:val="423"/>
        </w:trPr>
        <w:tc>
          <w:tcPr>
            <w:tcW w:w="1536"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line="274" w:lineRule="exact"/>
              <w:ind w:left="102"/>
              <w:rPr>
                <w:rFonts w:ascii="Times New Roman" w:eastAsia="Times New Roman" w:hAnsi="Times New Roman" w:cs="Times New Roman"/>
                <w:sz w:val="18"/>
                <w:szCs w:val="18"/>
              </w:rPr>
            </w:pPr>
            <w:r w:rsidRPr="001132BE">
              <w:rPr>
                <w:rFonts w:ascii="Times New Roman"/>
                <w:b/>
                <w:sz w:val="18"/>
                <w:szCs w:val="18"/>
              </w:rPr>
              <w:t>Jahr</w:t>
            </w:r>
          </w:p>
        </w:tc>
        <w:tc>
          <w:tcPr>
            <w:tcW w:w="1354"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line="274" w:lineRule="exact"/>
              <w:ind w:left="431"/>
              <w:rPr>
                <w:rFonts w:ascii="Times New Roman" w:eastAsia="Times New Roman" w:hAnsi="Times New Roman" w:cs="Times New Roman"/>
                <w:sz w:val="18"/>
                <w:szCs w:val="18"/>
              </w:rPr>
            </w:pPr>
            <w:r w:rsidRPr="001132BE">
              <w:rPr>
                <w:rFonts w:ascii="Times New Roman"/>
                <w:b/>
                <w:sz w:val="18"/>
                <w:szCs w:val="18"/>
              </w:rPr>
              <w:t>2012</w:t>
            </w:r>
          </w:p>
        </w:tc>
        <w:tc>
          <w:tcPr>
            <w:tcW w:w="1354"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line="274" w:lineRule="exact"/>
              <w:ind w:left="430"/>
              <w:rPr>
                <w:rFonts w:ascii="Times New Roman" w:eastAsia="Times New Roman" w:hAnsi="Times New Roman" w:cs="Times New Roman"/>
                <w:sz w:val="18"/>
                <w:szCs w:val="18"/>
              </w:rPr>
            </w:pPr>
            <w:r w:rsidRPr="001132BE">
              <w:rPr>
                <w:rFonts w:ascii="Times New Roman"/>
                <w:b/>
                <w:sz w:val="18"/>
                <w:szCs w:val="18"/>
              </w:rPr>
              <w:t>2013</w:t>
            </w:r>
          </w:p>
        </w:tc>
        <w:tc>
          <w:tcPr>
            <w:tcW w:w="1352"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line="274" w:lineRule="exact"/>
              <w:ind w:left="430"/>
              <w:rPr>
                <w:rFonts w:ascii="Times New Roman" w:eastAsia="Times New Roman" w:hAnsi="Times New Roman" w:cs="Times New Roman"/>
                <w:sz w:val="18"/>
                <w:szCs w:val="18"/>
              </w:rPr>
            </w:pPr>
            <w:r w:rsidRPr="001132BE">
              <w:rPr>
                <w:rFonts w:ascii="Times New Roman"/>
                <w:b/>
                <w:sz w:val="18"/>
                <w:szCs w:val="18"/>
              </w:rPr>
              <w:t>2014</w:t>
            </w:r>
          </w:p>
        </w:tc>
        <w:tc>
          <w:tcPr>
            <w:tcW w:w="1354"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line="274" w:lineRule="exact"/>
              <w:ind w:left="433"/>
              <w:rPr>
                <w:rFonts w:ascii="Times New Roman" w:eastAsia="Times New Roman" w:hAnsi="Times New Roman" w:cs="Times New Roman"/>
                <w:sz w:val="18"/>
                <w:szCs w:val="18"/>
              </w:rPr>
            </w:pPr>
            <w:r w:rsidRPr="001132BE">
              <w:rPr>
                <w:rFonts w:ascii="Times New Roman"/>
                <w:b/>
                <w:sz w:val="18"/>
                <w:szCs w:val="18"/>
              </w:rPr>
              <w:t>2015</w:t>
            </w:r>
          </w:p>
        </w:tc>
        <w:tc>
          <w:tcPr>
            <w:tcW w:w="1354"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line="274" w:lineRule="exact"/>
              <w:ind w:left="431"/>
              <w:rPr>
                <w:rFonts w:ascii="Times New Roman" w:eastAsia="Times New Roman" w:hAnsi="Times New Roman" w:cs="Times New Roman"/>
                <w:sz w:val="18"/>
                <w:szCs w:val="18"/>
              </w:rPr>
            </w:pPr>
            <w:r w:rsidRPr="001132BE">
              <w:rPr>
                <w:rFonts w:ascii="Times New Roman"/>
                <w:b/>
                <w:sz w:val="18"/>
                <w:szCs w:val="18"/>
              </w:rPr>
              <w:t>2016</w:t>
            </w:r>
          </w:p>
        </w:tc>
      </w:tr>
      <w:tr w:rsidR="001132BE" w:rsidRPr="001132BE" w:rsidTr="00F83EC9">
        <w:trPr>
          <w:trHeight w:hRule="exact" w:val="610"/>
        </w:trPr>
        <w:tc>
          <w:tcPr>
            <w:tcW w:w="1536" w:type="dxa"/>
            <w:tcBorders>
              <w:top w:val="single" w:sz="5" w:space="0" w:color="000000"/>
              <w:left w:val="single" w:sz="5" w:space="0" w:color="000000"/>
              <w:bottom w:val="single" w:sz="5" w:space="0" w:color="000000"/>
              <w:right w:val="single" w:sz="5" w:space="0" w:color="000000"/>
            </w:tcBorders>
          </w:tcPr>
          <w:p w:rsidR="001132BE" w:rsidRPr="001132BE" w:rsidRDefault="001132BE" w:rsidP="00F83EC9">
            <w:pPr>
              <w:pStyle w:val="TableParagraph"/>
              <w:spacing w:line="274" w:lineRule="exact"/>
              <w:ind w:left="102"/>
              <w:rPr>
                <w:rFonts w:ascii="Times New Roman" w:eastAsia="Times New Roman" w:hAnsi="Times New Roman" w:cs="Times New Roman"/>
                <w:sz w:val="18"/>
                <w:szCs w:val="18"/>
              </w:rPr>
            </w:pPr>
            <w:r w:rsidRPr="001132BE">
              <w:rPr>
                <w:rFonts w:ascii="Times New Roman" w:hAnsi="Times New Roman"/>
                <w:b/>
                <w:spacing w:val="-1"/>
                <w:sz w:val="18"/>
                <w:szCs w:val="18"/>
              </w:rPr>
              <w:t>Fördermittel</w:t>
            </w:r>
            <w:r w:rsidR="00F83EC9">
              <w:rPr>
                <w:rFonts w:ascii="Times New Roman" w:hAnsi="Times New Roman"/>
                <w:b/>
                <w:spacing w:val="-1"/>
                <w:sz w:val="18"/>
                <w:szCs w:val="18"/>
              </w:rPr>
              <w:t xml:space="preserve"> </w:t>
            </w:r>
            <w:r w:rsidRPr="001132BE">
              <w:rPr>
                <w:rFonts w:ascii="Times New Roman" w:eastAsia="Times New Roman" w:hAnsi="Times New Roman" w:cs="Times New Roman"/>
                <w:sz w:val="18"/>
                <w:szCs w:val="18"/>
              </w:rPr>
              <w:t>(Mio. €)</w:t>
            </w:r>
          </w:p>
        </w:tc>
        <w:tc>
          <w:tcPr>
            <w:tcW w:w="1354"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before="202"/>
              <w:ind w:right="2"/>
              <w:jc w:val="center"/>
              <w:rPr>
                <w:rFonts w:ascii="Times New Roman" w:eastAsia="Times New Roman" w:hAnsi="Times New Roman" w:cs="Times New Roman"/>
                <w:sz w:val="18"/>
                <w:szCs w:val="18"/>
              </w:rPr>
            </w:pPr>
            <w:r w:rsidRPr="001132BE">
              <w:rPr>
                <w:rFonts w:ascii="Times New Roman"/>
                <w:sz w:val="18"/>
                <w:szCs w:val="18"/>
              </w:rPr>
              <w:t>21,3</w:t>
            </w:r>
          </w:p>
        </w:tc>
        <w:tc>
          <w:tcPr>
            <w:tcW w:w="1354"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before="202"/>
              <w:jc w:val="center"/>
              <w:rPr>
                <w:rFonts w:ascii="Times New Roman" w:eastAsia="Times New Roman" w:hAnsi="Times New Roman" w:cs="Times New Roman"/>
                <w:sz w:val="18"/>
                <w:szCs w:val="18"/>
              </w:rPr>
            </w:pPr>
            <w:r w:rsidRPr="001132BE">
              <w:rPr>
                <w:rFonts w:ascii="Times New Roman"/>
                <w:sz w:val="18"/>
                <w:szCs w:val="18"/>
              </w:rPr>
              <w:t>30,4</w:t>
            </w:r>
          </w:p>
        </w:tc>
        <w:tc>
          <w:tcPr>
            <w:tcW w:w="1352"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before="202"/>
              <w:jc w:val="center"/>
              <w:rPr>
                <w:rFonts w:ascii="Times New Roman" w:eastAsia="Times New Roman" w:hAnsi="Times New Roman" w:cs="Times New Roman"/>
                <w:sz w:val="18"/>
                <w:szCs w:val="18"/>
              </w:rPr>
            </w:pPr>
            <w:r w:rsidRPr="001132BE">
              <w:rPr>
                <w:rFonts w:ascii="Times New Roman"/>
                <w:sz w:val="18"/>
                <w:szCs w:val="18"/>
              </w:rPr>
              <w:t>41,5</w:t>
            </w:r>
          </w:p>
        </w:tc>
        <w:tc>
          <w:tcPr>
            <w:tcW w:w="1354"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before="202"/>
              <w:ind w:left="2"/>
              <w:jc w:val="center"/>
              <w:rPr>
                <w:rFonts w:ascii="Times New Roman" w:eastAsia="Times New Roman" w:hAnsi="Times New Roman" w:cs="Times New Roman"/>
                <w:sz w:val="18"/>
                <w:szCs w:val="18"/>
              </w:rPr>
            </w:pPr>
            <w:r w:rsidRPr="001132BE">
              <w:rPr>
                <w:rFonts w:ascii="Times New Roman"/>
                <w:sz w:val="18"/>
                <w:szCs w:val="18"/>
              </w:rPr>
              <w:t>38,0</w:t>
            </w:r>
          </w:p>
        </w:tc>
        <w:tc>
          <w:tcPr>
            <w:tcW w:w="1354" w:type="dxa"/>
            <w:tcBorders>
              <w:top w:val="single" w:sz="5" w:space="0" w:color="000000"/>
              <w:left w:val="single" w:sz="5" w:space="0" w:color="000000"/>
              <w:bottom w:val="single" w:sz="5" w:space="0" w:color="000000"/>
              <w:right w:val="single" w:sz="5" w:space="0" w:color="000000"/>
            </w:tcBorders>
          </w:tcPr>
          <w:p w:rsidR="001132BE" w:rsidRPr="001132BE" w:rsidRDefault="001132BE" w:rsidP="001132BE">
            <w:pPr>
              <w:pStyle w:val="TableParagraph"/>
              <w:spacing w:before="202"/>
              <w:ind w:right="2"/>
              <w:jc w:val="center"/>
              <w:rPr>
                <w:rFonts w:ascii="Times New Roman" w:eastAsia="Times New Roman" w:hAnsi="Times New Roman" w:cs="Times New Roman"/>
                <w:sz w:val="18"/>
                <w:szCs w:val="18"/>
              </w:rPr>
            </w:pPr>
            <w:r w:rsidRPr="001132BE">
              <w:rPr>
                <w:rFonts w:ascii="Times New Roman"/>
                <w:sz w:val="18"/>
                <w:szCs w:val="18"/>
              </w:rPr>
              <w:t>27,6</w:t>
            </w:r>
          </w:p>
        </w:tc>
      </w:tr>
    </w:tbl>
    <w:p w:rsidR="00E330FE" w:rsidRDefault="00E330FE" w:rsidP="00E330FE">
      <w:pPr>
        <w:pStyle w:val="LTAntwortRessortText"/>
      </w:pPr>
      <w:r>
        <w:t>Seit 2012 wurden 235 Vorhaben neu in das Förderprogramm aufgenommen, davon</w:t>
      </w:r>
    </w:p>
    <w:p w:rsidR="00E330FE" w:rsidRDefault="00E330FE" w:rsidP="00F83EC9">
      <w:pPr>
        <w:pStyle w:val="LTAntwortRessortText"/>
        <w:numPr>
          <w:ilvl w:val="0"/>
          <w:numId w:val="24"/>
        </w:numPr>
        <w:spacing w:before="120"/>
        <w:ind w:left="709" w:hanging="284"/>
      </w:pPr>
      <w:r>
        <w:t>10 Ortsumfahrungen</w:t>
      </w:r>
      <w:r w:rsidR="00F83EC9">
        <w:t>,</w:t>
      </w:r>
    </w:p>
    <w:p w:rsidR="00E330FE" w:rsidRDefault="00E330FE" w:rsidP="00F83EC9">
      <w:pPr>
        <w:pStyle w:val="LTAntwortRessortText"/>
        <w:numPr>
          <w:ilvl w:val="0"/>
          <w:numId w:val="24"/>
        </w:numPr>
        <w:spacing w:before="60"/>
        <w:ind w:left="709" w:hanging="283"/>
      </w:pPr>
      <w:r>
        <w:t>86 Kreuzungen</w:t>
      </w:r>
      <w:r w:rsidR="00F83EC9">
        <w:t>,</w:t>
      </w:r>
    </w:p>
    <w:p w:rsidR="00E330FE" w:rsidRDefault="00E330FE" w:rsidP="00F83EC9">
      <w:pPr>
        <w:pStyle w:val="LTAntwortRessortText"/>
        <w:numPr>
          <w:ilvl w:val="0"/>
          <w:numId w:val="24"/>
        </w:numPr>
        <w:spacing w:before="60"/>
        <w:ind w:left="709" w:hanging="283"/>
      </w:pPr>
      <w:r>
        <w:t>139 Radwege</w:t>
      </w:r>
      <w:r w:rsidR="00F83EC9">
        <w:t>.</w:t>
      </w:r>
    </w:p>
    <w:p w:rsidR="00E330FE" w:rsidRDefault="00E330FE" w:rsidP="00E330FE">
      <w:pPr>
        <w:pStyle w:val="LTAntwortRessortText"/>
      </w:pPr>
      <w:r>
        <w:t xml:space="preserve">Die Gesamtkosten dieser Vorhaben betragen 260,2 Mio. </w:t>
      </w:r>
      <w:r w:rsidR="00793F8E">
        <w:t>Euro</w:t>
      </w:r>
      <w:r>
        <w:t xml:space="preserve">, davon sind 235,4 Mio. </w:t>
      </w:r>
      <w:r w:rsidR="00793F8E">
        <w:t>Euro</w:t>
      </w:r>
      <w:r>
        <w:t xml:space="preserve"> zuwe</w:t>
      </w:r>
      <w:r>
        <w:t>n</w:t>
      </w:r>
      <w:r>
        <w:t xml:space="preserve">dungsfähig. Für diese Vorhaben wurde eine Gesamtförderung in Höhe von 188 Mio. </w:t>
      </w:r>
      <w:r w:rsidR="00793F8E">
        <w:t>Euro</w:t>
      </w:r>
      <w:r>
        <w:t xml:space="preserve"> in Au</w:t>
      </w:r>
      <w:r>
        <w:t>s</w:t>
      </w:r>
      <w:r>
        <w:t xml:space="preserve">sicht gestellt. Der durchschnittliche Fördersatz beträgt 79,9 </w:t>
      </w:r>
      <w:r w:rsidR="00793F8E">
        <w:t>Prozent</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lastRenderedPageBreak/>
              <w:t>Abgeordneter</w:t>
            </w:r>
            <w:r w:rsidRPr="00E330FE">
              <w:br/>
            </w:r>
            <w:r w:rsidRPr="00E330FE">
              <w:rPr>
                <w:b/>
              </w:rPr>
              <w:t>Florian</w:t>
            </w:r>
            <w:r w:rsidRPr="00E330FE">
              <w:rPr>
                <w:b/>
              </w:rPr>
              <w:br/>
              <w:t>Streibl</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15" w:name="_Toc477421142"/>
            <w:r>
              <w:instrText>Streibl, Florian (FREIE WÄHLER)</w:instrText>
            </w:r>
            <w:r>
              <w:br/>
              <w:instrText>Geplantes Verbot der Gesichtsverhüllung in Bayern</w:instrText>
            </w:r>
            <w:bookmarkEnd w:id="15"/>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auf wie viele Fälle von Gesichtsverhüllungen würde der am 21. Februar</w:t>
            </w:r>
            <w:r w:rsidR="00A55628">
              <w:t xml:space="preserve"> 2017 vom Kabinett beschlossene</w:t>
            </w:r>
            <w:r>
              <w:t xml:space="preserve"> Entwurf eines Gesetzes über Verbote der Gesichtsverhüllung in Bayern jeweils in den b</w:t>
            </w:r>
            <w:r>
              <w:t>e</w:t>
            </w:r>
            <w:r>
              <w:t>troffenen Bereichen öffentlicher Dienst, Hochschulen, Schulen, Kindergärten, allgemeine Sicherheit und Ordnung sowie Wahlen nach derzeitigem Kenntni</w:t>
            </w:r>
            <w:r>
              <w:t>s</w:t>
            </w:r>
            <w:r>
              <w:t>stand überhaupt Anwendung finden, wie bewertet die Staatsregierung den Vorwurf, der Gesetzentwurf sei u.a. aufgrund der geringen Zahl von Betroff</w:t>
            </w:r>
            <w:r>
              <w:t>e</w:t>
            </w:r>
            <w:r>
              <w:t>nen reine Symbolpolitik und weshalb werden ggf. keine muslimischen Vertret</w:t>
            </w:r>
            <w:r>
              <w:t>e</w:t>
            </w:r>
            <w:r>
              <w:t>rinnen und Vertreter bei der Verbändeanhörung beteiligt?</w:t>
            </w:r>
          </w:p>
          <w:p w:rsidR="00E330FE" w:rsidRDefault="00E330FE" w:rsidP="00E330FE">
            <w:pPr>
              <w:pStyle w:val="LTAnfrageText"/>
            </w:pPr>
          </w:p>
        </w:tc>
      </w:tr>
    </w:tbl>
    <w:p w:rsidR="00E330FE" w:rsidRDefault="00E330FE" w:rsidP="00E330FE">
      <w:pPr>
        <w:pStyle w:val="LTUeberschrAntwortRessort"/>
      </w:pPr>
      <w:r>
        <w:t>Antwort des Staatsministeriums des Innern, für Bau und Verkehr</w:t>
      </w:r>
    </w:p>
    <w:p w:rsidR="00E330FE" w:rsidRDefault="00A55628" w:rsidP="00E330FE">
      <w:pPr>
        <w:pStyle w:val="LTAntwortRessortText"/>
      </w:pPr>
      <w:r>
        <w:t>Mit dem geplanten Gesetz</w:t>
      </w:r>
      <w:r w:rsidR="00E330FE">
        <w:t>entwurf der Staatsregierung sollen bereichsspezifische Regelungen g</w:t>
      </w:r>
      <w:r w:rsidR="00E330FE">
        <w:t>e</w:t>
      </w:r>
      <w:r w:rsidR="00E330FE">
        <w:t>schaffen werden, um im Bedarfsfall auf der Grundlage klarer gesetzlicher Bestimmungen eine G</w:t>
      </w:r>
      <w:r w:rsidR="00E330FE">
        <w:t>e</w:t>
      </w:r>
      <w:r w:rsidR="00E330FE">
        <w:t>sichtsverhüllung verbieten zu können, so für Beschäftigte im öffentlichen Dienst als Repräsentanten des Gemeinwesens, für den Bereich der Erziehung, Bildung und Lehre, in bestimmten Konstellati</w:t>
      </w:r>
      <w:r w:rsidR="00E330FE">
        <w:t>o</w:t>
      </w:r>
      <w:r w:rsidR="00E330FE">
        <w:t>nen aus Gründen der öffentlichen Sicherheit und in Wahllokalen.</w:t>
      </w:r>
    </w:p>
    <w:p w:rsidR="00E330FE" w:rsidRDefault="00E330FE" w:rsidP="00E330FE">
      <w:pPr>
        <w:pStyle w:val="LTAntwortRessortText"/>
      </w:pPr>
      <w:r>
        <w:t>Auf wie viele Fälle von Gesichtsverhüllung das geplante Gesetz über Verbote der Gesichtsverhü</w:t>
      </w:r>
      <w:r>
        <w:t>l</w:t>
      </w:r>
      <w:r>
        <w:t>lung in Bayern Anwendung finden wird, ist derzeit nicht absehbar.</w:t>
      </w:r>
    </w:p>
    <w:p w:rsidR="00E330FE" w:rsidRDefault="00E330FE" w:rsidP="00E330FE">
      <w:pPr>
        <w:pStyle w:val="LTAntwortRessortText"/>
      </w:pPr>
      <w:r>
        <w:t>Im Rahmen der Verbändeanhörung wurden der damalige Integrationsbeauftragte der Staatsregi</w:t>
      </w:r>
      <w:r>
        <w:t>e</w:t>
      </w:r>
      <w:r>
        <w:t>rung und die Arbeitsgemeinschaft der Ausländer-, Migranten- und Integrationsbeiräte Bayerns b</w:t>
      </w:r>
      <w:r>
        <w:t>e</w:t>
      </w:r>
      <w:r>
        <w:t>teiligt. Der damalige Integrationsbeauftragte der Staatsregierung hat seinerseits den Bayerischen Integrationsrat beteiligt, dem auch muslimische Ve</w:t>
      </w:r>
      <w:r w:rsidR="00A55628">
        <w:t>rtreterinnen und Vertreter angehören. Darüber hin</w:t>
      </w:r>
      <w:r>
        <w:t>aus wurde die Öffentlichkeit im Rahmen der Pressearbeit über das geplante</w:t>
      </w:r>
      <w:r w:rsidR="00A55628">
        <w:t xml:space="preserve"> Gesetz informiert. Der Gesetz</w:t>
      </w:r>
      <w:r>
        <w:t>entwurf ist für interessierte Bürger sowie Verbände im Internet abrufbar.</w:t>
      </w:r>
    </w:p>
    <w:p w:rsidR="00E330FE" w:rsidRDefault="00A55628" w:rsidP="00E330FE">
      <w:pPr>
        <w:pStyle w:val="LTAntwortRessortText"/>
      </w:pPr>
      <w:r>
        <w:t>Bei dem Gesetz</w:t>
      </w:r>
      <w:r w:rsidR="00E330FE">
        <w:t>entwurf handelt es sich nicht um ein Symbol, sondern um ein klares und eindeut</w:t>
      </w:r>
      <w:r w:rsidR="00E330FE">
        <w:t>i</w:t>
      </w:r>
      <w:r w:rsidR="00E330FE">
        <w:t>ges Bekenntnis zur Wertordnung der Bayerischen Verfassung und des Grundgesetzes.</w:t>
      </w:r>
    </w:p>
    <w:p w:rsidR="00B65B07" w:rsidRDefault="00B65B07"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Herbert</w:t>
            </w:r>
            <w:r w:rsidRPr="00E330FE">
              <w:rPr>
                <w:b/>
              </w:rPr>
              <w:br/>
              <w:t>Woerlein</w:t>
            </w:r>
            <w:r w:rsidRPr="00E330FE">
              <w:rPr>
                <w:b/>
              </w:rPr>
              <w:br/>
            </w:r>
            <w:r w:rsidRPr="00E330FE">
              <w:t>(SPD)</w:t>
            </w:r>
            <w:r>
              <w:fldChar w:fldCharType="begin"/>
            </w:r>
            <w:r>
              <w:instrText xml:space="preserve"> TC </w:instrText>
            </w:r>
            <w:r w:rsidR="00793F8E">
              <w:instrText>„</w:instrText>
            </w:r>
            <w:bookmarkStart w:id="16" w:name="_Toc477421143"/>
            <w:r>
              <w:instrText>Woerlein, Herbert (SPD)</w:instrText>
            </w:r>
            <w:r>
              <w:br/>
              <w:instrText>Vermehrte Verkehrsunfälle auf der Autobahn (A) 8</w:instrText>
            </w:r>
            <w:bookmarkEnd w:id="16"/>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viele Unfä</w:t>
            </w:r>
            <w:r w:rsidR="00F83EC9">
              <w:t>lle gab es auf der Autobahn A</w:t>
            </w:r>
            <w:r w:rsidR="00613798">
              <w:t> </w:t>
            </w:r>
            <w:r>
              <w:t>8 auf dem Streckenabschnitt zwischen Leipheim und München seit dessen dre</w:t>
            </w:r>
            <w:r>
              <w:t>i</w:t>
            </w:r>
            <w:r>
              <w:t>spurigem Ausbau (bitte aufschlüsseln nach Unfall mit Getöteten, Unfall mit Schwerverletzten, Unfall mit Leichtverletzten, Unfall mit Sachschaden), welche Ursachen hatten diese erwähnten Unfälle und welche Handlungsmöglichkeiten hat der Freistaat Bayern, um dem entgegenzuwirken?</w:t>
            </w:r>
          </w:p>
          <w:p w:rsidR="00E330FE" w:rsidRDefault="00E330FE" w:rsidP="00E330FE">
            <w:pPr>
              <w:pStyle w:val="LTAnfrageText"/>
            </w:pPr>
          </w:p>
        </w:tc>
      </w:tr>
    </w:tbl>
    <w:p w:rsidR="00E330FE" w:rsidRDefault="0034452B" w:rsidP="00E330FE">
      <w:pPr>
        <w:pStyle w:val="LTUeberschrAntwortRessort"/>
      </w:pPr>
      <w:r>
        <w:lastRenderedPageBreak/>
        <w:br/>
      </w:r>
      <w:r w:rsidR="00E330FE">
        <w:t>Antwort des Staatsministeriums des Innern, für Bau und Verkehr</w:t>
      </w:r>
    </w:p>
    <w:p w:rsidR="00E330FE" w:rsidRDefault="00F83EC9" w:rsidP="00E330FE">
      <w:pPr>
        <w:pStyle w:val="LTAntwortRessortText"/>
      </w:pPr>
      <w:r>
        <w:t>Da der sechs</w:t>
      </w:r>
      <w:r w:rsidR="00E330FE">
        <w:t>streifige Ausbau der A</w:t>
      </w:r>
      <w:r>
        <w:t>utobahn</w:t>
      </w:r>
      <w:r w:rsidR="00E330FE">
        <w:t xml:space="preserve"> </w:t>
      </w:r>
      <w:r>
        <w:t>A</w:t>
      </w:r>
      <w:r w:rsidR="00613798">
        <w:t> </w:t>
      </w:r>
      <w:r w:rsidR="00E330FE">
        <w:t>8 zwischen Leipheim und Augsburg erst Ende 2015 für den Verkehr freigegeben wurde, werden für den gesamten Streckenabschnitt durchgängig au</w:t>
      </w:r>
      <w:r w:rsidR="00E330FE">
        <w:t>s</w:t>
      </w:r>
      <w:r w:rsidR="00E330FE">
        <w:t>schließlich die Unfalldaten für das Jahr 2016 betrachtet.</w:t>
      </w:r>
    </w:p>
    <w:p w:rsidR="00F83EC9" w:rsidRDefault="00E330FE" w:rsidP="00E330FE">
      <w:pPr>
        <w:pStyle w:val="LTAntwortRessortText"/>
      </w:pPr>
      <w:r>
        <w:t xml:space="preserve">Hierbei ereigneten sich folgende Verkehrsunfälle: </w:t>
      </w:r>
    </w:p>
    <w:p w:rsidR="00E330FE" w:rsidRPr="00F83EC9" w:rsidRDefault="00E330FE" w:rsidP="00E330FE">
      <w:pPr>
        <w:pStyle w:val="LTAntwortRessortText"/>
        <w:rPr>
          <w:u w:val="single"/>
        </w:rPr>
      </w:pPr>
      <w:r w:rsidRPr="00F83EC9">
        <w:rPr>
          <w:u w:val="single"/>
        </w:rPr>
        <w:t>Verkehrsunfälle Anzahl:</w:t>
      </w:r>
    </w:p>
    <w:p w:rsidR="00E330FE" w:rsidRDefault="00E330FE" w:rsidP="00F83EC9">
      <w:pPr>
        <w:pStyle w:val="LTAntwortRessortText"/>
        <w:spacing w:before="120"/>
      </w:pPr>
      <w:r>
        <w:t>Unfälle mit Getöteten</w:t>
      </w:r>
      <w:r>
        <w:tab/>
      </w:r>
      <w:r w:rsidR="00F83EC9">
        <w:tab/>
        <w:t xml:space="preserve">    </w:t>
      </w:r>
      <w:r>
        <w:t>2</w:t>
      </w:r>
    </w:p>
    <w:p w:rsidR="00E330FE" w:rsidRDefault="00E330FE" w:rsidP="00F83EC9">
      <w:pPr>
        <w:pStyle w:val="LTAntwortRessortText"/>
        <w:spacing w:before="60"/>
      </w:pPr>
      <w:r>
        <w:t>Unfälle mit Schwerverletzten</w:t>
      </w:r>
      <w:r>
        <w:tab/>
      </w:r>
      <w:r w:rsidR="00F83EC9">
        <w:t xml:space="preserve">  </w:t>
      </w:r>
      <w:r>
        <w:t>54</w:t>
      </w:r>
    </w:p>
    <w:p w:rsidR="00E330FE" w:rsidRDefault="00E330FE" w:rsidP="00F83EC9">
      <w:pPr>
        <w:pStyle w:val="LTAntwortRessortText"/>
        <w:spacing w:before="60"/>
      </w:pPr>
      <w:r>
        <w:t>Unfälle mit Leichtverletzten</w:t>
      </w:r>
      <w:r>
        <w:tab/>
      </w:r>
      <w:r w:rsidR="00F83EC9">
        <w:tab/>
      </w:r>
      <w:r>
        <w:t>268</w:t>
      </w:r>
    </w:p>
    <w:p w:rsidR="00E330FE" w:rsidRDefault="00E330FE" w:rsidP="00F83EC9">
      <w:pPr>
        <w:pStyle w:val="LTAntwortRessortText"/>
        <w:spacing w:before="60"/>
      </w:pPr>
      <w:r>
        <w:t>Unfälle mit Sachschaden</w:t>
      </w:r>
      <w:r>
        <w:tab/>
      </w:r>
      <w:r w:rsidR="00F83EC9">
        <w:tab/>
      </w:r>
      <w:r>
        <w:t>396</w:t>
      </w:r>
    </w:p>
    <w:p w:rsidR="00E330FE" w:rsidRPr="00F83EC9" w:rsidRDefault="00E330FE" w:rsidP="00F83EC9">
      <w:pPr>
        <w:pStyle w:val="LTAntwortRessortText"/>
        <w:spacing w:before="360"/>
        <w:rPr>
          <w:u w:val="single"/>
        </w:rPr>
      </w:pPr>
      <w:r w:rsidRPr="00F83EC9">
        <w:rPr>
          <w:u w:val="single"/>
        </w:rPr>
        <w:t>Unfallfolgen:</w:t>
      </w:r>
    </w:p>
    <w:p w:rsidR="00E330FE" w:rsidRDefault="00E330FE" w:rsidP="00F83EC9">
      <w:pPr>
        <w:pStyle w:val="LTAntwortRessortText"/>
        <w:spacing w:before="120"/>
      </w:pPr>
      <w:r>
        <w:t>hierbei Getötete</w:t>
      </w:r>
      <w:r>
        <w:tab/>
      </w:r>
      <w:r w:rsidR="00F83EC9">
        <w:tab/>
      </w:r>
      <w:r w:rsidR="00F83EC9">
        <w:tab/>
        <w:t xml:space="preserve">    </w:t>
      </w:r>
      <w:r>
        <w:t>3</w:t>
      </w:r>
    </w:p>
    <w:p w:rsidR="00E330FE" w:rsidRDefault="00E330FE" w:rsidP="00F83EC9">
      <w:pPr>
        <w:pStyle w:val="LTAntwortRessortText"/>
        <w:spacing w:before="60"/>
      </w:pPr>
      <w:r>
        <w:t>hierbei schwerverletzte Personen</w:t>
      </w:r>
      <w:r>
        <w:tab/>
      </w:r>
      <w:r w:rsidR="00F83EC9">
        <w:t xml:space="preserve">  </w:t>
      </w:r>
      <w:r>
        <w:t>76</w:t>
      </w:r>
    </w:p>
    <w:p w:rsidR="00E330FE" w:rsidRDefault="00E330FE" w:rsidP="00F83EC9">
      <w:pPr>
        <w:pStyle w:val="LTAntwortRessortText"/>
        <w:spacing w:before="60"/>
      </w:pPr>
      <w:r>
        <w:t>hierbei leichtverletzte Personen</w:t>
      </w:r>
      <w:r>
        <w:tab/>
        <w:t>498</w:t>
      </w:r>
    </w:p>
    <w:p w:rsidR="00E330FE" w:rsidRPr="00F83EC9" w:rsidRDefault="00E330FE" w:rsidP="00F83EC9">
      <w:pPr>
        <w:pStyle w:val="LTAntwortRessortText"/>
        <w:spacing w:before="360"/>
        <w:rPr>
          <w:u w:val="single"/>
        </w:rPr>
      </w:pPr>
      <w:r w:rsidRPr="00F83EC9">
        <w:rPr>
          <w:u w:val="single"/>
        </w:rPr>
        <w:t>Hauptunfallursachen:</w:t>
      </w:r>
    </w:p>
    <w:p w:rsidR="00E330FE" w:rsidRDefault="00E330FE" w:rsidP="00F83EC9">
      <w:pPr>
        <w:pStyle w:val="LTAntwortRessortText"/>
        <w:spacing w:before="120"/>
      </w:pPr>
      <w:r>
        <w:t>Geschwindigkeit</w:t>
      </w:r>
      <w:r>
        <w:tab/>
      </w:r>
      <w:r w:rsidR="00F83EC9">
        <w:tab/>
      </w:r>
      <w:r>
        <w:t xml:space="preserve">234 (32,50 </w:t>
      </w:r>
      <w:r w:rsidR="00793F8E">
        <w:t>Prozent</w:t>
      </w:r>
      <w:r>
        <w:t>)</w:t>
      </w:r>
    </w:p>
    <w:p w:rsidR="00E330FE" w:rsidRDefault="00E330FE" w:rsidP="00F83EC9">
      <w:pPr>
        <w:pStyle w:val="LTAntwortRessortText"/>
        <w:spacing w:before="60"/>
      </w:pPr>
      <w:r>
        <w:t>Überholen</w:t>
      </w:r>
      <w:r>
        <w:tab/>
      </w:r>
      <w:r w:rsidR="00F83EC9">
        <w:tab/>
      </w:r>
      <w:r w:rsidR="00F83EC9">
        <w:tab/>
      </w:r>
      <w:r>
        <w:t xml:space="preserve">167 (23,19 </w:t>
      </w:r>
      <w:r w:rsidR="00793F8E">
        <w:t>Prozent</w:t>
      </w:r>
      <w:r>
        <w:t>)</w:t>
      </w:r>
    </w:p>
    <w:p w:rsidR="00E330FE" w:rsidRDefault="00E330FE" w:rsidP="00F83EC9">
      <w:pPr>
        <w:pStyle w:val="LTAntwortRessortText"/>
        <w:spacing w:before="60"/>
      </w:pPr>
      <w:r>
        <w:t>Abstand</w:t>
      </w:r>
      <w:r>
        <w:tab/>
      </w:r>
      <w:r w:rsidR="00F83EC9">
        <w:tab/>
      </w:r>
      <w:r w:rsidR="00F83EC9">
        <w:tab/>
      </w:r>
      <w:r>
        <w:t xml:space="preserve">162 (22,50 </w:t>
      </w:r>
      <w:r w:rsidR="00793F8E">
        <w:t>Prozent</w:t>
      </w:r>
      <w:r>
        <w:t>)</w:t>
      </w:r>
    </w:p>
    <w:p w:rsidR="00E330FE" w:rsidRDefault="00E330FE" w:rsidP="00B65B07">
      <w:pPr>
        <w:pStyle w:val="LTAntwortRessortText"/>
        <w:spacing w:before="360"/>
      </w:pPr>
      <w:r>
        <w:t xml:space="preserve">Unfallauffällige Bereiche werden derzeit im Zuge der bayernweiten Dreijahresauswertung 2012 </w:t>
      </w:r>
      <w:r w:rsidR="00F83EC9">
        <w:t>bis</w:t>
      </w:r>
      <w:r>
        <w:t xml:space="preserve"> 2015 von der Unfallkommission, einem Expertenteam mit Beteiligung der Straßenbaubehörde, der Polizei und der Straßenverkehrsbehörde detailliert analysiert, inwieweit innerhalb der Häufungsb</w:t>
      </w:r>
      <w:r>
        <w:t>e</w:t>
      </w:r>
      <w:r>
        <w:t>reiche übereinstimmende Unfallmuster vorhanden sind. Ziel ist, geeignete Verbesserungsmaßna</w:t>
      </w:r>
      <w:r>
        <w:t>h</w:t>
      </w:r>
      <w:r>
        <w:t>men zur Erhöhung der Verkehrssicherheit, wie etwa bauliche Verbesserungen, Aufstellung von Schutzplanken, Beseitigung von Hindernissen im Seitenraum, Markierung einer einseitigen Fah</w:t>
      </w:r>
      <w:r>
        <w:t>r</w:t>
      </w:r>
      <w:r>
        <w:t>streifenbegrenzung, Verbesserung der Entwässerung oder Erweiterung eines Ausfahrstreifens a</w:t>
      </w:r>
      <w:r>
        <w:t>b</w:t>
      </w:r>
      <w:r>
        <w:t>zuleiten. Ergänzend führt die Polizei mit mobilen, digitalen Geschwindigkeits- und Abstandsmes</w:t>
      </w:r>
      <w:r>
        <w:t>s</w:t>
      </w:r>
      <w:r>
        <w:t>geräten die Verkehrsüberwachung durch.</w:t>
      </w:r>
    </w:p>
    <w:p w:rsidR="00E330FE" w:rsidRDefault="00E330FE" w:rsidP="00B65B07">
      <w:pPr>
        <w:pStyle w:val="LTAntwortRessortText"/>
        <w:spacing w:before="360"/>
      </w:pPr>
      <w:r>
        <w:t xml:space="preserve">Aufgrund der Unfallhäufigkeit, insbesondere bei den Unfällen mit schwerem Personenschaden, ist beabsichtigt, beim </w:t>
      </w:r>
      <w:r w:rsidR="00F83EC9" w:rsidRPr="00F83EC9">
        <w:t xml:space="preserve">Bundesministerium für Verkehr und digitale Infrastruktur </w:t>
      </w:r>
      <w:r>
        <w:t>die Zustimmung zum Bau einer Verkehrsbeeinflussungsanlage zwischen Augsburg und München zu beantragen, die zur Stauwarnung und Geschwindigkeitsharmonisierung dienen soll.</w:t>
      </w:r>
    </w:p>
    <w:p w:rsidR="00E330FE" w:rsidRDefault="00E330FE" w:rsidP="00B65B07">
      <w:pPr>
        <w:pStyle w:val="LTAntwortRessortText"/>
        <w:spacing w:before="360"/>
      </w:pPr>
      <w:r>
        <w:t xml:space="preserve">Im Abschnitt zwischen Leipheim und Augsburg ist wegen des kurzen Betrachtungszeitraumes von nur ca. </w:t>
      </w:r>
      <w:r w:rsidR="00F83EC9">
        <w:t>ein</w:t>
      </w:r>
      <w:r w:rsidR="00613798">
        <w:t>em</w:t>
      </w:r>
      <w:r>
        <w:t xml:space="preserve"> Jahr zu einer statistisch belastbaren Unfallentwicklung und eventuell erforderlichen Abhilfemaßnahmen derzeit noch keine Aussage möglich.</w:t>
      </w:r>
    </w:p>
    <w:p w:rsidR="00B65B07" w:rsidRDefault="00B65B07">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lastRenderedPageBreak/>
              <w:t>Abgeordnete</w:t>
            </w:r>
            <w:r w:rsidRPr="00E330FE">
              <w:br/>
            </w:r>
            <w:r w:rsidRPr="00E330FE">
              <w:rPr>
                <w:b/>
              </w:rPr>
              <w:t>Isabell</w:t>
            </w:r>
            <w:r w:rsidRPr="00E330FE">
              <w:rPr>
                <w:b/>
              </w:rPr>
              <w:br/>
              <w:t>Zacharias</w:t>
            </w:r>
            <w:r w:rsidRPr="00E330FE">
              <w:rPr>
                <w:b/>
              </w:rPr>
              <w:br/>
            </w:r>
            <w:r w:rsidRPr="00E330FE">
              <w:t>(SPD)</w:t>
            </w:r>
            <w:r>
              <w:fldChar w:fldCharType="begin"/>
            </w:r>
            <w:r>
              <w:instrText xml:space="preserve"> TC </w:instrText>
            </w:r>
            <w:r w:rsidR="00793F8E">
              <w:instrText>„</w:instrText>
            </w:r>
            <w:bookmarkStart w:id="17" w:name="_Toc477421144"/>
            <w:r>
              <w:instrText>Zacharias, Isabell (SPD)</w:instrText>
            </w:r>
            <w:r>
              <w:br/>
              <w:instrText>Homophobe Gewalt</w:instrText>
            </w:r>
            <w:bookmarkEnd w:id="17"/>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ob ihr Informationen zu wiederholter homoph</w:t>
            </w:r>
            <w:r>
              <w:t>o</w:t>
            </w:r>
            <w:r>
              <w:t>ber Gewalt in einem Münchner Innenstadt-Club vorliegen und wenn ja, mit welchen Maßnahmen sie plant, dagegen vorzugehen?</w:t>
            </w:r>
          </w:p>
          <w:p w:rsidR="00E330FE" w:rsidRDefault="00E330FE" w:rsidP="00E330FE">
            <w:pPr>
              <w:pStyle w:val="LTAnfrageText"/>
            </w:pPr>
          </w:p>
        </w:tc>
      </w:tr>
    </w:tbl>
    <w:p w:rsidR="00E330FE" w:rsidRDefault="00E330FE" w:rsidP="00B65B07">
      <w:pPr>
        <w:pStyle w:val="LTUeberschrAntwortRessort"/>
        <w:spacing w:before="840"/>
      </w:pPr>
      <w:r>
        <w:t>Antwort des Staatsministeriums des Innern, für Bau und Verkehr</w:t>
      </w:r>
    </w:p>
    <w:p w:rsidR="00E330FE" w:rsidRDefault="00E330FE" w:rsidP="00E330FE">
      <w:pPr>
        <w:pStyle w:val="LTAntwortRessortText"/>
      </w:pPr>
      <w:r>
        <w:t>Nach Einbindung des zuständigen Polizeipräsidiums München liegen hier keine Erkenntnisse zu entsprechenden aktuellen Vorfällen vor.</w:t>
      </w:r>
    </w:p>
    <w:p w:rsidR="00E330FE" w:rsidRDefault="00E330FE" w:rsidP="00E330FE">
      <w:pPr>
        <w:pStyle w:val="LTAntwortRessortText"/>
      </w:pPr>
      <w:r>
        <w:t xml:space="preserve">Zwar wird im </w:t>
      </w:r>
      <w:r w:rsidR="00793F8E">
        <w:t>„</w:t>
      </w:r>
      <w:r>
        <w:t>Kriminalpolizeilichen Meldedienst Politisch motivierte Kriminalität (KPMD-PMK)</w:t>
      </w:r>
      <w:r w:rsidR="00793F8E">
        <w:t>“</w:t>
      </w:r>
      <w:r>
        <w:t xml:space="preserve"> zum Oberbegriff </w:t>
      </w:r>
      <w:r w:rsidR="00793F8E">
        <w:t>„</w:t>
      </w:r>
      <w:r>
        <w:t>Hasskriminalität</w:t>
      </w:r>
      <w:r w:rsidR="00793F8E">
        <w:t>“</w:t>
      </w:r>
      <w:r>
        <w:t xml:space="preserve"> das Unterthema </w:t>
      </w:r>
      <w:r w:rsidR="00793F8E">
        <w:t>„</w:t>
      </w:r>
      <w:r>
        <w:t>Sexuelle Orientierung</w:t>
      </w:r>
      <w:r w:rsidR="00793F8E">
        <w:t>“</w:t>
      </w:r>
      <w:r>
        <w:t xml:space="preserve"> geführt. Aufgrund fehlender Angaben, z.B. zu Tatzeit oder konkreter Örtlichkeit sind weiterführende Aussagen im Sinne der A</w:t>
      </w:r>
      <w:r>
        <w:t>n</w:t>
      </w:r>
      <w:r>
        <w:t xml:space="preserve">frage </w:t>
      </w:r>
      <w:r w:rsidR="00104452">
        <w:t xml:space="preserve">zum Plenum </w:t>
      </w:r>
      <w:r>
        <w:t>nicht möglich.</w:t>
      </w:r>
    </w:p>
    <w:p w:rsidR="00B65B07" w:rsidRDefault="00B65B07" w:rsidP="00E330FE">
      <w:pPr>
        <w:pStyle w:val="LTAntwortRessortText"/>
      </w:pPr>
    </w:p>
    <w:p w:rsidR="00B65B07" w:rsidRDefault="00B65B07"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Benno</w:t>
            </w:r>
            <w:r w:rsidRPr="00E330FE">
              <w:rPr>
                <w:b/>
              </w:rPr>
              <w:br/>
              <w:t>Zierer</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18" w:name="_Toc477421145"/>
            <w:r>
              <w:instrText>Zierer, Benno (FREIE WÄHLER)</w:instrText>
            </w:r>
            <w:r>
              <w:br/>
              <w:instrText>Pilotprojekt zum Einsatz mobiler Sichtschutzwände</w:instrText>
            </w:r>
            <w:bookmarkEnd w:id="18"/>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w:t>
            </w:r>
            <w:r w:rsidR="00613798">
              <w:t>regierung, wann startet der in der Vollzugsmitteilung</w:t>
            </w:r>
            <w:r>
              <w:t xml:space="preserve"> zum Beschluss des Landtags vom 16. Juli 2015 (Drs. 17/7650) angekündigte Pilo</w:t>
            </w:r>
            <w:r>
              <w:t>t</w:t>
            </w:r>
            <w:r>
              <w:t>versuch zum Einsatz mobiler Sichtschutzwände bei Unfällen auf Autobahnen, welche Autobahnmeistereien wurden dafür ausgewählt und wie viele Sich</w:t>
            </w:r>
            <w:r>
              <w:t>t</w:t>
            </w:r>
            <w:r>
              <w:t>schutzwand-Systeme wurden für den Pilotversuch beschafft?</w:t>
            </w:r>
          </w:p>
          <w:p w:rsidR="00E330FE" w:rsidRDefault="00E330FE" w:rsidP="00E330FE">
            <w:pPr>
              <w:pStyle w:val="LTAnfrageText"/>
            </w:pPr>
          </w:p>
        </w:tc>
      </w:tr>
    </w:tbl>
    <w:p w:rsidR="00E330FE" w:rsidRDefault="00E330FE" w:rsidP="00B65B07">
      <w:pPr>
        <w:pStyle w:val="LTUeberschrAntwortRessort"/>
        <w:spacing w:before="840"/>
      </w:pPr>
      <w:r>
        <w:t>Antwort des Staatsministeriums des Innern, für Bau und Verkehr</w:t>
      </w:r>
    </w:p>
    <w:p w:rsidR="00E330FE" w:rsidRDefault="00E330FE" w:rsidP="00E330FE">
      <w:pPr>
        <w:pStyle w:val="LTAntwortRessortText"/>
      </w:pPr>
      <w:r>
        <w:t>Der Pilotversuch startet nach Abschluss der Winterdienstsaison 2016/2017, also noch in der ersten Jahreshälfte 2017. Für den Pilotversuch wurden die Autobahnmeistereien Herrieden und Münc</w:t>
      </w:r>
      <w:r>
        <w:t>h</w:t>
      </w:r>
      <w:r>
        <w:t>berg ausgewählt. Hierdurch kann sowohl der Einsatz auf v</w:t>
      </w:r>
      <w:r w:rsidR="00104452">
        <w:t>ier- als auch auf sechsstreifi</w:t>
      </w:r>
      <w:r>
        <w:t>gen Aut</w:t>
      </w:r>
      <w:r>
        <w:t>o</w:t>
      </w:r>
      <w:r>
        <w:t>bahnabschnitten erprobt werden. Es ist vorgesehen, für den Pilotbetrieb drei komplette Sich</w:t>
      </w:r>
      <w:r>
        <w:t>t</w:t>
      </w:r>
      <w:r>
        <w:t>schutzwandsysteme jeweils einschließlich Transportanhänger zu beschaffen. Im Zuständigkeitsb</w:t>
      </w:r>
      <w:r>
        <w:t>e</w:t>
      </w:r>
      <w:r>
        <w:t>reich der Autobahnmeisterei Herrieden wird ein System, im Bereich der Autobahnmeisterei Münc</w:t>
      </w:r>
      <w:r>
        <w:t>h</w:t>
      </w:r>
      <w:r>
        <w:t>berg werden zwei Systeme vorgehalten.</w:t>
      </w:r>
    </w:p>
    <w:p w:rsidR="00B65B07" w:rsidRDefault="00B65B07">
      <w:pPr>
        <w:rPr>
          <w:rFonts w:cs="Arial"/>
          <w:b/>
          <w:sz w:val="22"/>
          <w:szCs w:val="22"/>
        </w:rPr>
      </w:pPr>
      <w:r>
        <w:br w:type="page"/>
      </w:r>
    </w:p>
    <w:p w:rsidR="00E330FE" w:rsidRDefault="00E330FE" w:rsidP="00E330FE">
      <w:pPr>
        <w:pStyle w:val="LTUeberschrRessort"/>
      </w:pPr>
      <w:r>
        <w:lastRenderedPageBreak/>
        <w:t>Geschäftsbereich des Staatsministeriums für Bildung und Kultus, Wissenschaft und Kunst</w:t>
      </w:r>
      <w:r>
        <w:fldChar w:fldCharType="begin"/>
      </w:r>
      <w:r>
        <w:instrText xml:space="preserve"> TC </w:instrText>
      </w:r>
      <w:r w:rsidR="00793F8E">
        <w:instrText>„</w:instrText>
      </w:r>
      <w:bookmarkStart w:id="19" w:name="_Toc477421146"/>
      <w:r>
        <w:instrText>Geschäftsbereich des Staatsministeriums für Bildung und Kultus, Wissenschaft und Kunst</w:instrText>
      </w:r>
      <w:bookmarkEnd w:id="19"/>
      <w:r w:rsidR="00793F8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Martina</w:t>
            </w:r>
            <w:r w:rsidRPr="00E330FE">
              <w:rPr>
                <w:b/>
              </w:rPr>
              <w:br/>
              <w:t>Fehlner</w:t>
            </w:r>
            <w:r w:rsidRPr="00E330FE">
              <w:rPr>
                <w:b/>
              </w:rPr>
              <w:br/>
            </w:r>
            <w:r w:rsidRPr="00E330FE">
              <w:t>(SPD)</w:t>
            </w:r>
            <w:r>
              <w:fldChar w:fldCharType="begin"/>
            </w:r>
            <w:r>
              <w:instrText xml:space="preserve"> TC </w:instrText>
            </w:r>
            <w:r w:rsidR="00793F8E">
              <w:instrText>„</w:instrText>
            </w:r>
            <w:bookmarkStart w:id="20" w:name="_Toc477421147"/>
            <w:r>
              <w:instrText>Fehlner, Martina (SPD)</w:instrText>
            </w:r>
            <w:r>
              <w:br/>
              <w:instrText>Auswirkungen des G9 im Regierungsbezirk Unterfranken</w:instrText>
            </w:r>
            <w:bookmarkEnd w:id="20"/>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Da die Verlängerung der gymnasialen Schulzeit von acht auf neun Jahre eine Vielzahl von Anpassungen des Bildungswesens in Bayern erfordern wird, fr</w:t>
            </w:r>
            <w:r>
              <w:t>a</w:t>
            </w:r>
            <w:r>
              <w:t>ge ich die Staatsregierung, welche baulichen, pädagogischen und schulorg</w:t>
            </w:r>
            <w:r>
              <w:t>a</w:t>
            </w:r>
            <w:r>
              <w:t>nisatorischen Veränderungen (bitte personelle und allgemeine Veränderungen angeben), ergeben sich für den Regierungsbezirk Unterfranken (bitte für die Landkreise und kreisfreien Städte, Gemeinden und einzelnen Gymnasien j</w:t>
            </w:r>
            <w:r>
              <w:t>e</w:t>
            </w:r>
            <w:r>
              <w:t>weils gesondert angeben)?</w:t>
            </w:r>
          </w:p>
          <w:p w:rsidR="00E330FE" w:rsidRDefault="00E330FE" w:rsidP="00E330FE">
            <w:pPr>
              <w:pStyle w:val="LTAnfrageText"/>
            </w:pPr>
          </w:p>
        </w:tc>
      </w:tr>
    </w:tbl>
    <w:p w:rsidR="00E330FE" w:rsidRDefault="00E330FE" w:rsidP="00E330FE">
      <w:pPr>
        <w:pStyle w:val="LTUeberschrAntwortRessort"/>
      </w:pPr>
      <w:r>
        <w:t>Antwort des Staatsministeriums für Bildung und Kultus, Wissenschaft und Kunst</w:t>
      </w:r>
    </w:p>
    <w:p w:rsidR="00E330FE" w:rsidRDefault="00E330FE" w:rsidP="00E330FE">
      <w:pPr>
        <w:pStyle w:val="LTAntwortRessortText"/>
      </w:pPr>
      <w:r>
        <w:t>Ende Juli 2016 hat sich das bayerische Kabinett auf seiner Klausurtagung in St. Quirin mit der We</w:t>
      </w:r>
      <w:r>
        <w:t>i</w:t>
      </w:r>
      <w:r>
        <w:t>terentwicklung des Gymnasiums befasst. Dabei wurde zunächst eine Dialogphase beschlossen, in die Vertreter der Schulfamilie, der Verbände und der Bildungspolitik einbezogen werden. Ziel dieser Gespräche war es, auf der Basis der Erfahrungen aus der Pilotphase der Mittelstufe Plus ein lan</w:t>
      </w:r>
      <w:r>
        <w:t>g</w:t>
      </w:r>
      <w:r>
        <w:t>fristig tragfähi</w:t>
      </w:r>
      <w:r w:rsidR="00FD1F6F">
        <w:t>ges Modell für die Zukunft des b</w:t>
      </w:r>
      <w:r>
        <w:t>ayerischen Gymnasiums zu entwickeln, das den g</w:t>
      </w:r>
      <w:r>
        <w:t>e</w:t>
      </w:r>
      <w:r>
        <w:t>änderten Erfordernissen wie der zunehmend heterogenen Schülerschaft und unterschiedlichen Schulstandorten Rechnung trägt.</w:t>
      </w:r>
    </w:p>
    <w:p w:rsidR="00E330FE" w:rsidRDefault="00E330FE" w:rsidP="00E330FE">
      <w:pPr>
        <w:pStyle w:val="LTAntwortRessortText"/>
      </w:pPr>
      <w:r>
        <w:t xml:space="preserve">Diese Dialogphase ist nach Spitzengesprächen, die Anfang März </w:t>
      </w:r>
      <w:r w:rsidR="00FD1F6F">
        <w:t xml:space="preserve">2017 </w:t>
      </w:r>
      <w:r>
        <w:t>in der Staatskanzlei stattg</w:t>
      </w:r>
      <w:r>
        <w:t>e</w:t>
      </w:r>
      <w:r>
        <w:t>funden haben, abgeschlossen. Der Prozess befindet sich nun in der Entscheidungsphase; eine Grundsatzentscheidung zum künftigen Lernzeitangebot ist indes noch nicht getroffen.</w:t>
      </w:r>
    </w:p>
    <w:p w:rsidR="00E330FE" w:rsidRDefault="00E330FE" w:rsidP="00E330FE">
      <w:pPr>
        <w:pStyle w:val="LTAntwortRessortText"/>
      </w:pPr>
      <w:r>
        <w:t>Eine mögliche Grundsatzentscheidung zur Einführung eines neuen, ggf. neunjährigen Lernzeita</w:t>
      </w:r>
      <w:r>
        <w:t>n</w:t>
      </w:r>
      <w:r>
        <w:t xml:space="preserve">gebots am Gymnasium </w:t>
      </w:r>
      <w:r w:rsidR="00FD1F6F">
        <w:t>–</w:t>
      </w:r>
      <w:r>
        <w:t xml:space="preserve"> wovon die Anfrage zum Plenum in einer Vorfestlegung auszugehen scheint </w:t>
      </w:r>
      <w:r w:rsidR="00FD1F6F">
        <w:t>–</w:t>
      </w:r>
      <w:r>
        <w:t xml:space="preserve"> wird selbstverständlich entsprechende Folgeentscheidungen bzw. weiteren Regelungsb</w:t>
      </w:r>
      <w:r>
        <w:t>e</w:t>
      </w:r>
      <w:r>
        <w:t xml:space="preserve">darf nach sich ziehen, dem in geeigneter Weise Rechnung zu tragen wäre. </w:t>
      </w:r>
    </w:p>
    <w:p w:rsidR="00E330FE" w:rsidRDefault="00E330FE" w:rsidP="00E330FE">
      <w:pPr>
        <w:pStyle w:val="LTAntwortRessortText"/>
      </w:pPr>
      <w:r>
        <w:t>Die weiteren Entscheidungen setzen erst eine Grundsatzentscheidung voraus.</w:t>
      </w:r>
    </w:p>
    <w:p w:rsidR="00B65B07" w:rsidRDefault="00B65B07"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Thomas</w:t>
            </w:r>
            <w:r w:rsidRPr="00E330FE">
              <w:rPr>
                <w:b/>
              </w:rPr>
              <w:br/>
              <w:t>Gehring</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21" w:name="_Toc477421148"/>
            <w:r>
              <w:instrText>Gehring, Thomas (BÜNDNIS 90/DIE GRÜNEN)</w:instrText>
            </w:r>
            <w:r>
              <w:br/>
              <w:instrText>Chemieunterricht in den Vorklassen der Fachoberschulen</w:instrText>
            </w:r>
            <w:bookmarkEnd w:id="21"/>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 xml:space="preserve">Ich frage die Staatsregierung, trifft es zu, dass der Chemieunterricht aufgrund der neuesten Änderung der Fachober- und Berufsoberschulordnung </w:t>
            </w:r>
            <w:r w:rsidR="00051C24">
              <w:br/>
            </w:r>
            <w:r>
              <w:t>(FOBOSO) in den Vorklassen der Fachoberschulen, Ausbildungsrichtung S</w:t>
            </w:r>
            <w:r>
              <w:t>o</w:t>
            </w:r>
            <w:r>
              <w:t>zialwesen, abgeschafft werden soll, welche anderen Formen der naturwisse</w:t>
            </w:r>
            <w:r>
              <w:t>n</w:t>
            </w:r>
            <w:r>
              <w:t>schaftlichen Bildung werden in diesen Vorklassen angeboten und wie kann die Staatsregierung die naturwissenschaftliche Grundbildung in den FOS-Vor</w:t>
            </w:r>
            <w:r w:rsidR="00051C24">
              <w:softHyphen/>
            </w:r>
            <w:r>
              <w:t>klassen auch weiterhin gewährleisten?</w:t>
            </w:r>
          </w:p>
          <w:p w:rsidR="00E330FE" w:rsidRDefault="00E330FE" w:rsidP="00E330FE">
            <w:pPr>
              <w:pStyle w:val="LTAnfrageText"/>
            </w:pPr>
          </w:p>
        </w:tc>
      </w:tr>
    </w:tbl>
    <w:p w:rsidR="00E330FE" w:rsidRDefault="00E330FE" w:rsidP="00E330FE">
      <w:pPr>
        <w:pStyle w:val="LTUeberschrAntwortRessort"/>
      </w:pPr>
      <w:r>
        <w:lastRenderedPageBreak/>
        <w:t>Antwort des Staatsministeriums für Bildung und Kultus, Wissenschaft und Kunst</w:t>
      </w:r>
    </w:p>
    <w:p w:rsidR="00E330FE" w:rsidRDefault="00E330FE" w:rsidP="00E330FE">
      <w:pPr>
        <w:pStyle w:val="LTAntwortRessortText"/>
      </w:pPr>
      <w:r>
        <w:t>In der Vorklasse der Fachoberschule, Ausbildungsrichtung Sozialwesen, wird der Chemieunterricht nicht abgeschafft. Die Schülerinnen und Schüler können in der Vorklasse mindestens zwei Fächer mit insgesamt sechs Wochenstunden aus dem Profilbereich der Ausbildungsrichtung wählen. Damit ist es auch weiterhin möglich Chemie in der Vorklasse zu belegen. Des Weiteren kann ebenfalls das naturwissenschaftliche Fach Biologie belegt werden. Damit ist der Forderung, die naturwisse</w:t>
      </w:r>
      <w:r>
        <w:t>n</w:t>
      </w:r>
      <w:r>
        <w:t>schaftliche Grundbildung in der Vorklasse, Ausbildungsrichtung Sozialwesen, der Fachoberschule zu gewährleisten, Rechnung getragen.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Ulrike</w:t>
            </w:r>
            <w:r w:rsidRPr="00E330FE">
              <w:rPr>
                <w:b/>
              </w:rPr>
              <w:br/>
              <w:t>Gote</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22" w:name="_Toc477421149"/>
            <w:r>
              <w:instrText>Gote, Ulrike (BÜNDNIS 90/DIE GRÜNEN)</w:instrText>
            </w:r>
            <w:r>
              <w:br/>
              <w:instrText>Ablösung der Staatsleistungen an Kirchen</w:instrText>
            </w:r>
            <w:bookmarkEnd w:id="22"/>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vertritt sie weiterhin die Auffassung, dass zur Ablösung der Staatsleistungen an die Kirchen für das Tätigwerden des La</w:t>
            </w:r>
            <w:r>
              <w:t>n</w:t>
            </w:r>
            <w:r>
              <w:t>desgesetzgebers der vorherige Erlass eines Bundesgesetzes, das die Grundsätze der Ablösung regelt, erforderlich ist, nachdem die Bundesregi</w:t>
            </w:r>
            <w:r>
              <w:t>e</w:t>
            </w:r>
            <w:r>
              <w:t xml:space="preserve">rung festgestellt hat, dass es den Bundesländern freistehe, </w:t>
            </w:r>
            <w:r w:rsidR="00793F8E">
              <w:t>„</w:t>
            </w:r>
            <w:r>
              <w:t>einvernehmlich mit den Kirchen die Staatsleistungen zu verändern und neue Rechtsgrundl</w:t>
            </w:r>
            <w:r>
              <w:t>a</w:t>
            </w:r>
            <w:r>
              <w:t>gen zu schaffen</w:t>
            </w:r>
            <w:r w:rsidR="00793F8E">
              <w:t>“</w:t>
            </w:r>
            <w:r>
              <w:t xml:space="preserve"> und dem auch das Verfassungsrecht nicht entgegenstehe, wenn ja, wie begründet die Staatsregierung ihre Rechtsauffassung und welche Ergebnisse hinsichtlich der durch die Staatsregierung angestrebten vollständ</w:t>
            </w:r>
            <w:r>
              <w:t>i</w:t>
            </w:r>
            <w:r>
              <w:t>gen Ablösung der Staatsleistungen ergaben die Gespräche, die diesbezüglich mit der katholischen Kirche seit 2011 geführt wurden?</w:t>
            </w:r>
          </w:p>
          <w:p w:rsidR="00E330FE" w:rsidRDefault="00E330FE" w:rsidP="00E330FE">
            <w:pPr>
              <w:pStyle w:val="LTAnfrageText"/>
            </w:pPr>
          </w:p>
        </w:tc>
      </w:tr>
    </w:tbl>
    <w:p w:rsidR="00E330FE" w:rsidRDefault="00E330FE" w:rsidP="00E330FE">
      <w:pPr>
        <w:pStyle w:val="LTUeberschrAntwortRessort"/>
      </w:pPr>
      <w:r>
        <w:t>Antwort des Staatsministeriums für Bildung und Kultus, Wissenschaft und Kunst</w:t>
      </w:r>
    </w:p>
    <w:p w:rsidR="00E330FE" w:rsidRDefault="00E330FE" w:rsidP="00E330FE">
      <w:pPr>
        <w:pStyle w:val="LTAntwortRessortText"/>
      </w:pPr>
      <w:r>
        <w:t>Art. 140 des Grundgesetzes in Verbindung mit Art. 138 Abs. 1 der Weimarer Reichsverfassung la</w:t>
      </w:r>
      <w:r>
        <w:t>u</w:t>
      </w:r>
      <w:r>
        <w:t xml:space="preserve">tet: </w:t>
      </w:r>
      <w:r w:rsidR="00793F8E">
        <w:t>„</w:t>
      </w:r>
      <w:r>
        <w:t>Die auf Gesetz, Vertrag oder besonderen Rechtstiteln beruhenden Staatsleistungen an die R</w:t>
      </w:r>
      <w:r>
        <w:t>e</w:t>
      </w:r>
      <w:r>
        <w:t>ligionsgesellschaften werden durch die Landesgesetzgebung abgelöst. Die Grundsätze hierfür stellt das Reich auf.</w:t>
      </w:r>
      <w:r w:rsidR="00793F8E">
        <w:t>“</w:t>
      </w:r>
      <w:r>
        <w:t xml:space="preserve"> </w:t>
      </w:r>
    </w:p>
    <w:p w:rsidR="00E330FE" w:rsidRDefault="00E330FE" w:rsidP="00E330FE">
      <w:pPr>
        <w:pStyle w:val="LTAntwortRessortText"/>
      </w:pPr>
      <w:r>
        <w:t>Unter Ablösung durch die Landesgesetzgebung im Sinne dieser Bestimmung versteht man eine einseitige Aufhebung durch Gesetz. Für ein solches Tätigwerden des Landesgesetzgebers ist der vorherige Erlass eines Bundesgesetzes, das die Grundsätze für die Ablösung regelt, erforderlich. Für Ablösungen, die mit den Kirchen einvernehmlich (durch beiderseitigen Vertrag) vorgenommen werden, ist die genannte Verfassungsbestimmung nicht einschlägig. Solche Ablösungen können ohne bundesgesetzliche Vorgaben erfolgen.</w:t>
      </w:r>
    </w:p>
    <w:p w:rsidR="00E330FE" w:rsidRDefault="00E330FE" w:rsidP="00E330FE">
      <w:pPr>
        <w:pStyle w:val="LTAntwortRessortText"/>
      </w:pPr>
      <w:r>
        <w:t>Die Staatsregierung hält die vollständige Ablösung der Staatsleistungen zwar für wünschenswert, sieht aber hierfür angesichts der zu erwartenden Höhe der Ausgleichsbeträge keine realistische Option. Für den Freistaat Bayern ist nämlich Art. 10 § 1 Satz 3 des Konkordats zwischen seiner Heiligkeit Papst Pius XI. und dem Staate Bayern vom 29. März 1924 (zuletzt geändert durch Ve</w:t>
      </w:r>
      <w:r>
        <w:t>r</w:t>
      </w:r>
      <w:r>
        <w:t xml:space="preserve">trag zwischen dem Heiligen Stuhl und dem Freistaat Bayern vom 8. Juni 1988, GVBl. S. 241) zu beachten, wonach die Ausgleichsleistungen </w:t>
      </w:r>
      <w:r w:rsidR="00793F8E">
        <w:t>„</w:t>
      </w:r>
      <w:r>
        <w:t>entsprechend dem Inhalt und Umfange des Recht</w:t>
      </w:r>
      <w:r>
        <w:t>s</w:t>
      </w:r>
      <w:r>
        <w:t>verhältnisses unter Berücksichtigung der Geldwertverhältnisse vollen Ersatz für das weggefallene Recht gewähren</w:t>
      </w:r>
      <w:r w:rsidR="00793F8E">
        <w:t>“</w:t>
      </w:r>
      <w:r>
        <w:t xml:space="preserve">. Aus Gründen der Gleichbehandlung ist diese Regelung für Ausgleichsleistungen im Bereich der Evangelisch-Lutherischen Kirche entsprechend anzuwenden. Die erforderlichen Ausgaben wären im Staatshaushalt nicht darstellbar. </w:t>
      </w:r>
    </w:p>
    <w:p w:rsidR="00E330FE" w:rsidRDefault="00E330FE" w:rsidP="00E330FE">
      <w:pPr>
        <w:pStyle w:val="LTAntwortRessortText"/>
      </w:pPr>
      <w:r>
        <w:t>Die Staatsregierung hat deshalb mit den Kirchen über Ablösungen auf einzelnen Feldern verha</w:t>
      </w:r>
      <w:r>
        <w:t>n</w:t>
      </w:r>
      <w:r>
        <w:t xml:space="preserve">delt. Ablösungen in größerem Umfang konnten etwa hinsichtlich der aufgrund des Bayerischen </w:t>
      </w:r>
      <w:r>
        <w:lastRenderedPageBreak/>
        <w:t>Konkordats bestehenden Verpflichtung des Staates erzielt werden, bestimmte (staatseigene) G</w:t>
      </w:r>
      <w:r>
        <w:t>e</w:t>
      </w:r>
      <w:r>
        <w:t>bäude der Römisch-Katholischen Kirche zur Nutzung zur Verfügung zu stellen. Auch bei der Abl</w:t>
      </w:r>
      <w:r>
        <w:t>ö</w:t>
      </w:r>
      <w:r>
        <w:t>sung der staatlichen Baulasten an Pfarrgebäuden konnten Ergebnisse erzielt werden: Seit dem A</w:t>
      </w:r>
      <w:r>
        <w:t>b</w:t>
      </w:r>
      <w:r>
        <w:t>schluss entsprechender Verträge mit den beiden Kirchen 2006 und 2009 wurde die staatliche Ba</w:t>
      </w:r>
      <w:r>
        <w:t>u</w:t>
      </w:r>
      <w:r>
        <w:t xml:space="preserve">pflicht an 129 Pfarrhäusern für insgesamt rd. 13 Mio. </w:t>
      </w:r>
      <w:r w:rsidR="00793F8E">
        <w:t>Euro</w:t>
      </w:r>
      <w:r>
        <w:t xml:space="preserve"> abgelöst.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Harald</w:t>
            </w:r>
            <w:r w:rsidRPr="00E330FE">
              <w:rPr>
                <w:b/>
              </w:rPr>
              <w:br/>
              <w:t>Güller</w:t>
            </w:r>
            <w:r w:rsidRPr="00E330FE">
              <w:rPr>
                <w:b/>
              </w:rPr>
              <w:br/>
            </w:r>
            <w:r w:rsidRPr="00E330FE">
              <w:t>(SPD)</w:t>
            </w:r>
            <w:r>
              <w:fldChar w:fldCharType="begin"/>
            </w:r>
            <w:r>
              <w:instrText xml:space="preserve"> TC </w:instrText>
            </w:r>
            <w:r w:rsidR="00793F8E">
              <w:instrText>„</w:instrText>
            </w:r>
            <w:bookmarkStart w:id="23" w:name="_Toc477421150"/>
            <w:r>
              <w:instrText>Güller, Harald (SPD)</w:instrText>
            </w:r>
            <w:r>
              <w:br/>
              <w:instrText>Auswirkungen des G9 im Regierungsbezirk Schwaben</w:instrText>
            </w:r>
            <w:bookmarkEnd w:id="23"/>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Da die Verlängerung der gymnasialen Schulzeit von acht auf neun Jahre eine Vielzahl von Anpassungen des Bildungswesens in Bayern erfordern wird, fr</w:t>
            </w:r>
            <w:r>
              <w:t>a</w:t>
            </w:r>
            <w:r>
              <w:t>ge ich die Staatsregierung, welche baulichen, pädagogischen und schulorg</w:t>
            </w:r>
            <w:r>
              <w:t>a</w:t>
            </w:r>
            <w:r>
              <w:t>nisatorischen Veränderungen (bitte personelle und allgemeine Veränderungen angeben), ergeben sich für den Regierungsbezirk Schwaben</w:t>
            </w:r>
            <w:r w:rsidR="00793F8E">
              <w:t xml:space="preserve"> </w:t>
            </w:r>
            <w:r>
              <w:t>(bitte für die Landkreise und kreisfreien Städte, Gemeinden und einzelnen Gymnasien j</w:t>
            </w:r>
            <w:r>
              <w:t>e</w:t>
            </w:r>
            <w:r>
              <w:t>weils gesondert angeben)?</w:t>
            </w:r>
          </w:p>
          <w:p w:rsidR="00E330FE" w:rsidRDefault="00E330FE" w:rsidP="00E330FE">
            <w:pPr>
              <w:pStyle w:val="LTAnfrageText"/>
            </w:pPr>
          </w:p>
        </w:tc>
      </w:tr>
    </w:tbl>
    <w:p w:rsidR="00E330FE" w:rsidRDefault="00E330FE" w:rsidP="00E330FE">
      <w:pPr>
        <w:pStyle w:val="LTUeberschrAntwortRessort"/>
      </w:pPr>
      <w:r>
        <w:t>Antwort des Staatsministeriums für Bildung und Kultus, Wissenschaft und Kunst</w:t>
      </w:r>
    </w:p>
    <w:p w:rsidR="00E330FE" w:rsidRDefault="00E330FE" w:rsidP="00E330FE">
      <w:pPr>
        <w:pStyle w:val="LTAntwortRessortText"/>
      </w:pPr>
      <w:r>
        <w:t>Ende Juli 2016 hat sich das bayerische Kabinett auf seiner Klausurtagung in St. Quirin mit der We</w:t>
      </w:r>
      <w:r>
        <w:t>i</w:t>
      </w:r>
      <w:r>
        <w:t>terentwicklung des Gymnasiums befasst. Dabei wurde zunächst eine Dialogphase beschlossen, in die Vertreter der Schulfamilie, der Verbände und der Bildungspolitik einbezogen werden. Ziel dieser Gespräche war es, auf der Basis der Erfahrungen aus der Pilotphase der Mittelstufe Plus ein lan</w:t>
      </w:r>
      <w:r>
        <w:t>g</w:t>
      </w:r>
      <w:r>
        <w:t xml:space="preserve">fristig tragfähiges Modell für </w:t>
      </w:r>
      <w:r w:rsidR="00051C24">
        <w:t>die Zukunft des b</w:t>
      </w:r>
      <w:r>
        <w:t>ayerischen Gymnasiums zu entwickeln, das den g</w:t>
      </w:r>
      <w:r>
        <w:t>e</w:t>
      </w:r>
      <w:r>
        <w:t>änderten Erfordernissen wie der zunehmend heterogenen Schülerschaft und unterschiedlichen Schulstandorten Rechnung trägt.</w:t>
      </w:r>
    </w:p>
    <w:p w:rsidR="00E330FE" w:rsidRDefault="00E330FE" w:rsidP="00E330FE">
      <w:pPr>
        <w:pStyle w:val="LTAntwortRessortText"/>
      </w:pPr>
      <w:r>
        <w:t xml:space="preserve">Diese Dialogphase ist nach Spitzengesprächen, die Anfang März </w:t>
      </w:r>
      <w:r w:rsidR="00051C24">
        <w:t xml:space="preserve">2017 </w:t>
      </w:r>
      <w:r>
        <w:t>in der Staatskanzlei stattg</w:t>
      </w:r>
      <w:r>
        <w:t>e</w:t>
      </w:r>
      <w:r>
        <w:t>funden haben, abgeschlossen. Der Prozess befindet sich nun in der Entscheidungsphase; eine Grundsatzentscheidung zum künftigen Lernzeitangebot ist indes noch nicht getroffen.</w:t>
      </w:r>
    </w:p>
    <w:p w:rsidR="00E330FE" w:rsidRDefault="00E330FE" w:rsidP="00E330FE">
      <w:pPr>
        <w:pStyle w:val="LTAntwortRessortText"/>
      </w:pPr>
      <w:r>
        <w:t>Eine mögliche Grundsatzentscheidung zur Einführung eines neuen, ggf. neunjährigen Lernzeita</w:t>
      </w:r>
      <w:r>
        <w:t>n</w:t>
      </w:r>
      <w:r>
        <w:t xml:space="preserve">gebots am Gymnasium </w:t>
      </w:r>
      <w:r w:rsidR="00051C24">
        <w:t>–</w:t>
      </w:r>
      <w:r>
        <w:t xml:space="preserve"> wovon die Anfrage zum Plenum in einer Vorfestlegung auszugehen scheint </w:t>
      </w:r>
      <w:r w:rsidR="00051C24">
        <w:t>–</w:t>
      </w:r>
      <w:r>
        <w:t xml:space="preserve"> wird selbstverständlich entsprechende Folgeentscheidungen bzw. weiteren Regelungsb</w:t>
      </w:r>
      <w:r>
        <w:t>e</w:t>
      </w:r>
      <w:r>
        <w:t xml:space="preserve">darf nach sich ziehen, dem in geeigneter Weise Rechnung zu tragen wäre. </w:t>
      </w:r>
    </w:p>
    <w:p w:rsidR="00E330FE" w:rsidRDefault="00E330FE" w:rsidP="00E330FE">
      <w:pPr>
        <w:pStyle w:val="LTAntwortRessortText"/>
      </w:pPr>
      <w:r>
        <w:t>Die weiteren Entscheidungen setzen erst eine Grundsatzentscheidung voraus.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Martin</w:t>
            </w:r>
            <w:r w:rsidRPr="00E330FE">
              <w:rPr>
                <w:b/>
              </w:rPr>
              <w:br/>
              <w:t>Güll</w:t>
            </w:r>
            <w:r w:rsidRPr="00E330FE">
              <w:rPr>
                <w:b/>
              </w:rPr>
              <w:br/>
            </w:r>
            <w:r w:rsidRPr="00E330FE">
              <w:t>(SPD)</w:t>
            </w:r>
            <w:r>
              <w:fldChar w:fldCharType="begin"/>
            </w:r>
            <w:r>
              <w:instrText xml:space="preserve"> TC </w:instrText>
            </w:r>
            <w:r w:rsidR="00793F8E">
              <w:instrText>„</w:instrText>
            </w:r>
            <w:bookmarkStart w:id="24" w:name="_Toc477421151"/>
            <w:r>
              <w:instrText>Güll, Martin (SPD)</w:instrText>
            </w:r>
            <w:r>
              <w:br/>
              <w:instrText>Unterrichtsversorgung - Mobile Reserven an Pflichtschulen</w:instrText>
            </w:r>
            <w:bookmarkEnd w:id="24"/>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viele Mobile Reserven waren an den Pflich</w:t>
            </w:r>
            <w:r>
              <w:t>t</w:t>
            </w:r>
            <w:r>
              <w:t>schulen in Bayern am 1. Februar 2017 im Einsatz, wie viele davon schon seit Schuljahresbeginn und wie viele davon seit 1. Dezember 2016?</w:t>
            </w:r>
          </w:p>
          <w:p w:rsidR="00E330FE" w:rsidRDefault="00E330FE" w:rsidP="00E330FE">
            <w:pPr>
              <w:pStyle w:val="LTAnfrageText"/>
            </w:pPr>
          </w:p>
        </w:tc>
      </w:tr>
    </w:tbl>
    <w:p w:rsidR="00B65B07" w:rsidRDefault="00B65B07" w:rsidP="00E330FE">
      <w:pPr>
        <w:pStyle w:val="LTUeberschrAntwortRessort"/>
      </w:pPr>
    </w:p>
    <w:p w:rsidR="00B65B07" w:rsidRDefault="00B65B07">
      <w:pPr>
        <w:rPr>
          <w:b/>
          <w:szCs w:val="22"/>
        </w:rPr>
      </w:pPr>
      <w:r>
        <w:br w:type="page"/>
      </w:r>
    </w:p>
    <w:p w:rsidR="00E330FE" w:rsidRDefault="00E330FE" w:rsidP="00E330FE">
      <w:pPr>
        <w:pStyle w:val="LTUeberschrAntwortRessort"/>
      </w:pPr>
      <w:r>
        <w:lastRenderedPageBreak/>
        <w:t>Antwort des Staatsministeriums für Bildung und Kultus, Wissenschaft und Kunst</w:t>
      </w:r>
    </w:p>
    <w:p w:rsidR="00E330FE" w:rsidRDefault="00E330FE" w:rsidP="00E330FE">
      <w:pPr>
        <w:pStyle w:val="LTAntwortRessortText"/>
      </w:pPr>
      <w:r>
        <w:t>Pflichtschulen im Sinne des Bayerischen Gesetzes über das Erziehungs- und Unterrichtswesen (BayEUG) sind die Grundschule, die Mittelschule, die Berufsschule (jeweils einschließlich der en</w:t>
      </w:r>
      <w:r>
        <w:t>t</w:t>
      </w:r>
      <w:r>
        <w:t>sprechenden Förderschule) sowie die Schule für Kranke, vgl. Art. 36 Abs. 1 Satz 1 Nr. 1 BayEUG.</w:t>
      </w:r>
    </w:p>
    <w:p w:rsidR="00E330FE" w:rsidRDefault="00E330FE" w:rsidP="00E330FE">
      <w:pPr>
        <w:pStyle w:val="LTAntwortRessortText"/>
      </w:pPr>
      <w:r>
        <w:t>Der Stand der Mobilen Reserve zu den angefragten Stichtagen verhält sich an den einzelnen Schularten wie folgt:</w:t>
      </w:r>
    </w:p>
    <w:p w:rsidR="00E330FE" w:rsidRPr="00947ECA" w:rsidRDefault="00E330FE" w:rsidP="00E330FE">
      <w:pPr>
        <w:pStyle w:val="LTAntwortRessortText"/>
        <w:rPr>
          <w:u w:val="single"/>
        </w:rPr>
      </w:pPr>
      <w:r w:rsidRPr="00947ECA">
        <w:rPr>
          <w:u w:val="single"/>
        </w:rPr>
        <w:t>Grund- und Mittelschulen</w:t>
      </w:r>
    </w:p>
    <w:p w:rsidR="00E330FE" w:rsidRDefault="00E330FE" w:rsidP="00947ECA">
      <w:pPr>
        <w:pStyle w:val="LTAntwortRessortText"/>
        <w:spacing w:before="120"/>
      </w:pPr>
      <w:r>
        <w:t>Der Stand der Mobilen Reserven an Grund- und Mittelschulen wird in regelmäßigen Abständen e</w:t>
      </w:r>
      <w:r>
        <w:t>r</w:t>
      </w:r>
      <w:r>
        <w:t>hoben. Dabei handelt es sich jeweils um eine Stichtagserhebung. Gefragt wird nach der Anzahl der Mobilen Reserven (</w:t>
      </w:r>
      <w:r w:rsidR="00793F8E">
        <w:t>„</w:t>
      </w:r>
      <w:r>
        <w:t>Köpfe</w:t>
      </w:r>
      <w:r w:rsidR="00793F8E">
        <w:t>“</w:t>
      </w:r>
      <w:r>
        <w:t>), die an diesem Tag insgesamt im Einsatz waren.</w:t>
      </w:r>
    </w:p>
    <w:p w:rsidR="00E330FE" w:rsidRDefault="00E330FE" w:rsidP="00E330FE">
      <w:pPr>
        <w:pStyle w:val="LTAntwortRessortText"/>
      </w:pPr>
      <w:r>
        <w:t>In diesem Rahmen wird lediglich die Anzahl der im Einsatz befindlichen Mobilen Reserven erhoben. Daraus geht jedoch nicht hervor, ob es sich bei den verschiedenen Stichtagsmeldungen um jeweils die gleichen oder andere Personen handelt, die in Vertretungseinsätzen gebunden waren.</w:t>
      </w:r>
    </w:p>
    <w:p w:rsidR="00E330FE" w:rsidRDefault="00E330FE" w:rsidP="00E330FE">
      <w:pPr>
        <w:pStyle w:val="LTAntwortRessortText"/>
      </w:pPr>
      <w:r>
        <w:t>Bayernweit war zu den folgenden Stichtagen für Vertretungseinsätze in der Mobilen Reserve die folgende Anzahl von Personen im Einsatz:</w:t>
      </w:r>
    </w:p>
    <w:p w:rsidR="00E330FE" w:rsidRDefault="00E330FE" w:rsidP="00E330FE">
      <w:pPr>
        <w:pStyle w:val="LTAntwortRessortText"/>
        <w:rPr>
          <w:b/>
        </w:rPr>
      </w:pPr>
      <w:r w:rsidRPr="00947ECA">
        <w:rPr>
          <w:b/>
        </w:rPr>
        <w:t>Personen, die für Vertretungseinsätze in der Mobilen Reserve im Einsatz waren:</w:t>
      </w:r>
    </w:p>
    <w:p w:rsidR="00947ECA" w:rsidRPr="00947ECA" w:rsidRDefault="00947ECA" w:rsidP="00947ECA">
      <w:pPr>
        <w:pStyle w:val="LTAntwortRessortText"/>
        <w:spacing w:before="0"/>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4395"/>
      </w:tblGrid>
      <w:tr w:rsidR="00947ECA" w:rsidRPr="00947ECA" w:rsidTr="00E42CE9">
        <w:trPr>
          <w:trHeight w:val="468"/>
        </w:trPr>
        <w:tc>
          <w:tcPr>
            <w:tcW w:w="3543" w:type="dxa"/>
            <w:shd w:val="clear" w:color="auto" w:fill="auto"/>
            <w:vAlign w:val="center"/>
          </w:tcPr>
          <w:p w:rsidR="00947ECA" w:rsidRPr="00947ECA" w:rsidRDefault="00947ECA" w:rsidP="00E42CE9">
            <w:pPr>
              <w:spacing w:after="200" w:line="276" w:lineRule="auto"/>
              <w:rPr>
                <w:rFonts w:eastAsia="Calibri" w:cs="Arial"/>
                <w:b/>
                <w:szCs w:val="20"/>
                <w:lang w:eastAsia="en-US"/>
              </w:rPr>
            </w:pPr>
            <w:r w:rsidRPr="00947ECA">
              <w:rPr>
                <w:rFonts w:eastAsia="Calibri" w:cs="Arial"/>
                <w:b/>
                <w:szCs w:val="20"/>
                <w:lang w:eastAsia="en-US"/>
              </w:rPr>
              <w:t>Stichtag</w:t>
            </w:r>
          </w:p>
        </w:tc>
        <w:tc>
          <w:tcPr>
            <w:tcW w:w="4395" w:type="dxa"/>
            <w:shd w:val="clear" w:color="auto" w:fill="auto"/>
            <w:vAlign w:val="center"/>
          </w:tcPr>
          <w:p w:rsidR="00947ECA" w:rsidRPr="00947ECA" w:rsidRDefault="00947ECA" w:rsidP="00E42CE9">
            <w:pPr>
              <w:spacing w:after="200" w:line="276" w:lineRule="auto"/>
              <w:rPr>
                <w:rFonts w:eastAsia="Calibri" w:cs="Arial"/>
                <w:b/>
                <w:szCs w:val="20"/>
                <w:lang w:eastAsia="en-US"/>
              </w:rPr>
            </w:pPr>
            <w:r w:rsidRPr="00947ECA">
              <w:rPr>
                <w:rFonts w:eastAsia="Calibri" w:cs="Arial"/>
                <w:b/>
                <w:szCs w:val="20"/>
                <w:lang w:eastAsia="en-US"/>
              </w:rPr>
              <w:t xml:space="preserve">Mobile Reserven insgesamt im Einsatz („Köpfe“) </w:t>
            </w:r>
          </w:p>
        </w:tc>
      </w:tr>
      <w:tr w:rsidR="00947ECA" w:rsidRPr="00947ECA" w:rsidTr="00E42CE9">
        <w:trPr>
          <w:trHeight w:val="576"/>
        </w:trPr>
        <w:tc>
          <w:tcPr>
            <w:tcW w:w="3543" w:type="dxa"/>
            <w:shd w:val="clear" w:color="auto" w:fill="auto"/>
            <w:vAlign w:val="center"/>
          </w:tcPr>
          <w:p w:rsidR="00947ECA" w:rsidRPr="00947ECA" w:rsidRDefault="00947ECA" w:rsidP="00E42CE9">
            <w:pPr>
              <w:spacing w:after="200" w:line="276" w:lineRule="auto"/>
              <w:rPr>
                <w:rFonts w:eastAsia="Calibri" w:cs="Arial"/>
                <w:szCs w:val="20"/>
                <w:lang w:eastAsia="en-US"/>
              </w:rPr>
            </w:pPr>
            <w:r w:rsidRPr="00947ECA">
              <w:rPr>
                <w:rFonts w:eastAsia="Calibri" w:cs="Arial"/>
                <w:szCs w:val="20"/>
                <w:lang w:eastAsia="en-US"/>
              </w:rPr>
              <w:t xml:space="preserve">13.09.2016 </w:t>
            </w:r>
            <w:r>
              <w:rPr>
                <w:rFonts w:eastAsia="Calibri" w:cs="Arial"/>
                <w:szCs w:val="20"/>
                <w:lang w:eastAsia="en-US"/>
              </w:rPr>
              <w:br/>
            </w:r>
            <w:r w:rsidRPr="00947ECA">
              <w:rPr>
                <w:rFonts w:eastAsia="Calibri" w:cs="Arial"/>
                <w:szCs w:val="20"/>
                <w:lang w:eastAsia="en-US"/>
              </w:rPr>
              <w:t>(1. Schultag Schuljahr</w:t>
            </w:r>
            <w:r>
              <w:rPr>
                <w:rFonts w:eastAsia="Calibri" w:cs="Arial"/>
                <w:szCs w:val="20"/>
                <w:lang w:eastAsia="en-US"/>
              </w:rPr>
              <w:t xml:space="preserve"> </w:t>
            </w:r>
            <w:r w:rsidRPr="00947ECA">
              <w:rPr>
                <w:rFonts w:eastAsia="Calibri" w:cs="Arial"/>
                <w:szCs w:val="20"/>
                <w:lang w:eastAsia="en-US"/>
              </w:rPr>
              <w:t>2016/2017)</w:t>
            </w:r>
          </w:p>
        </w:tc>
        <w:tc>
          <w:tcPr>
            <w:tcW w:w="4395" w:type="dxa"/>
            <w:shd w:val="clear" w:color="auto" w:fill="auto"/>
            <w:vAlign w:val="center"/>
          </w:tcPr>
          <w:p w:rsidR="00947ECA" w:rsidRPr="00947ECA" w:rsidRDefault="00947ECA" w:rsidP="00E42CE9">
            <w:pPr>
              <w:spacing w:after="200" w:line="276" w:lineRule="auto"/>
              <w:jc w:val="center"/>
              <w:rPr>
                <w:rFonts w:eastAsia="Calibri" w:cs="Arial"/>
                <w:szCs w:val="20"/>
                <w:lang w:eastAsia="en-US"/>
              </w:rPr>
            </w:pPr>
            <w:r w:rsidRPr="00947ECA">
              <w:rPr>
                <w:rFonts w:eastAsia="Calibri" w:cs="Arial"/>
                <w:szCs w:val="20"/>
                <w:lang w:eastAsia="en-US"/>
              </w:rPr>
              <w:t>1.195</w:t>
            </w:r>
          </w:p>
        </w:tc>
      </w:tr>
      <w:tr w:rsidR="00947ECA" w:rsidRPr="00947ECA" w:rsidTr="00E42CE9">
        <w:tc>
          <w:tcPr>
            <w:tcW w:w="3543" w:type="dxa"/>
            <w:shd w:val="clear" w:color="auto" w:fill="auto"/>
            <w:vAlign w:val="center"/>
          </w:tcPr>
          <w:p w:rsidR="00947ECA" w:rsidRPr="00947ECA" w:rsidRDefault="00947ECA" w:rsidP="00E42CE9">
            <w:pPr>
              <w:spacing w:after="200" w:line="276" w:lineRule="auto"/>
              <w:rPr>
                <w:rFonts w:eastAsia="Calibri" w:cs="Arial"/>
                <w:szCs w:val="20"/>
                <w:lang w:eastAsia="en-US"/>
              </w:rPr>
            </w:pPr>
            <w:r w:rsidRPr="00947ECA">
              <w:rPr>
                <w:rFonts w:eastAsia="Calibri" w:cs="Arial"/>
                <w:szCs w:val="20"/>
                <w:lang w:eastAsia="en-US"/>
              </w:rPr>
              <w:t>05.12.2016</w:t>
            </w:r>
          </w:p>
        </w:tc>
        <w:tc>
          <w:tcPr>
            <w:tcW w:w="4395" w:type="dxa"/>
            <w:shd w:val="clear" w:color="auto" w:fill="auto"/>
            <w:vAlign w:val="center"/>
          </w:tcPr>
          <w:p w:rsidR="00947ECA" w:rsidRPr="00947ECA" w:rsidRDefault="00947ECA" w:rsidP="00E42CE9">
            <w:pPr>
              <w:spacing w:after="200" w:line="276" w:lineRule="auto"/>
              <w:jc w:val="center"/>
              <w:rPr>
                <w:rFonts w:eastAsia="Calibri" w:cs="Arial"/>
                <w:szCs w:val="20"/>
                <w:lang w:eastAsia="en-US"/>
              </w:rPr>
            </w:pPr>
            <w:r w:rsidRPr="00947ECA">
              <w:rPr>
                <w:rFonts w:eastAsia="Calibri" w:cs="Arial"/>
                <w:szCs w:val="20"/>
                <w:lang w:eastAsia="en-US"/>
              </w:rPr>
              <w:t>2.272</w:t>
            </w:r>
          </w:p>
        </w:tc>
      </w:tr>
      <w:tr w:rsidR="00947ECA" w:rsidRPr="00947ECA" w:rsidTr="00E42CE9">
        <w:tc>
          <w:tcPr>
            <w:tcW w:w="3543" w:type="dxa"/>
            <w:shd w:val="clear" w:color="auto" w:fill="auto"/>
            <w:vAlign w:val="center"/>
          </w:tcPr>
          <w:p w:rsidR="00947ECA" w:rsidRPr="00947ECA" w:rsidRDefault="00947ECA" w:rsidP="00E42CE9">
            <w:pPr>
              <w:spacing w:after="200" w:line="276" w:lineRule="auto"/>
              <w:rPr>
                <w:rFonts w:eastAsia="Calibri" w:cs="Arial"/>
                <w:szCs w:val="20"/>
                <w:lang w:eastAsia="en-US"/>
              </w:rPr>
            </w:pPr>
            <w:r w:rsidRPr="00947ECA">
              <w:rPr>
                <w:rFonts w:eastAsia="Calibri" w:cs="Arial"/>
                <w:szCs w:val="20"/>
                <w:lang w:eastAsia="en-US"/>
              </w:rPr>
              <w:t>06.02.2017</w:t>
            </w:r>
          </w:p>
        </w:tc>
        <w:tc>
          <w:tcPr>
            <w:tcW w:w="4395" w:type="dxa"/>
            <w:shd w:val="clear" w:color="auto" w:fill="auto"/>
            <w:vAlign w:val="center"/>
          </w:tcPr>
          <w:p w:rsidR="00947ECA" w:rsidRPr="00947ECA" w:rsidRDefault="00947ECA" w:rsidP="00E42CE9">
            <w:pPr>
              <w:spacing w:after="200" w:line="276" w:lineRule="auto"/>
              <w:jc w:val="center"/>
              <w:rPr>
                <w:rFonts w:eastAsia="Calibri" w:cs="Arial"/>
                <w:szCs w:val="20"/>
                <w:lang w:eastAsia="en-US"/>
              </w:rPr>
            </w:pPr>
            <w:r w:rsidRPr="00947ECA">
              <w:rPr>
                <w:rFonts w:eastAsia="Calibri" w:cs="Arial"/>
                <w:szCs w:val="20"/>
                <w:lang w:eastAsia="en-US"/>
              </w:rPr>
              <w:t>2.455</w:t>
            </w:r>
          </w:p>
        </w:tc>
      </w:tr>
    </w:tbl>
    <w:p w:rsidR="00E330FE" w:rsidRDefault="00E330FE" w:rsidP="00E330FE">
      <w:pPr>
        <w:pStyle w:val="LTAntwortRessortText"/>
      </w:pPr>
      <w:r>
        <w:t>Die Mobile Reserve ist grundsätzlich nicht nur für kurzfristige, sondern auch für langfristige Erkra</w:t>
      </w:r>
      <w:r>
        <w:t>n</w:t>
      </w:r>
      <w:r>
        <w:t>kungen sowie für Vertretungen von Mutterschutz, Erziehungsurlaub oder Ausscheiden von Leh</w:t>
      </w:r>
      <w:r>
        <w:t>r</w:t>
      </w:r>
      <w:r>
        <w:t>kräften während des Schuljahres vorgesehen. Ein Teil der Lehrkräfte ist somit bereits zu Schulja</w:t>
      </w:r>
      <w:r>
        <w:t>h</w:t>
      </w:r>
      <w:r>
        <w:t>resbeginn auch über einen längeren Zeitraum in einem Einsatz gebunden.</w:t>
      </w:r>
    </w:p>
    <w:p w:rsidR="00E330FE" w:rsidRDefault="00E330FE" w:rsidP="00B65B07">
      <w:pPr>
        <w:pStyle w:val="LTAntwortRessortText"/>
        <w:spacing w:before="120"/>
      </w:pPr>
      <w:r>
        <w:t>Die Lehrkräfte der Mobilen Reserve werden im gesamten Schulamtsbezirk eingesetzt und im Ve</w:t>
      </w:r>
      <w:r>
        <w:t>r</w:t>
      </w:r>
      <w:r>
        <w:t>tretungsfall bedarfsgerecht zugewiesen. Die Dauer eines Einsatzes richtet sich nach der Abwese</w:t>
      </w:r>
      <w:r>
        <w:t>n</w:t>
      </w:r>
      <w:r>
        <w:t>heit der zu vertretenden Lehrkraft und kann damit in der Regel nicht im Voraus bestimmt werden.</w:t>
      </w:r>
    </w:p>
    <w:p w:rsidR="00E330FE" w:rsidRDefault="00E330FE" w:rsidP="00B65B07">
      <w:pPr>
        <w:pStyle w:val="LTAntwortRessortText"/>
        <w:spacing w:before="120"/>
      </w:pPr>
      <w:r>
        <w:t>Die Auslastung der Mobilen Reserve unterliegt in Abhängigkeit von einer Vielzahl von Faktoren (z.B. Krankheitswellen, Fortbildungsinitiativen, Schwangerschaften) regional großen Schwanku</w:t>
      </w:r>
      <w:r>
        <w:t>n</w:t>
      </w:r>
      <w:r>
        <w:t>gen. Wie viele Mobile Reserven im Einsatz sind, stellt sich damit wöchentlich neu dar.</w:t>
      </w:r>
    </w:p>
    <w:p w:rsidR="00E330FE" w:rsidRPr="00E42CE9" w:rsidRDefault="00E330FE" w:rsidP="00E330FE">
      <w:pPr>
        <w:pStyle w:val="LTAntwortRessortText"/>
        <w:rPr>
          <w:u w:val="single"/>
        </w:rPr>
      </w:pPr>
      <w:r w:rsidRPr="00E42CE9">
        <w:rPr>
          <w:u w:val="single"/>
        </w:rPr>
        <w:t>Förderschulen</w:t>
      </w:r>
    </w:p>
    <w:p w:rsidR="00E330FE" w:rsidRDefault="00E330FE" w:rsidP="00E42CE9">
      <w:pPr>
        <w:pStyle w:val="LTAntwortRessortText"/>
        <w:spacing w:before="120"/>
      </w:pPr>
      <w:r>
        <w:t>Im Bereich Förderschulen wird der Stand der Mobilen Reserve zu Schuljahresbeginn und in der Folge nur nach Bedarf erhoben. Die angefragten Daten zum Einsatz der Mobilen Reserve an de</w:t>
      </w:r>
      <w:r w:rsidR="00E42CE9">
        <w:t>n vorgegebenen Stichtagen (13. September</w:t>
      </w:r>
      <w:r>
        <w:t xml:space="preserve">; </w:t>
      </w:r>
      <w:r w:rsidR="00E42CE9">
        <w:t>1. Dezember</w:t>
      </w:r>
      <w:r>
        <w:t xml:space="preserve">; </w:t>
      </w:r>
      <w:r w:rsidR="00E42CE9">
        <w:t>1. Februar</w:t>
      </w:r>
      <w:r>
        <w:t>) liegen nicht vor und können binnen der für die Beantwortung von Anfragen zum Plenum gegebenen Frist nicht erhoben werden.</w:t>
      </w:r>
    </w:p>
    <w:p w:rsidR="00E330FE" w:rsidRPr="00E42CE9" w:rsidRDefault="00E42CE9" w:rsidP="00E330FE">
      <w:pPr>
        <w:pStyle w:val="LTAntwortRessortText"/>
        <w:rPr>
          <w:u w:val="single"/>
        </w:rPr>
      </w:pPr>
      <w:r>
        <w:rPr>
          <w:u w:val="single"/>
        </w:rPr>
        <w:t>Berufsschulen</w:t>
      </w:r>
    </w:p>
    <w:p w:rsidR="00E330FE" w:rsidRDefault="00E330FE" w:rsidP="00E42CE9">
      <w:pPr>
        <w:pStyle w:val="LTAntwortRessortText"/>
        <w:spacing w:before="120"/>
      </w:pPr>
      <w:r>
        <w:t>Im Bereic</w:t>
      </w:r>
      <w:r w:rsidR="00E42CE9">
        <w:t>h der Berufsschulen sind keine M</w:t>
      </w:r>
      <w:r>
        <w:t>obilen Reserven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lastRenderedPageBreak/>
              <w:t>Abgeordneter</w:t>
            </w:r>
            <w:r w:rsidRPr="00E330FE">
              <w:br/>
            </w:r>
            <w:r w:rsidRPr="00E330FE">
              <w:rPr>
                <w:b/>
              </w:rPr>
              <w:t>Günther</w:t>
            </w:r>
            <w:r w:rsidRPr="00E330FE">
              <w:rPr>
                <w:b/>
              </w:rPr>
              <w:br/>
              <w:t>Knoblauch</w:t>
            </w:r>
            <w:r w:rsidRPr="00E330FE">
              <w:rPr>
                <w:b/>
              </w:rPr>
              <w:br/>
            </w:r>
            <w:r w:rsidRPr="00E330FE">
              <w:t>(SPD)</w:t>
            </w:r>
            <w:r>
              <w:fldChar w:fldCharType="begin"/>
            </w:r>
            <w:r>
              <w:instrText xml:space="preserve"> TC </w:instrText>
            </w:r>
            <w:r w:rsidR="00793F8E">
              <w:instrText>„</w:instrText>
            </w:r>
            <w:bookmarkStart w:id="25" w:name="_Toc477421152"/>
            <w:r>
              <w:instrText>Knoblauch, Günther (SPD)</w:instrText>
            </w:r>
            <w:r>
              <w:br/>
              <w:instrText>Auswirkungen des G9 im Regierungsbezirk Oberbayern</w:instrText>
            </w:r>
            <w:bookmarkEnd w:id="25"/>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Da die Verlängerung der gymnasialen Schulzeit von acht auf neun Jahre eine Vielzahl von Anpassungen des Bildungswesens in Bayern erfordern wird, fr</w:t>
            </w:r>
            <w:r>
              <w:t>a</w:t>
            </w:r>
            <w:r>
              <w:t>ge ich die Staatsregierung, welche baulichen, pädagogischen und schulorg</w:t>
            </w:r>
            <w:r>
              <w:t>a</w:t>
            </w:r>
            <w:r>
              <w:t>nisatorischen Veränderungen (bitte personelle und allgemeine Veränderungen angeben) ergeben sich für den Regierungsbezirk Oberbayern (bitte für die Landkreise und kreisfreien Städte, Gemeinden und einzelnen Gymnasien j</w:t>
            </w:r>
            <w:r>
              <w:t>e</w:t>
            </w:r>
            <w:r>
              <w:t>weils gesondert angeben)?</w:t>
            </w:r>
          </w:p>
          <w:p w:rsidR="00E330FE" w:rsidRDefault="00E330FE" w:rsidP="00E330FE">
            <w:pPr>
              <w:pStyle w:val="LTAnfrageText"/>
            </w:pPr>
          </w:p>
        </w:tc>
      </w:tr>
    </w:tbl>
    <w:p w:rsidR="00E330FE" w:rsidRDefault="00E330FE" w:rsidP="00E330FE">
      <w:pPr>
        <w:pStyle w:val="LTUeberschrAntwortRessort"/>
      </w:pPr>
      <w:r>
        <w:t>Antwort des Staatsministeriums für Bildung und Kultus, Wissenschaft und Kunst</w:t>
      </w:r>
    </w:p>
    <w:p w:rsidR="00E330FE" w:rsidRDefault="00E330FE" w:rsidP="00E330FE">
      <w:pPr>
        <w:pStyle w:val="LTAntwortRessortText"/>
      </w:pPr>
      <w:r>
        <w:t xml:space="preserve">Ende Juli 2016 hat sich das bayerische Kabinett auf seiner Klausurtagung in </w:t>
      </w:r>
      <w:r w:rsidR="00E42CE9">
        <w:t xml:space="preserve"> </w:t>
      </w:r>
      <w:r>
        <w:t>St. Quirin mit der We</w:t>
      </w:r>
      <w:r>
        <w:t>i</w:t>
      </w:r>
      <w:r>
        <w:t>terentwicklung des Gymnasiums befasst. Dabei wurde zunächst eine Dialogphase beschlossen, in die Vertreter der Schulfamilie, der Verbände und der Bildungspolitik einbezogen werden. Ziel dieser Gespräche war es, auf der Basis der Erfahrungen aus der Pilotphase der Mittelstufe Plus ein lan</w:t>
      </w:r>
      <w:r>
        <w:t>g</w:t>
      </w:r>
      <w:r>
        <w:t>fristig tragfähi</w:t>
      </w:r>
      <w:r w:rsidR="00E42CE9">
        <w:t>ges Modell für die Zukunft des b</w:t>
      </w:r>
      <w:r>
        <w:t>ayerischen Gymnasiums zu entwickeln, das den g</w:t>
      </w:r>
      <w:r>
        <w:t>e</w:t>
      </w:r>
      <w:r>
        <w:t>änderten Erfordernissen wie der zunehmend heterogenen Schülerschaft und unterschiedlichen Schulstandorten Rechnung trägt.</w:t>
      </w:r>
    </w:p>
    <w:p w:rsidR="00E330FE" w:rsidRDefault="00E330FE" w:rsidP="00E330FE">
      <w:pPr>
        <w:pStyle w:val="LTAntwortRessortText"/>
      </w:pPr>
      <w:r>
        <w:t>Diese Dialogphase ist nach Spitzengesprächen, die Anfang März</w:t>
      </w:r>
      <w:r w:rsidR="00E42CE9">
        <w:t xml:space="preserve"> 2017</w:t>
      </w:r>
      <w:r>
        <w:t xml:space="preserve"> in der Staatskanzlei stattg</w:t>
      </w:r>
      <w:r>
        <w:t>e</w:t>
      </w:r>
      <w:r>
        <w:t>funden haben, abgeschlossen. Der Prozess befindet sich nun in der Entscheidungsphase; eine Grundsatzentscheidung zum künftigen Lernzeitangebot ist indes noch nicht getroffen.</w:t>
      </w:r>
    </w:p>
    <w:p w:rsidR="00E330FE" w:rsidRDefault="00E330FE" w:rsidP="00E330FE">
      <w:pPr>
        <w:pStyle w:val="LTAntwortRessortText"/>
      </w:pPr>
      <w:r>
        <w:t>Eine mögliche Grundsatzentscheidung zur Einführung eines neuen, ggf. neunjährigen Lernzeita</w:t>
      </w:r>
      <w:r>
        <w:t>n</w:t>
      </w:r>
      <w:r>
        <w:t xml:space="preserve">gebots am Gymnasium </w:t>
      </w:r>
      <w:r w:rsidR="00E42CE9">
        <w:t>–</w:t>
      </w:r>
      <w:r>
        <w:t xml:space="preserve"> wovon die Anfrage zum Plenum in einer Vorfestlegung auszugehen scheint </w:t>
      </w:r>
      <w:r w:rsidR="00E42CE9">
        <w:t>–</w:t>
      </w:r>
      <w:r>
        <w:t xml:space="preserve"> wird selbstverständlich entsprechende Folgeentscheidungen bzw. weiteren Regelungsb</w:t>
      </w:r>
      <w:r>
        <w:t>e</w:t>
      </w:r>
      <w:r>
        <w:t xml:space="preserve">darf nach sich ziehen, dem in geeigneter Weise Rechnung zu tragen wäre. </w:t>
      </w:r>
    </w:p>
    <w:p w:rsidR="00E330FE" w:rsidRDefault="00E330FE" w:rsidP="00E330FE">
      <w:pPr>
        <w:pStyle w:val="LTAntwortRessortText"/>
      </w:pPr>
      <w:r>
        <w:t>Die weiteren Entscheidungen setzen erst eine Grundsatzentscheidung voraus.</w:t>
      </w:r>
    </w:p>
    <w:p w:rsidR="00FA5A83" w:rsidRDefault="00FA5A83"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Prof. Dr. M</w:t>
            </w:r>
            <w:r w:rsidRPr="00E330FE">
              <w:rPr>
                <w:b/>
              </w:rPr>
              <w:t>i</w:t>
            </w:r>
            <w:r w:rsidRPr="00E330FE">
              <w:rPr>
                <w:b/>
              </w:rPr>
              <w:t>chael</w:t>
            </w:r>
            <w:r w:rsidRPr="00E330FE">
              <w:rPr>
                <w:b/>
              </w:rPr>
              <w:br/>
              <w:t>Piazolo</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26" w:name="_Toc477421153"/>
            <w:r>
              <w:instrText>Prof. Dr. Piazolo, Michael (FREIE WÄHLER)</w:instrText>
            </w:r>
            <w:r>
              <w:br/>
              <w:instrText>Studierendenzahlen</w:instrText>
            </w:r>
            <w:bookmarkEnd w:id="26"/>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805CBD">
            <w:pPr>
              <w:pStyle w:val="LTAnfrageText"/>
            </w:pPr>
            <w:r>
              <w:t>Ich frage die Staatsregierung, wie viele Schüler und Schülerinnen eines Abitu</w:t>
            </w:r>
            <w:r>
              <w:t>r</w:t>
            </w:r>
            <w:r>
              <w:t>jahrganges nehmen in Bayern ein Studium auf (bitte unter Verwendung der aktuellsten Zahlen, Angabe auch in Prozent), wie viele Studierende (bezogen auf Erstsemester) kommen zur Aufnahme eines Studiums nach Bayern (bitte unter Verwendung der aktuellsten Zahlen) und wie viele Studierende (bezogen auf Erstsemester) wandern für ein Studium in ein anderes Bundesland bzw. EU-Land ab (bitte unter Verwendung der aktuellsten Zahlen)?</w:t>
            </w:r>
          </w:p>
        </w:tc>
      </w:tr>
    </w:tbl>
    <w:p w:rsidR="00FA5A83" w:rsidRDefault="00FA5A83" w:rsidP="00E330FE">
      <w:pPr>
        <w:pStyle w:val="LTUeberschrAntwortRessort"/>
      </w:pPr>
    </w:p>
    <w:p w:rsidR="00FA5A83" w:rsidRDefault="00FA5A83">
      <w:pPr>
        <w:rPr>
          <w:b/>
          <w:szCs w:val="22"/>
        </w:rPr>
      </w:pPr>
      <w:r>
        <w:br w:type="page"/>
      </w:r>
    </w:p>
    <w:p w:rsidR="00E330FE" w:rsidRDefault="00E330FE" w:rsidP="00E330FE">
      <w:pPr>
        <w:pStyle w:val="LTUeberschrAntwortRessort"/>
      </w:pPr>
      <w:r>
        <w:lastRenderedPageBreak/>
        <w:t>Antwort des Staatsministeriums für Bildung und Kultus, Wissenschaft und Kunst</w:t>
      </w:r>
    </w:p>
    <w:p w:rsidR="00E330FE" w:rsidRDefault="00E330FE" w:rsidP="00E330FE">
      <w:pPr>
        <w:pStyle w:val="LTAntwortRessortText"/>
      </w:pPr>
      <w:r>
        <w:t>Der Anteil der Studienberechtigten, die ein Studium aufnehmen (Übergangsquote), ist zeitnah nicht aussagekräftig zu ermitteln. Zwischen dem Jahr des Schulabschlusses und der Aufnahme eines Studiums vergehen teilweise mehrere Jahre. Daher ist weder die Zahl der Studienberechtigten e</w:t>
      </w:r>
      <w:r>
        <w:t>i</w:t>
      </w:r>
      <w:r>
        <w:t xml:space="preserve">nes Jahrgangs, die ein Studium aufnehmen, </w:t>
      </w:r>
      <w:r w:rsidR="00793F8E">
        <w:t>„</w:t>
      </w:r>
      <w:r>
        <w:t>endgültig</w:t>
      </w:r>
      <w:r w:rsidR="00793F8E">
        <w:t>“</w:t>
      </w:r>
      <w:r>
        <w:t xml:space="preserve"> zu ermitteln, noch kann eine </w:t>
      </w:r>
      <w:r w:rsidR="00793F8E">
        <w:t>„</w:t>
      </w:r>
      <w:r>
        <w:t>vollständige</w:t>
      </w:r>
      <w:r w:rsidR="00793F8E">
        <w:t>“</w:t>
      </w:r>
      <w:r>
        <w:t xml:space="preserve"> Übergangsquote angegeben werden. Die Übergangsquoten der Studienberechtigten gegliedert nach Ländern werden regelmäßig vom Statistischen Bundesamt veröffentlicht. Dabei wird allerdings eine Studienaufnahme in Deutschland zugrunde gelegt. Im Jahr 2010 erwarben insgesamt 60.866 Schülerinnen und Schüler eine Studienberechtigung in Bayern (darunter 39.987 eine allgemeine oder fachgebundene Hochschulreife und 20.879 eine Fachhochschulreife). Davon nahmen bis ei</w:t>
      </w:r>
      <w:r>
        <w:t>n</w:t>
      </w:r>
      <w:r>
        <w:t>schließlich Wintersemester 2015/2016 insgesamt 50.640 (das entspricht einer Übergangsquote von 83,2 Prozent) ein Studium in Deutschland auf (darunter 36.561 mit allgemeiner oder fachgebund</w:t>
      </w:r>
      <w:r>
        <w:t>e</w:t>
      </w:r>
      <w:r>
        <w:t>ner Hochschulreife, das entspricht einer Übergangsquote von 91,4 Prozent, und 14.079 mit Fac</w:t>
      </w:r>
      <w:r>
        <w:t>h</w:t>
      </w:r>
      <w:r>
        <w:t>hochschulreife, das entspricht einer Übergangsquote von 67,4 Prozent). Die entsprechenden A</w:t>
      </w:r>
      <w:r>
        <w:t>n</w:t>
      </w:r>
      <w:r>
        <w:t>gaben für den Schulabsolventenjahrgang 2015 sind aufgrund der oben genannten Gründe nicht aussagekräftig.</w:t>
      </w:r>
    </w:p>
    <w:p w:rsidR="00E330FE" w:rsidRDefault="00E330FE" w:rsidP="00E330FE">
      <w:pPr>
        <w:pStyle w:val="LTAntwortRessortText"/>
      </w:pPr>
      <w:r>
        <w:t>Inwieweit die bayerischen Schulabsolventen auch ein Studium in Bayern aufnehmen, wird vom St</w:t>
      </w:r>
      <w:r>
        <w:t>a</w:t>
      </w:r>
      <w:r>
        <w:t>tistischen Bundesamt nicht gesondert dargestellt. Im Bildungsbericht Bayern, der alle drei Jahre veröffentlicht wird, wird der Übergang der bayerischen Schulabsolventen in den Hochschulbereich näher beleuchtet. Im Bildungsbericht Bayern 2015 ist die Mobilität des Studienberechtigtenjah</w:t>
      </w:r>
      <w:r>
        <w:t>r</w:t>
      </w:r>
      <w:r>
        <w:t>gangs 2008 näher untersucht. Von den Schulabsolventen, die im Jahr 2008 eine Hochschulz</w:t>
      </w:r>
      <w:r>
        <w:t>u</w:t>
      </w:r>
      <w:r>
        <w:t>gangsberechtigung in Bayern erworben haben und bis Wintersemester 2012/2013 ein Studium in Deutschland aufgenommen haben, entschieden sich 80,8 Prozent für ein Studium in Bayern und 19,2 Prozent für ein Studium im übrigen Deutschland. Neuere Angaben hierzu liegen dem Staat</w:t>
      </w:r>
      <w:r>
        <w:t>s</w:t>
      </w:r>
      <w:r>
        <w:t>ministerium für Bildung und Kultus, Wissenschaft und Kunst derzeit nicht vor.</w:t>
      </w:r>
    </w:p>
    <w:p w:rsidR="00E330FE" w:rsidRDefault="00E330FE" w:rsidP="00E330FE">
      <w:pPr>
        <w:pStyle w:val="LTAntwortRessortText"/>
      </w:pPr>
      <w:r>
        <w:t>Über die Zahl der Studienberechtigten aus Bayern, die ein Studium im Ausland aufnehmen, liegen generell keine Informationen vor.</w:t>
      </w:r>
    </w:p>
    <w:p w:rsidR="00E330FE" w:rsidRDefault="00E330FE" w:rsidP="00E330FE">
      <w:pPr>
        <w:pStyle w:val="LTAntwortRessortText"/>
      </w:pPr>
      <w:r>
        <w:t xml:space="preserve">Im Studienjahr 2015 (Sommersemester 2015 und Wintersemester 2015/2016) waren insgesamt 74.223 Studienanfänger im </w:t>
      </w:r>
      <w:r w:rsidR="00E42CE9">
        <w:t xml:space="preserve">ersten </w:t>
      </w:r>
      <w:r>
        <w:t>Hochschulsemester in Bayern zu verzeichnen, davon hatten 45.511 bzw. 61,3 Prozent eine Hochschulzugangsberechtigung aus Bayern, 12.358 bzw. 16,6 Pr</w:t>
      </w:r>
      <w:r>
        <w:t>o</w:t>
      </w:r>
      <w:r>
        <w:t>zent eine Hochschulzugangsberechtigung aus dem übrigen Deutschland und 16.354 bzw. 22,0 Prozent eine Hochschulzugangsberechtigung aus dem Ausland. Diese Angaben beinhalten auch nichtschulische Hochschulzugangsberechtigungen. Entsprechende Angaben für das Studienjahr 2016 (Sommersemester 2016 und Wintersemester 2016/2017) liegen derzeit noch nicht vor.</w:t>
      </w:r>
    </w:p>
    <w:p w:rsidR="00FA5A83" w:rsidRDefault="00FA5A83"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Dr. Christoph</w:t>
            </w:r>
            <w:r w:rsidRPr="00E330FE">
              <w:rPr>
                <w:b/>
              </w:rPr>
              <w:br/>
              <w:t>Rabenstein</w:t>
            </w:r>
            <w:r w:rsidRPr="00E330FE">
              <w:rPr>
                <w:b/>
              </w:rPr>
              <w:br/>
            </w:r>
            <w:r w:rsidRPr="00E330FE">
              <w:t>(SPD)</w:t>
            </w:r>
            <w:r>
              <w:fldChar w:fldCharType="begin"/>
            </w:r>
            <w:r>
              <w:instrText xml:space="preserve"> TC </w:instrText>
            </w:r>
            <w:r w:rsidR="00793F8E">
              <w:instrText>„</w:instrText>
            </w:r>
            <w:bookmarkStart w:id="27" w:name="_Toc477421154"/>
            <w:r>
              <w:instrText>Dr. Rabenstein, Christoph (SPD)</w:instrText>
            </w:r>
            <w:r>
              <w:br/>
              <w:instrText>Auswirkungen des G9 im Regierungsbezirk Oberfranken</w:instrText>
            </w:r>
            <w:bookmarkEnd w:id="27"/>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Da die Verlängerung der gymnasialen Schulzeit von acht auf neun Jahre eine Vielzahl von Anpassungen des Bildungswesens in Bayern erfordern wird, fr</w:t>
            </w:r>
            <w:r>
              <w:t>a</w:t>
            </w:r>
            <w:r>
              <w:t>ge ich die Staatsregierung, welche baulichen, pädagogischen und schulorg</w:t>
            </w:r>
            <w:r>
              <w:t>a</w:t>
            </w:r>
            <w:r w:rsidR="00E42CE9">
              <w:t>nisatorischen Veränderungen (</w:t>
            </w:r>
            <w:r>
              <w:t>bitte personelle und allgemeine Veränderungen angeben) ergeben sich für den Regierungsbezirk Oberfranken (bitte für die Landkreise und kreisfreien Städte, Gemeinden und einzelnen Gymnasien j</w:t>
            </w:r>
            <w:r>
              <w:t>e</w:t>
            </w:r>
            <w:r>
              <w:t>weils gesondert angeben)?</w:t>
            </w:r>
          </w:p>
          <w:p w:rsidR="00E330FE" w:rsidRDefault="00E330FE" w:rsidP="00E330FE">
            <w:pPr>
              <w:pStyle w:val="LTAnfrageText"/>
            </w:pPr>
          </w:p>
        </w:tc>
      </w:tr>
    </w:tbl>
    <w:p w:rsidR="00E330FE" w:rsidRDefault="00E330FE" w:rsidP="00E330FE">
      <w:pPr>
        <w:pStyle w:val="LTUeberschrAntwortRessort"/>
      </w:pPr>
      <w:r>
        <w:lastRenderedPageBreak/>
        <w:t>Antwort des Staatsministeriums für Bildung und Kultus, Wissenschaft und Kunst</w:t>
      </w:r>
    </w:p>
    <w:p w:rsidR="00E330FE" w:rsidRDefault="00E330FE" w:rsidP="00E330FE">
      <w:pPr>
        <w:pStyle w:val="LTAntwortRessortText"/>
      </w:pPr>
      <w:r>
        <w:t>Ende Juli 2016 hat sich das bayerische Kabinett auf seiner Klausurtagung in St. Quirin mit der We</w:t>
      </w:r>
      <w:r>
        <w:t>i</w:t>
      </w:r>
      <w:r>
        <w:t>terentwicklung des Gymnasiums befasst. Dabei wurde zunächst eine Dialogphase beschlossen, in die Vertreter der Schulfamilie, der Verbände und der Bildungspolitik einbezogen werden. Ziel dieser Gespräche war es, auf der Basis der Erfahrungen aus der Pilotphase der Mittelstufe Plus ein lan</w:t>
      </w:r>
      <w:r>
        <w:t>g</w:t>
      </w:r>
      <w:r>
        <w:t>fristig tragfähi</w:t>
      </w:r>
      <w:r w:rsidR="00E42CE9">
        <w:t>ges Modell für die Zukunft des b</w:t>
      </w:r>
      <w:r>
        <w:t>ayerischen Gymnasiums zu entwickeln, das den g</w:t>
      </w:r>
      <w:r>
        <w:t>e</w:t>
      </w:r>
      <w:r>
        <w:t>änderten Erfordernissen wie der zunehmend heterogenen Schülerschaft und unterschiedlichen Schulstandorten Rechnung trägt.</w:t>
      </w:r>
    </w:p>
    <w:p w:rsidR="00E330FE" w:rsidRDefault="00E330FE" w:rsidP="00E330FE">
      <w:pPr>
        <w:pStyle w:val="LTAntwortRessortText"/>
      </w:pPr>
      <w:r>
        <w:t xml:space="preserve">Diese Dialogphase ist nach Spitzengesprächen, die Anfang März </w:t>
      </w:r>
      <w:r w:rsidR="00E42CE9">
        <w:t xml:space="preserve">2017 </w:t>
      </w:r>
      <w:r>
        <w:t>in der Staatskanzlei stattg</w:t>
      </w:r>
      <w:r>
        <w:t>e</w:t>
      </w:r>
      <w:r>
        <w:t>funden haben, abgeschlossen. Der Prozess befindet sich nun in der Entscheidungsphase; eine Grundsatzentscheidung zum künftigen Lernzeitangebot ist indes noch nicht getroffen.</w:t>
      </w:r>
    </w:p>
    <w:p w:rsidR="00E330FE" w:rsidRDefault="00E330FE" w:rsidP="00E330FE">
      <w:pPr>
        <w:pStyle w:val="LTAntwortRessortText"/>
      </w:pPr>
      <w:r>
        <w:t>Eine mögliche Grundsatzentscheidung zur Einführung eines neuen, ggf. neunjährigen Lernzeita</w:t>
      </w:r>
      <w:r>
        <w:t>n</w:t>
      </w:r>
      <w:r>
        <w:t xml:space="preserve">gebots am Gymnasium </w:t>
      </w:r>
      <w:r w:rsidR="00E42CE9">
        <w:t>–</w:t>
      </w:r>
      <w:r>
        <w:t xml:space="preserve"> wovon die Anfrage zum Plenum in einer Vorfestlegung auszugehen scheint </w:t>
      </w:r>
      <w:r w:rsidR="00E42CE9">
        <w:t>–</w:t>
      </w:r>
      <w:r>
        <w:t xml:space="preserve"> wird selbstverständlich entsprechende Folgeentscheidungen bzw. weiteren Regelungsb</w:t>
      </w:r>
      <w:r>
        <w:t>e</w:t>
      </w:r>
      <w:r>
        <w:t xml:space="preserve">darf nach sich ziehen, dem in geeigneter Weise Rechnung zu tragen wäre. </w:t>
      </w:r>
    </w:p>
    <w:p w:rsidR="00E330FE" w:rsidRDefault="00E330FE" w:rsidP="00E330FE">
      <w:pPr>
        <w:pStyle w:val="LTAntwortRessortText"/>
      </w:pPr>
      <w:r>
        <w:t>Die weiteren Entscheidungen setzen erst eine Grundsatzentscheidung voraus.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Gabi</w:t>
            </w:r>
            <w:r w:rsidRPr="00E330FE">
              <w:rPr>
                <w:b/>
              </w:rPr>
              <w:br/>
              <w:t>Schmidt</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28" w:name="_Toc477421155"/>
            <w:r>
              <w:instrText>Schmidt, Gabi (FREIE WÄHLER)</w:instrText>
            </w:r>
            <w:r>
              <w:br/>
              <w:instrText>Sachstand im Hinblick auf die geplante Errichtung eines Bayerischen Landesamts für Schule in Gunzenhausen</w:instrText>
            </w:r>
            <w:bookmarkEnd w:id="28"/>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ist der konkrete Sachstand im Hinblick auf die geplante Errichtung eines Bayerischen Landesamts für Schule in Gunze</w:t>
            </w:r>
            <w:r>
              <w:t>n</w:t>
            </w:r>
            <w:r>
              <w:t>hausen (Gebäude, Organisation, Zeitplan, Kosten), aus welchen Behörden stammt konkret das dorthin zu verlegenden Personal (bitte konkret die Ne</w:t>
            </w:r>
            <w:r>
              <w:t>n</w:t>
            </w:r>
            <w:r>
              <w:t>nung der fränkischen Behörden, die von der der Verlagerung betroffen sind</w:t>
            </w:r>
            <w:r w:rsidR="00A36E1C">
              <w:t>,</w:t>
            </w:r>
            <w:r>
              <w:t xml:space="preserve"> sowie die Anzahl der Stellen die nach Gunzenhausen verlegt werden) und welche Vor- und Nachteile für die Organisation sieht die Staatsregierung in der Verlagerung?</w:t>
            </w:r>
          </w:p>
          <w:p w:rsidR="00E330FE" w:rsidRDefault="00E330FE" w:rsidP="00E330FE">
            <w:pPr>
              <w:pStyle w:val="LTAnfrageText"/>
            </w:pPr>
          </w:p>
        </w:tc>
      </w:tr>
    </w:tbl>
    <w:p w:rsidR="00E330FE" w:rsidRDefault="00E330FE" w:rsidP="00E330FE">
      <w:pPr>
        <w:pStyle w:val="LTUeberschrAntwortRessort"/>
      </w:pPr>
      <w:r>
        <w:t>Antwort des Staatsministeriums für Bildung und Kultus, Wissenschaft und Kunst</w:t>
      </w:r>
    </w:p>
    <w:p w:rsidR="00E330FE" w:rsidRDefault="00E330FE" w:rsidP="00E330FE">
      <w:pPr>
        <w:pStyle w:val="LTAntwortRessortText"/>
      </w:pPr>
      <w:r>
        <w:t>Die Errichtung und der Aufbau des Bayerischen Landesamts für Schule (LAS) ist ein wichtiger B</w:t>
      </w:r>
      <w:r>
        <w:t>e</w:t>
      </w:r>
      <w:r>
        <w:t xml:space="preserve">standteil der Heimatstrategie der Staatsregierung </w:t>
      </w:r>
      <w:r w:rsidR="00793F8E">
        <w:t>„</w:t>
      </w:r>
      <w:r>
        <w:t xml:space="preserve">Regionalisierung von Verwaltung </w:t>
      </w:r>
      <w:r w:rsidR="00E42CE9">
        <w:t>–</w:t>
      </w:r>
      <w:r>
        <w:t xml:space="preserve"> Behördenve</w:t>
      </w:r>
      <w:r>
        <w:t>r</w:t>
      </w:r>
      <w:r>
        <w:t>lagerungen 2015</w:t>
      </w:r>
      <w:r w:rsidR="00793F8E">
        <w:t>“</w:t>
      </w:r>
      <w:r>
        <w:t xml:space="preserve">. </w:t>
      </w:r>
    </w:p>
    <w:p w:rsidR="00E330FE" w:rsidRDefault="00E330FE" w:rsidP="00E330FE">
      <w:pPr>
        <w:pStyle w:val="LTAntwortRessortText"/>
      </w:pPr>
      <w:r>
        <w:t xml:space="preserve">Das LAS wurde zum </w:t>
      </w:r>
      <w:r w:rsidR="00E42CE9">
        <w:t xml:space="preserve">1. Januar </w:t>
      </w:r>
      <w:r>
        <w:t>2017 förmlich errichtet, ist dem Staatsministerium für Bildung und Kultus, Wissenschaft und Kunst unmittelbar nachgeordnet, soll sukzessive auf ca. 100 Stellen wachsen und ist derzeit in der Stuttgarter Straße 1 in der Stadt Gunzenhausen räumlich unterg</w:t>
      </w:r>
      <w:r>
        <w:t>e</w:t>
      </w:r>
      <w:r>
        <w:t xml:space="preserve">bracht. </w:t>
      </w:r>
    </w:p>
    <w:p w:rsidR="00E330FE" w:rsidRDefault="00E330FE" w:rsidP="00E330FE">
      <w:pPr>
        <w:pStyle w:val="LTAntwortRessortText"/>
      </w:pPr>
      <w:r>
        <w:t xml:space="preserve">In Art. 117 Abs. 2 </w:t>
      </w:r>
      <w:r w:rsidR="00E42CE9">
        <w:t>des Bayerischen</w:t>
      </w:r>
      <w:r>
        <w:t xml:space="preserve"> Gesetz</w:t>
      </w:r>
      <w:r w:rsidR="00E42CE9">
        <w:t>es</w:t>
      </w:r>
      <w:r>
        <w:t xml:space="preserve"> über das Erziehungs- und Unterrichtswesen (BayEUG) ist geregelt, dass das LAS nach Maßgabe gesonderter Vorschriften landesweit insb</w:t>
      </w:r>
      <w:r>
        <w:t>e</w:t>
      </w:r>
      <w:r>
        <w:t>sondere Aufgaben der schulischen Personalverwaltung, Schulfinanzierung, Zeugnisanerkennung, Schulqualität sowie des Schulsports erfüllt. Das LAS übernimmt auf dieser gesetzlichen Grundlage im Laufe des Verlagerungsprozesses, der nach den bayernweiten Rahmenbedingungen für Behö</w:t>
      </w:r>
      <w:r>
        <w:t>r</w:t>
      </w:r>
      <w:r>
        <w:t>denverlagerungen längstens bis zum Jahr 2025 abgeschlossen sein muss, sukzessive die Aufg</w:t>
      </w:r>
      <w:r>
        <w:t>a</w:t>
      </w:r>
      <w:r>
        <w:t xml:space="preserve">ben der Bayerischen Landesstelle für den Schulsport, der Qualitätsagentur am Staatsinstitut für </w:t>
      </w:r>
      <w:r>
        <w:lastRenderedPageBreak/>
        <w:t>Schulqualität und Bildungsforschung, der beim Ministerialbeauftragten für die Gymnasien in Oberbayern-West eingerichteten Zeugnisanerkennungsstelle für den Freistaat Bayern sowie b</w:t>
      </w:r>
      <w:r>
        <w:t>e</w:t>
      </w:r>
      <w:r>
        <w:t>stimmte Aufgaben insbesondere in den Bereichen Schulfinanzierung und Schulpersonalverwaltung, die bisher von den Regierungen wahrgenommen werden</w:t>
      </w:r>
      <w:r w:rsidR="00A36E1C">
        <w:t>,</w:t>
      </w:r>
      <w:r>
        <w:t xml:space="preserve"> und führt diese dann dauerhaft fort. Als </w:t>
      </w:r>
      <w:r w:rsidR="00793F8E">
        <w:t>„</w:t>
      </w:r>
      <w:r>
        <w:t>fränkische Behörde</w:t>
      </w:r>
      <w:r w:rsidR="00793F8E">
        <w:t>“</w:t>
      </w:r>
      <w:r>
        <w:t xml:space="preserve"> ist insoweit die Regierung von Mittelfranken am Verlagerungsprozess bete</w:t>
      </w:r>
      <w:r>
        <w:t>i</w:t>
      </w:r>
      <w:r>
        <w:t>ligt. Die Beschäftigten entscheiden auf der Grundlage des Personalrahmenkonzepts des Staatsm</w:t>
      </w:r>
      <w:r>
        <w:t>i</w:t>
      </w:r>
      <w:r>
        <w:t>nisteriums der Finanzen, für Landesentwicklung und Heimat, ob sie an das LAS wechseln. Au</w:t>
      </w:r>
      <w:r>
        <w:t>s</w:t>
      </w:r>
      <w:r>
        <w:t>schreibungen und Neueinstellungen insbesondere im Rahmen der Fluktuation erfolgen im Hinblick auf eine dienstliche Verwendung am LAS. Zur ergänzenden Information und auch wegen der Ko</w:t>
      </w:r>
      <w:r>
        <w:t>s</w:t>
      </w:r>
      <w:r>
        <w:t xml:space="preserve">ten wird auf den Gesetzentwurf der Staatsregierung zur Errichtung des LAS vom </w:t>
      </w:r>
      <w:r w:rsidR="00E42CE9">
        <w:t xml:space="preserve">4. Oktober </w:t>
      </w:r>
      <w:r>
        <w:t>2016 (</w:t>
      </w:r>
      <w:r w:rsidR="00E42CE9">
        <w:t>Drs.</w:t>
      </w:r>
      <w:r>
        <w:t xml:space="preserve"> 17/13144) verwiesen. </w:t>
      </w:r>
    </w:p>
    <w:p w:rsidR="00E330FE" w:rsidRDefault="00E330FE" w:rsidP="00E330FE">
      <w:pPr>
        <w:pStyle w:val="LTAntwortRessortText"/>
      </w:pPr>
      <w:r>
        <w:t>Organisatorische Nachteile sind mit der Verlagerung nicht verbunden. Das LAS wird sich vielmehr während des Verlagerungsprozesses zu einem landesweiten Kompetenzzentrum entwickeln.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Helga</w:t>
            </w:r>
            <w:r w:rsidRPr="00E330FE">
              <w:rPr>
                <w:b/>
              </w:rPr>
              <w:br/>
              <w:t>Schmitt-Bussinger</w:t>
            </w:r>
            <w:r w:rsidRPr="00E330FE">
              <w:rPr>
                <w:b/>
              </w:rPr>
              <w:br/>
            </w:r>
            <w:r w:rsidRPr="00E330FE">
              <w:t>(SPD)</w:t>
            </w:r>
            <w:r>
              <w:fldChar w:fldCharType="begin"/>
            </w:r>
            <w:r>
              <w:instrText xml:space="preserve"> TC </w:instrText>
            </w:r>
            <w:r w:rsidR="00793F8E">
              <w:instrText>„</w:instrText>
            </w:r>
            <w:bookmarkStart w:id="29" w:name="_Toc477421156"/>
            <w:r>
              <w:instrText>Schmitt-Bussinger, Helga (SPD)</w:instrText>
            </w:r>
            <w:r>
              <w:br/>
              <w:instrText>Neues Schloss Pappenheim: Fassadensanierung</w:instrText>
            </w:r>
            <w:bookmarkEnd w:id="29"/>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Nachdem der Umgang mit staatlichen Fördergeldern mit größter Sorgfalt g</w:t>
            </w:r>
            <w:r>
              <w:t>e</w:t>
            </w:r>
            <w:r>
              <w:t>schehen muss und mögliche Unklarheiten bei der Verwendung aufgeklärt we</w:t>
            </w:r>
            <w:r>
              <w:t>r</w:t>
            </w:r>
            <w:r>
              <w:t>den müssen, frage ich die Staatsregierung, war in der geförderten Sani</w:t>
            </w:r>
            <w:r>
              <w:t>e</w:t>
            </w:r>
            <w:r>
              <w:t>rungsmaßnahme des Neuen Schlosses Pappenheim die Sanierung der al</w:t>
            </w:r>
            <w:r>
              <w:t>t</w:t>
            </w:r>
            <w:r>
              <w:t>mühlseitigen Fassade enthalten, war die südseitige Fassade enthalten und welche Teile davon sollten jeweils konkret saniert werden?</w:t>
            </w:r>
          </w:p>
          <w:p w:rsidR="00E330FE" w:rsidRDefault="00E330FE" w:rsidP="00E330FE">
            <w:pPr>
              <w:pStyle w:val="LTAnfrageText"/>
            </w:pPr>
          </w:p>
        </w:tc>
      </w:tr>
    </w:tbl>
    <w:p w:rsidR="00E330FE" w:rsidRDefault="00E330FE" w:rsidP="00E330FE">
      <w:pPr>
        <w:pStyle w:val="LTUeberschrAntwortRessort"/>
      </w:pPr>
      <w:r>
        <w:t>Antwort des Staatsministeriums für Bildung und Kultus, Wissenschaft und Kunst</w:t>
      </w:r>
    </w:p>
    <w:p w:rsidR="00E330FE" w:rsidRDefault="00E330FE" w:rsidP="00E330FE">
      <w:pPr>
        <w:pStyle w:val="LTAntwortRessortText"/>
      </w:pPr>
      <w:r>
        <w:t>Die Gesamtmaßnahme umfasst die Fassadeninstandsetzungen mit Konservierung der Naturstei</w:t>
      </w:r>
      <w:r>
        <w:t>n</w:t>
      </w:r>
      <w:r>
        <w:t xml:space="preserve">bauteile, Putzsicherung und -erneuerung, Farbfassung nach Befund und Reparatur der Fenster des östlichen und westlichen Seitentrakts sowie des Mitteltrakts (darin enthalten auch die südseitige Fassade). Dies wurde bereits in der Antwort der Staatsregierung </w:t>
      </w:r>
      <w:r w:rsidR="00373FDD">
        <w:t xml:space="preserve">vom 22. Dezember </w:t>
      </w:r>
      <w:r w:rsidR="00373FDD" w:rsidRPr="00373FDD">
        <w:t>2016</w:t>
      </w:r>
      <w:r w:rsidR="00373FDD">
        <w:t xml:space="preserve"> </w:t>
      </w:r>
      <w:r>
        <w:t xml:space="preserve">zur Schriftlichen Anfrage der Frau Abgeordneten Helga Schmitt-Bussinger </w:t>
      </w:r>
      <w:r w:rsidR="00373FDD">
        <w:t>betreffend „Sanierung Ne</w:t>
      </w:r>
      <w:r w:rsidR="00373FDD">
        <w:t>u</w:t>
      </w:r>
      <w:r w:rsidR="00373FDD">
        <w:t xml:space="preserve">es Schloss Pappenheim“ </w:t>
      </w:r>
      <w:r w:rsidR="00A36E1C">
        <w:t xml:space="preserve">vom 24. November </w:t>
      </w:r>
      <w:r>
        <w:t xml:space="preserve">2016 </w:t>
      </w:r>
      <w:r w:rsidR="00373FDD">
        <w:t xml:space="preserve">(keine Drucklegung) </w:t>
      </w:r>
      <w:r>
        <w:t>bei der Beantwortung der Fragen Nr. 1.2 und 1.3 ausgeführt.</w:t>
      </w:r>
    </w:p>
    <w:p w:rsidR="00FA5A83" w:rsidRDefault="00FA5A83"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Stefan</w:t>
            </w:r>
            <w:r w:rsidRPr="00E330FE">
              <w:rPr>
                <w:b/>
              </w:rPr>
              <w:br/>
              <w:t>Schuster</w:t>
            </w:r>
            <w:r w:rsidRPr="00E330FE">
              <w:rPr>
                <w:b/>
              </w:rPr>
              <w:br/>
            </w:r>
            <w:r w:rsidRPr="00E330FE">
              <w:t>(SPD)</w:t>
            </w:r>
            <w:r>
              <w:fldChar w:fldCharType="begin"/>
            </w:r>
            <w:r>
              <w:instrText xml:space="preserve"> TC </w:instrText>
            </w:r>
            <w:r w:rsidR="00793F8E">
              <w:instrText>„</w:instrText>
            </w:r>
            <w:bookmarkStart w:id="30" w:name="_Toc477421157"/>
            <w:r>
              <w:instrText>Schuster, Stefan (SPD)</w:instrText>
            </w:r>
            <w:r>
              <w:br/>
              <w:instrText>Auswirkungen des G9 im Regierungsbezirk Mittelfranken</w:instrText>
            </w:r>
            <w:bookmarkEnd w:id="30"/>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Da die Verlängerung der gymnasialen Schulzeit von acht auf neun Jahre eine Vielzahl von Anpassungen des Bildungswesens in Bayern erfordern wird, fr</w:t>
            </w:r>
            <w:r>
              <w:t>a</w:t>
            </w:r>
            <w:r>
              <w:t>ge ich die Staatsregierung, welche baulichen, pädagogischen und schulorg</w:t>
            </w:r>
            <w:r>
              <w:t>a</w:t>
            </w:r>
            <w:r>
              <w:t xml:space="preserve">nisatorischen Veränderungen (bitte personelle und allgemeine Veränderungen angeben) ergeben sich für den Regierungsbezirk Mittelfranken (bitte für die Landkreise und kreisfreien Städte, Gemeinden </w:t>
            </w:r>
            <w:r w:rsidR="00373FDD">
              <w:t>u</w:t>
            </w:r>
            <w:r>
              <w:t>nd einzelnen Gymnasien j</w:t>
            </w:r>
            <w:r>
              <w:t>e</w:t>
            </w:r>
            <w:r>
              <w:t>weils gesondert angeben)?</w:t>
            </w:r>
          </w:p>
          <w:p w:rsidR="00E330FE" w:rsidRDefault="00E330FE" w:rsidP="00E330FE">
            <w:pPr>
              <w:pStyle w:val="LTAnfrageText"/>
            </w:pPr>
          </w:p>
        </w:tc>
      </w:tr>
    </w:tbl>
    <w:p w:rsidR="00E330FE" w:rsidRDefault="00E330FE" w:rsidP="00E330FE">
      <w:pPr>
        <w:pStyle w:val="LTUeberschrAntwortRessort"/>
      </w:pPr>
      <w:r>
        <w:lastRenderedPageBreak/>
        <w:t>Antwort des Staatsministeriums für Bildung und Kultus, Wissenschaft und Kunst</w:t>
      </w:r>
    </w:p>
    <w:p w:rsidR="00E330FE" w:rsidRDefault="00E330FE" w:rsidP="00E330FE">
      <w:pPr>
        <w:pStyle w:val="LTAntwortRessortText"/>
      </w:pPr>
      <w:r>
        <w:t>Ende Juli 2016 hat sich das bayerische Kabinett auf seiner Klausurtagung in St. Quirin mit der We</w:t>
      </w:r>
      <w:r>
        <w:t>i</w:t>
      </w:r>
      <w:r>
        <w:t>terentwicklung des Gymnasiums befasst. Dabei wurde zunächst eine Dialogphase beschlossen, in die Vertreter der Schulfamilie, der Verbände und der Bildungspolitik einbezogen werden. Ziel dieser Gespräche war es, auf der Basis der Erfahrungen aus der Pilotphase der Mittelstufe Plus ein lan</w:t>
      </w:r>
      <w:r>
        <w:t>g</w:t>
      </w:r>
      <w:r>
        <w:t>fristig tragfähi</w:t>
      </w:r>
      <w:r w:rsidR="00373FDD">
        <w:t>ges Modell für die Zukunft des b</w:t>
      </w:r>
      <w:r>
        <w:t>ayerischen Gymnasiums zu entwickeln, das den g</w:t>
      </w:r>
      <w:r>
        <w:t>e</w:t>
      </w:r>
      <w:r>
        <w:t>änderten Erfordernissen wie der zunehmend heterogenen Schülerschaft und unterschiedlichen Schulstandorten Rechnung trägt.</w:t>
      </w:r>
    </w:p>
    <w:p w:rsidR="00E330FE" w:rsidRDefault="00E330FE" w:rsidP="00E330FE">
      <w:pPr>
        <w:pStyle w:val="LTAntwortRessortText"/>
      </w:pPr>
      <w:r>
        <w:t>Diese Dialogphase ist nach Spitzengesprächen, die Anfang März</w:t>
      </w:r>
      <w:r w:rsidR="00373FDD">
        <w:t xml:space="preserve"> 2017</w:t>
      </w:r>
      <w:r>
        <w:t xml:space="preserve"> in der Staatskanzlei stattg</w:t>
      </w:r>
      <w:r>
        <w:t>e</w:t>
      </w:r>
      <w:r>
        <w:t>funden haben, abgeschlossen. Der Prozess befindet sich nun in der Entscheidungsphase; eine Grundsatzentscheidung zum künftigen Lernzeitangebot ist indes noch nicht getroffen.</w:t>
      </w:r>
    </w:p>
    <w:p w:rsidR="00E330FE" w:rsidRDefault="00E330FE" w:rsidP="00E330FE">
      <w:pPr>
        <w:pStyle w:val="LTAntwortRessortText"/>
      </w:pPr>
      <w:r>
        <w:t>Eine mögliche Grundsatzentscheidung zur Einführung eines neuen, ggf. neunjährigen Lernzeita</w:t>
      </w:r>
      <w:r>
        <w:t>n</w:t>
      </w:r>
      <w:r>
        <w:t xml:space="preserve">gebots am Gymnasium </w:t>
      </w:r>
      <w:r w:rsidR="00373FDD">
        <w:t>–</w:t>
      </w:r>
      <w:r>
        <w:t xml:space="preserve"> wovon die Anfrage zum Plenum in einer Vorfestlegung auszugehen scheint </w:t>
      </w:r>
      <w:r w:rsidR="00373FDD">
        <w:t>–</w:t>
      </w:r>
      <w:r>
        <w:t xml:space="preserve"> wird selbstverständlich entsprechende Folgeentscheidungen bzw. weiteren Regelungsb</w:t>
      </w:r>
      <w:r>
        <w:t>e</w:t>
      </w:r>
      <w:r>
        <w:t xml:space="preserve">darf nach sich ziehen, dem in geeigneter Weise Rechnung zu tragen wäre. </w:t>
      </w:r>
    </w:p>
    <w:p w:rsidR="00E330FE" w:rsidRDefault="00E330FE" w:rsidP="00E330FE">
      <w:pPr>
        <w:pStyle w:val="LTAntwortRessortText"/>
      </w:pPr>
      <w:r>
        <w:t>Die weiteren Entscheidungen setzen erst eine Grundsatzentscheidung voraus.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Claudia</w:t>
            </w:r>
            <w:r w:rsidRPr="00E330FE">
              <w:rPr>
                <w:b/>
              </w:rPr>
              <w:br/>
              <w:t>Stamm</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31" w:name="_Toc477421158"/>
            <w:r>
              <w:instrText>Stamm, Claudia (BÜNDNIS 90/DIE GRÜNEN)</w:instrText>
            </w:r>
            <w:r>
              <w:br/>
              <w:instrText>Schülerinnen/Schüler-Lehrkräfte-Korrelation</w:instrText>
            </w:r>
            <w:bookmarkEnd w:id="31"/>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 xml:space="preserve">Ich frage die Staatsregierung, wie viele Lehrerinnen und Lehrer sind </w:t>
            </w:r>
            <w:r w:rsidR="00373FDD">
              <w:t>–</w:t>
            </w:r>
            <w:r>
              <w:t xml:space="preserve"> in Vol</w:t>
            </w:r>
            <w:r>
              <w:t>l</w:t>
            </w:r>
            <w:r>
              <w:t xml:space="preserve">zeitäquivalenten </w:t>
            </w:r>
            <w:r w:rsidR="00373FDD">
              <w:t>–</w:t>
            </w:r>
            <w:r>
              <w:t xml:space="preserve"> im laufenden Schuljahr an allgemeinbildenden staatlichen Schulen in Bayern beschäftigt, wie viele waren es im Schuljahr 2008/2009 und wie hat sich die Schülerinnen/Schüler-Lehrkräfte-Korrelation in diesen Schulen seit dem Schuljahr 2008/2009 in exakten Zahlen bis heute entwickelt?</w:t>
            </w:r>
          </w:p>
          <w:p w:rsidR="00E330FE" w:rsidRDefault="00E330FE" w:rsidP="00E330FE">
            <w:pPr>
              <w:pStyle w:val="LTAnfrageText"/>
            </w:pPr>
          </w:p>
        </w:tc>
      </w:tr>
    </w:tbl>
    <w:p w:rsidR="00E330FE" w:rsidRDefault="00E330FE" w:rsidP="00E330FE">
      <w:pPr>
        <w:pStyle w:val="LTUeberschrAntwortRessort"/>
      </w:pPr>
      <w:r>
        <w:t>Antwort des Staatsministeriums für Bildung und Kultus, Wissenschaft und Kunst</w:t>
      </w:r>
    </w:p>
    <w:p w:rsidR="00E330FE" w:rsidRDefault="00E330FE" w:rsidP="00E330FE">
      <w:pPr>
        <w:pStyle w:val="LTAntwortRessortText"/>
      </w:pPr>
      <w:r>
        <w:t>Folgender Tabelle können für die allgemeinbildenden staatlichen Schulen die Anzahl der Schüler, die Anzahl der Lehrkräfte (in Vollzeitäquivalenten) und die Schüler-Lehrer-Relation seit dem Schu</w:t>
      </w:r>
      <w:r>
        <w:t>l</w:t>
      </w:r>
      <w:r>
        <w:t>jahr 2008/2009 entnommen werden.</w:t>
      </w:r>
    </w:p>
    <w:p w:rsidR="00373FDD" w:rsidRDefault="00373FDD" w:rsidP="00E330FE">
      <w:pPr>
        <w:pStyle w:val="LTAntwortRessortText"/>
      </w:pPr>
      <w:r>
        <w:rPr>
          <w:noProof/>
        </w:rPr>
        <w:drawing>
          <wp:inline distT="0" distB="0" distL="0" distR="0" wp14:anchorId="59EC18F5" wp14:editId="518646BF">
            <wp:extent cx="5831840" cy="170637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31840" cy="1706370"/>
                    </a:xfrm>
                    <a:prstGeom prst="rect">
                      <a:avLst/>
                    </a:prstGeom>
                    <a:noFill/>
                    <a:ln>
                      <a:noFill/>
                    </a:ln>
                  </pic:spPr>
                </pic:pic>
              </a:graphicData>
            </a:graphic>
          </wp:inline>
        </w:drawing>
      </w:r>
    </w:p>
    <w:p w:rsidR="00E330FE" w:rsidRDefault="00E330FE" w:rsidP="00E330FE">
      <w:pPr>
        <w:pStyle w:val="LTAntwortRessortText"/>
      </w:pPr>
      <w:r>
        <w:t>Für das Schuljahr 2016/2017 liegen noch keine vollständig plausibilisierten Daten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lastRenderedPageBreak/>
              <w:t>Abgeordnete</w:t>
            </w:r>
            <w:r w:rsidRPr="00E330FE">
              <w:br/>
            </w:r>
            <w:r w:rsidRPr="00E330FE">
              <w:rPr>
                <w:b/>
              </w:rPr>
              <w:t>Dr. Simone</w:t>
            </w:r>
            <w:r w:rsidRPr="00E330FE">
              <w:rPr>
                <w:b/>
              </w:rPr>
              <w:br/>
              <w:t>Strohmayr</w:t>
            </w:r>
            <w:r w:rsidRPr="00E330FE">
              <w:rPr>
                <w:b/>
              </w:rPr>
              <w:br/>
            </w:r>
            <w:r w:rsidRPr="00E330FE">
              <w:t>(SPD)</w:t>
            </w:r>
            <w:r>
              <w:fldChar w:fldCharType="begin"/>
            </w:r>
            <w:r>
              <w:instrText xml:space="preserve"> TC </w:instrText>
            </w:r>
            <w:r w:rsidR="00793F8E">
              <w:instrText>„</w:instrText>
            </w:r>
            <w:bookmarkStart w:id="32" w:name="_Toc477421159"/>
            <w:r>
              <w:instrText>Dr. Strohmayr, Simone (SPD)</w:instrText>
            </w:r>
            <w:r>
              <w:br/>
              <w:instrText>Unterrichtsversorgung - Integrierte Lehrerreserve</w:instrText>
            </w:r>
            <w:bookmarkEnd w:id="32"/>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B65B07">
            <w:pPr>
              <w:pStyle w:val="LTAnfrageText"/>
            </w:pPr>
            <w:r>
              <w:t>Ich frage die Staatsregierung, wie weit ist der Aufbau der</w:t>
            </w:r>
            <w:r w:rsidR="00793F8E">
              <w:t xml:space="preserve"> </w:t>
            </w:r>
            <w:r w:rsidR="00A36E1C">
              <w:t>I</w:t>
            </w:r>
            <w:r>
              <w:t>ntegrierten Lehre</w:t>
            </w:r>
            <w:r>
              <w:t>r</w:t>
            </w:r>
            <w:r>
              <w:t>reserve an den Realschulen, Gymnasien und beruflichen Schulen vorang</w:t>
            </w:r>
            <w:r>
              <w:t>e</w:t>
            </w:r>
            <w:r>
              <w:t>schritten (bitte für die einzelnen Schularten in absoluten Zahlen und in Prozent ausdrücken)?</w:t>
            </w:r>
          </w:p>
        </w:tc>
      </w:tr>
    </w:tbl>
    <w:p w:rsidR="00E330FE" w:rsidRDefault="00E330FE" w:rsidP="00E330FE">
      <w:pPr>
        <w:pStyle w:val="LTUeberschrAntwortRessort"/>
      </w:pPr>
      <w:r>
        <w:t>Antwort des Staatsministeriums für Bildung und Kultus, Wissenschaft und Kunst</w:t>
      </w:r>
    </w:p>
    <w:p w:rsidR="00E330FE" w:rsidRPr="0040268B" w:rsidRDefault="00E330FE" w:rsidP="00E330FE">
      <w:pPr>
        <w:pStyle w:val="LTAntwortRessortText"/>
        <w:rPr>
          <w:u w:val="single"/>
        </w:rPr>
      </w:pPr>
      <w:r w:rsidRPr="0040268B">
        <w:rPr>
          <w:u w:val="single"/>
        </w:rPr>
        <w:t>Realschule</w:t>
      </w:r>
      <w:r w:rsidR="0040268B">
        <w:rPr>
          <w:u w:val="single"/>
        </w:rPr>
        <w:t>:</w:t>
      </w:r>
    </w:p>
    <w:p w:rsidR="00E330FE" w:rsidRDefault="00E330FE" w:rsidP="0040268B">
      <w:pPr>
        <w:pStyle w:val="LTAntwortRessortText"/>
        <w:spacing w:before="120"/>
      </w:pPr>
      <w:r>
        <w:t>Zum Schuljahr 2013/2014 wurde an allen staatlichen Realschulen eine Integrierte Lehrerreserve eingerichtet; diese kann direkt vor Ort ohne weitere Rücksprache mit dem Staatsministerium</w:t>
      </w:r>
      <w:r w:rsidR="002722FA">
        <w:t xml:space="preserve"> für Bi</w:t>
      </w:r>
      <w:r w:rsidR="002722FA">
        <w:t>l</w:t>
      </w:r>
      <w:r w:rsidR="002722FA">
        <w:t>dung und Kultus, Wissenschaft und Kunst (StMBW)</w:t>
      </w:r>
      <w:r>
        <w:t xml:space="preserve"> bei kurz- oder längerfristigen Ausfällen eing</w:t>
      </w:r>
      <w:r>
        <w:t>e</w:t>
      </w:r>
      <w:r>
        <w:t xml:space="preserve">setzt werden; hierfür wurden seinerzeit 110 Planstellen zur Verfügung gestellt. </w:t>
      </w:r>
    </w:p>
    <w:p w:rsidR="00E330FE" w:rsidRDefault="00E330FE" w:rsidP="00E330FE">
      <w:pPr>
        <w:pStyle w:val="LTAntwortRessortText"/>
      </w:pPr>
      <w:r>
        <w:t>Die Integrierte Lehrerreserve wurde zum Schuljahr 2016/2017 auf nunmehr 199 Planstellen erhöht.</w:t>
      </w:r>
    </w:p>
    <w:p w:rsidR="00E330FE" w:rsidRDefault="00E330FE" w:rsidP="00E330FE">
      <w:pPr>
        <w:pStyle w:val="LTAntwortRessortText"/>
      </w:pPr>
      <w:r>
        <w:t xml:space="preserve">Die Stunden der Integrierten Lehrerreserve werden den staatlichen Realschulen abhängig von der Schülerzahl zugewiesen. Im Schuljahr 2016/2017 stehen einer durchschnittlich großen staatlichen Realschule von ca. 700 Schülern 18 Lehrerwochenstunden </w:t>
      </w:r>
      <w:r w:rsidR="0040268B">
        <w:t>–</w:t>
      </w:r>
      <w:r>
        <w:t xml:space="preserve"> dies entspricht 75</w:t>
      </w:r>
      <w:r w:rsidR="002722FA">
        <w:t xml:space="preserve"> </w:t>
      </w:r>
      <w:r w:rsidR="00793F8E">
        <w:t>Prozent</w:t>
      </w:r>
      <w:r>
        <w:t xml:space="preserve"> einer Vol</w:t>
      </w:r>
      <w:r>
        <w:t>l</w:t>
      </w:r>
      <w:r>
        <w:t xml:space="preserve">zeit-Lehrerstelle </w:t>
      </w:r>
      <w:r w:rsidR="0040268B">
        <w:t xml:space="preserve">– </w:t>
      </w:r>
      <w:r>
        <w:t xml:space="preserve">zur Verfügung. </w:t>
      </w:r>
    </w:p>
    <w:p w:rsidR="00E330FE" w:rsidRPr="0040268B" w:rsidRDefault="00E330FE" w:rsidP="00E330FE">
      <w:pPr>
        <w:pStyle w:val="LTAntwortRessortText"/>
        <w:rPr>
          <w:u w:val="single"/>
        </w:rPr>
      </w:pPr>
      <w:r w:rsidRPr="0040268B">
        <w:rPr>
          <w:u w:val="single"/>
        </w:rPr>
        <w:t>Gymnasium</w:t>
      </w:r>
      <w:r w:rsidR="0040268B">
        <w:rPr>
          <w:u w:val="single"/>
        </w:rPr>
        <w:t>:</w:t>
      </w:r>
    </w:p>
    <w:p w:rsidR="00E330FE" w:rsidRDefault="00E330FE" w:rsidP="0040268B">
      <w:pPr>
        <w:pStyle w:val="LTAntwortRessortText"/>
        <w:spacing w:before="120"/>
      </w:pPr>
      <w:r>
        <w:t xml:space="preserve">Zum Schuljahr 2013/2014 wurde an allen staatlichen Gymnasien eine Integrierte Lehrerreserve eingerichtet; diese kann direkt vor Ort ohne weitere Rücksprache mit dem </w:t>
      </w:r>
      <w:r w:rsidR="002722FA">
        <w:t>StMBW</w:t>
      </w:r>
      <w:r>
        <w:t xml:space="preserve"> bei kurz- oder längerfristigen Ausfällen eingesetzt werden. Zum Schuljahr 2014/2015 wurde die Integrierte Lehre</w:t>
      </w:r>
      <w:r>
        <w:t>r</w:t>
      </w:r>
      <w:r>
        <w:t>reserve weiter ausgebaut, sodass zu Schuljahresbeginn 2016/2017 ein Gymnasium durchschnittl</w:t>
      </w:r>
      <w:r>
        <w:t>i</w:t>
      </w:r>
      <w:r>
        <w:t>cher Größe über den regulären Stundenbedarf hinaus Personalzuweisungen im Umfang von ca. e</w:t>
      </w:r>
      <w:r>
        <w:t>i</w:t>
      </w:r>
      <w:r>
        <w:t>ner Lehrerstelle erhielt.</w:t>
      </w:r>
    </w:p>
    <w:p w:rsidR="00E330FE" w:rsidRPr="0040268B" w:rsidRDefault="00E330FE" w:rsidP="00E330FE">
      <w:pPr>
        <w:pStyle w:val="LTAntwortRessortText"/>
        <w:rPr>
          <w:u w:val="single"/>
        </w:rPr>
      </w:pPr>
      <w:r w:rsidRPr="0040268B">
        <w:rPr>
          <w:u w:val="single"/>
        </w:rPr>
        <w:t>Berufliche Schulen</w:t>
      </w:r>
      <w:r w:rsidR="0040268B">
        <w:rPr>
          <w:u w:val="single"/>
        </w:rPr>
        <w:t>:</w:t>
      </w:r>
    </w:p>
    <w:p w:rsidR="00E330FE" w:rsidRDefault="00E330FE" w:rsidP="0040268B">
      <w:pPr>
        <w:pStyle w:val="LTAntwortRessortText"/>
        <w:spacing w:before="120"/>
      </w:pPr>
      <w:r>
        <w:t>An den staatlichen beruflichen Schulen einschließlich der staatlic</w:t>
      </w:r>
      <w:r w:rsidR="0040268B">
        <w:t>hen Beruflichen Oberschulen (Fachoberschulen bzw. Berufsoberschulen</w:t>
      </w:r>
      <w:r>
        <w:t>) ist derzeit keine Integrierte Lehrerreserve eingerichtet.</w:t>
      </w:r>
    </w:p>
    <w:p w:rsidR="00FA5A83" w:rsidRDefault="00FA5A83" w:rsidP="0040268B">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Johanna</w:t>
            </w:r>
            <w:r w:rsidRPr="00E330FE">
              <w:rPr>
                <w:b/>
              </w:rPr>
              <w:br/>
              <w:t>Werner-Muggendorfer</w:t>
            </w:r>
            <w:r w:rsidRPr="00E330FE">
              <w:rPr>
                <w:b/>
              </w:rPr>
              <w:br/>
            </w:r>
            <w:r w:rsidRPr="00E330FE">
              <w:t>(SPD)</w:t>
            </w:r>
            <w:r>
              <w:fldChar w:fldCharType="begin"/>
            </w:r>
            <w:r>
              <w:instrText xml:space="preserve"> TC </w:instrText>
            </w:r>
            <w:r w:rsidR="00793F8E">
              <w:instrText>„</w:instrText>
            </w:r>
            <w:bookmarkStart w:id="33" w:name="_Toc477421160"/>
            <w:r>
              <w:instrText>Werner-Muggendorfer, Johanna (SPD)</w:instrText>
            </w:r>
            <w:r>
              <w:br/>
              <w:instrText>Auswirkungen des G9 im Regierungsbezirk Niederbayern</w:instrText>
            </w:r>
            <w:bookmarkEnd w:id="33"/>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FA5A83">
            <w:pPr>
              <w:pStyle w:val="LTAnfrageText"/>
            </w:pPr>
            <w:r>
              <w:t>Da die Verlängerung der gymnasialen Schulzeit von acht auf neun Jahre eine Vielzahl von Anpassungen des Bildungswesens in Bayern erfordern wird, fr</w:t>
            </w:r>
            <w:r>
              <w:t>a</w:t>
            </w:r>
            <w:r>
              <w:t>ge ich die Staatsregierung, welche baulichen, pädagogischen und schulorg</w:t>
            </w:r>
            <w:r>
              <w:t>a</w:t>
            </w:r>
            <w:r>
              <w:t>nisatorischen Veränderungen (bitte personelle und allgemeine Veränderungen angeben) ergeben sich für den Regierungsbezirk Niederbayern (bitte für die Landkreise und kreisfreien Städte, Gemeinden und einzelnen Gymnasien j</w:t>
            </w:r>
            <w:r>
              <w:t>e</w:t>
            </w:r>
            <w:r>
              <w:t>weils gesondert angeben)?</w:t>
            </w:r>
            <w:r w:rsidR="00793F8E">
              <w:t xml:space="preserve"> </w:t>
            </w:r>
          </w:p>
        </w:tc>
      </w:tr>
    </w:tbl>
    <w:p w:rsidR="00FA5A83" w:rsidRDefault="00FA5A83" w:rsidP="00E330FE">
      <w:pPr>
        <w:pStyle w:val="LTUeberschrAntwortRessort"/>
      </w:pPr>
    </w:p>
    <w:p w:rsidR="00FA5A83" w:rsidRDefault="00FA5A83">
      <w:pPr>
        <w:rPr>
          <w:b/>
          <w:szCs w:val="22"/>
        </w:rPr>
      </w:pPr>
      <w:r>
        <w:br w:type="page"/>
      </w:r>
    </w:p>
    <w:p w:rsidR="00E330FE" w:rsidRDefault="00E330FE" w:rsidP="00E330FE">
      <w:pPr>
        <w:pStyle w:val="LTUeberschrAntwortRessort"/>
      </w:pPr>
      <w:r>
        <w:lastRenderedPageBreak/>
        <w:t>Antwort des Staatsministeriums für Bildung und Kultus, Wissenschaft und Kunst</w:t>
      </w:r>
    </w:p>
    <w:p w:rsidR="00E330FE" w:rsidRDefault="00E330FE" w:rsidP="00E330FE">
      <w:pPr>
        <w:pStyle w:val="LTAntwortRessortText"/>
      </w:pPr>
      <w:r>
        <w:t>Ende Juli 2016 hat sich das bayerische Kabinett auf seiner Klausurtagung in St. Quirin mit der We</w:t>
      </w:r>
      <w:r>
        <w:t>i</w:t>
      </w:r>
      <w:r>
        <w:t>terentwicklung des Gymnasiums befasst. Dabei wurde zunächst eine Dialogphase beschlossen, in die Vertreter der Schulfamilie, der Verbände und der Bildungspolitik einbezogen werden. Ziel dieser Gespräche war es, auf der Basis der Erfahrungen aus der Pilotphase der Mittelstufe Plus ein lan</w:t>
      </w:r>
      <w:r>
        <w:t>g</w:t>
      </w:r>
      <w:r>
        <w:t>fristig tragfähi</w:t>
      </w:r>
      <w:r w:rsidR="008541CA">
        <w:t>ges Modell für die Zukunft des b</w:t>
      </w:r>
      <w:r>
        <w:t>ayerischen Gymnasiums zu entwickeln, das den g</w:t>
      </w:r>
      <w:r>
        <w:t>e</w:t>
      </w:r>
      <w:r>
        <w:t>änderten Erfordernissen wie der zunehmend heterogenen Schülerschaft und unterschiedlichen Schulstandorten Rechnung trägt.</w:t>
      </w:r>
    </w:p>
    <w:p w:rsidR="00E330FE" w:rsidRDefault="00E330FE" w:rsidP="00E330FE">
      <w:pPr>
        <w:pStyle w:val="LTAntwortRessortText"/>
      </w:pPr>
      <w:r>
        <w:t xml:space="preserve">Diese Dialogphase ist nach Spitzengesprächen, die Anfang März </w:t>
      </w:r>
      <w:r w:rsidR="008541CA">
        <w:t xml:space="preserve">2017 </w:t>
      </w:r>
      <w:r>
        <w:t>in der Staatskanzlei stattg</w:t>
      </w:r>
      <w:r>
        <w:t>e</w:t>
      </w:r>
      <w:r>
        <w:t>funden haben, abgeschlossen. Der Prozess befindet sich nun in der Entscheidungsphase; eine Grundsatzentscheidung zum künftigen Lernzeitangebot ist indes noch nicht getroffen.</w:t>
      </w:r>
    </w:p>
    <w:p w:rsidR="00E330FE" w:rsidRDefault="00E330FE" w:rsidP="00E330FE">
      <w:pPr>
        <w:pStyle w:val="LTAntwortRessortText"/>
      </w:pPr>
      <w:r>
        <w:t>Eine mögliche Grundsatzentscheidung zur Einführung eines neuen, ggf. neunjährigen Lernzeita</w:t>
      </w:r>
      <w:r>
        <w:t>n</w:t>
      </w:r>
      <w:r>
        <w:t xml:space="preserve">gebots am Gymnasium </w:t>
      </w:r>
      <w:r w:rsidR="008541CA">
        <w:t>–</w:t>
      </w:r>
      <w:r>
        <w:t xml:space="preserve"> wovon die Anfrage zum Plenum in einer Vorfestlegung auszugehen scheint </w:t>
      </w:r>
      <w:r w:rsidR="008541CA">
        <w:t>–</w:t>
      </w:r>
      <w:r>
        <w:t xml:space="preserve"> wird selbstverständlich entsprechende Folgeentscheidungen bzw. weiteren Regelungsb</w:t>
      </w:r>
      <w:r>
        <w:t>e</w:t>
      </w:r>
      <w:r>
        <w:t xml:space="preserve">darf nach sich ziehen, dem in geeigneter Weise Rechnung zu tragen wäre. </w:t>
      </w:r>
    </w:p>
    <w:p w:rsidR="00E330FE" w:rsidRDefault="00E330FE" w:rsidP="00E330FE">
      <w:pPr>
        <w:pStyle w:val="LTAntwortRessortText"/>
      </w:pPr>
      <w:r>
        <w:t>Die weiteren Entscheidungen setzen erst eine Grundsatzentscheidung voraus.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Jutta</w:t>
            </w:r>
            <w:r w:rsidRPr="00E330FE">
              <w:rPr>
                <w:b/>
              </w:rPr>
              <w:br/>
              <w:t>Widmann</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34" w:name="_Toc477421161"/>
            <w:r>
              <w:instrText>Widmann, Jutta (FREIE WÄHLER)</w:instrText>
            </w:r>
            <w:r>
              <w:br/>
              <w:instrText>Fachoberschule Dingolfing-Landau</w:instrText>
            </w:r>
            <w:bookmarkEnd w:id="34"/>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Nachdem der Landkreis Dingolfing-Landau bereits seit einiger Zeit den Wunsch nach einer eigenen Fachoberschule (FOS) hegt, frage ich die Staat</w:t>
            </w:r>
            <w:r>
              <w:t>s</w:t>
            </w:r>
            <w:r>
              <w:t>regierung, wie haben sich die Schülerzahlen in dieser Hinsicht in den Jahren von 2014 bis 2016 entwickelt, wie werden sich die Schülerzahlen in den nächsten Jahren voraussichtlich entwickeln und gibt es bereits andere Lan</w:t>
            </w:r>
            <w:r>
              <w:t>d</w:t>
            </w:r>
            <w:r>
              <w:t>kreise, die eine ähnliche Entwicklung der Schülerzahlen aufweisen und eine eigene FOS besitzen?</w:t>
            </w:r>
          </w:p>
          <w:p w:rsidR="00E330FE" w:rsidRDefault="00E330FE" w:rsidP="00E330FE">
            <w:pPr>
              <w:pStyle w:val="LTAnfrageText"/>
            </w:pPr>
          </w:p>
        </w:tc>
      </w:tr>
    </w:tbl>
    <w:p w:rsidR="00E330FE" w:rsidRDefault="00E330FE" w:rsidP="00E330FE">
      <w:pPr>
        <w:pStyle w:val="LTUeberschrAntwortRessort"/>
      </w:pPr>
      <w:r>
        <w:t>Antwort des Staatsministeriums für Bildung und Kultus, Wissenschaft und Kunst</w:t>
      </w:r>
    </w:p>
    <w:p w:rsidR="00E330FE" w:rsidRDefault="00E330FE" w:rsidP="00E330FE">
      <w:pPr>
        <w:pStyle w:val="LTAntwortRessortText"/>
      </w:pPr>
      <w:r>
        <w:t>An den Fachoberschulstandorten der umliegenden Landkreise um den Landkreis Dingolfing ergibt sich in Bezug auf die Schülerzahlen zum laufenden Schuljahr 2016/</w:t>
      </w:r>
      <w:r w:rsidR="008541CA">
        <w:t>20</w:t>
      </w:r>
      <w:r>
        <w:t>17 gegenüber dem Schuljahr 2014/</w:t>
      </w:r>
      <w:r w:rsidR="008541CA">
        <w:t>20</w:t>
      </w:r>
      <w:r>
        <w:t xml:space="preserve">15 nach </w:t>
      </w:r>
      <w:r w:rsidR="008541CA">
        <w:t>den Amtlichen Schuldaten folgen</w:t>
      </w:r>
      <w:r>
        <w:t>des Bild:</w:t>
      </w:r>
    </w:p>
    <w:p w:rsidR="00E330FE" w:rsidRDefault="00E330FE" w:rsidP="008541CA">
      <w:pPr>
        <w:pStyle w:val="LTAntwortRessortText"/>
        <w:numPr>
          <w:ilvl w:val="0"/>
          <w:numId w:val="27"/>
        </w:numPr>
        <w:spacing w:before="120"/>
        <w:ind w:left="993" w:hanging="567"/>
      </w:pPr>
      <w:r>
        <w:t xml:space="preserve">An der Fachoberschule </w:t>
      </w:r>
      <w:r w:rsidR="008541CA">
        <w:t xml:space="preserve">(FOS) </w:t>
      </w:r>
      <w:r>
        <w:t>Deggendorf (Lkr. De</w:t>
      </w:r>
      <w:r w:rsidR="008541CA">
        <w:t>ggendorf) haben sich die Schü</w:t>
      </w:r>
      <w:r>
        <w:t>lerzahlen um 17</w:t>
      </w:r>
      <w:r w:rsidR="008541CA">
        <w:t> </w:t>
      </w:r>
      <w:r>
        <w:t>Schüler</w:t>
      </w:r>
      <w:r w:rsidR="008541CA">
        <w:t>innen und Schüler</w:t>
      </w:r>
      <w:r>
        <w:t xml:space="preserve"> erhöht (+4,3</w:t>
      </w:r>
      <w:r w:rsidR="008541CA">
        <w:t xml:space="preserve"> </w:t>
      </w:r>
      <w:r w:rsidR="00793F8E">
        <w:t>Prozent</w:t>
      </w:r>
      <w:r>
        <w:t>).</w:t>
      </w:r>
    </w:p>
    <w:p w:rsidR="00E330FE" w:rsidRDefault="00E330FE" w:rsidP="008541CA">
      <w:pPr>
        <w:pStyle w:val="LTAntwortRessortText"/>
        <w:numPr>
          <w:ilvl w:val="0"/>
          <w:numId w:val="27"/>
        </w:numPr>
        <w:spacing w:before="120"/>
        <w:ind w:left="993" w:hanging="567"/>
      </w:pPr>
      <w:r>
        <w:t xml:space="preserve">An der </w:t>
      </w:r>
      <w:r w:rsidR="008541CA">
        <w:t>FOS</w:t>
      </w:r>
      <w:r>
        <w:t xml:space="preserve"> Landshut (Lkr. Land</w:t>
      </w:r>
      <w:r w:rsidR="008541CA">
        <w:t>shut) haben sich die Schülerzah</w:t>
      </w:r>
      <w:r>
        <w:t>len um 50 Schüler</w:t>
      </w:r>
      <w:r w:rsidR="008541CA">
        <w:t>innen und Schüler</w:t>
      </w:r>
      <w:r>
        <w:t xml:space="preserve"> erhöht (+5,8</w:t>
      </w:r>
      <w:r w:rsidR="008541CA">
        <w:t xml:space="preserve"> </w:t>
      </w:r>
      <w:r w:rsidR="00793F8E">
        <w:t>Prozent</w:t>
      </w:r>
      <w:r>
        <w:t>).</w:t>
      </w:r>
    </w:p>
    <w:p w:rsidR="00E330FE" w:rsidRDefault="00E330FE" w:rsidP="008541CA">
      <w:pPr>
        <w:pStyle w:val="LTAntwortRessortText"/>
        <w:numPr>
          <w:ilvl w:val="0"/>
          <w:numId w:val="27"/>
        </w:numPr>
        <w:spacing w:before="120"/>
        <w:ind w:left="993" w:hanging="567"/>
      </w:pPr>
      <w:r>
        <w:t xml:space="preserve">An der </w:t>
      </w:r>
      <w:r w:rsidR="008541CA">
        <w:t>FOS</w:t>
      </w:r>
      <w:r>
        <w:t xml:space="preserve"> Landshut-Schönbrunn (Lkr. Landshut) haben sich die Schülerzahlen um 34</w:t>
      </w:r>
      <w:r w:rsidR="008541CA">
        <w:t> </w:t>
      </w:r>
      <w:r>
        <w:t>Schüler</w:t>
      </w:r>
      <w:r w:rsidR="008541CA">
        <w:t xml:space="preserve">innen und Schüler </w:t>
      </w:r>
      <w:r>
        <w:t>erhöht (+17,4</w:t>
      </w:r>
      <w:r w:rsidR="008541CA">
        <w:t xml:space="preserve"> </w:t>
      </w:r>
      <w:r w:rsidR="00793F8E">
        <w:t>Prozent</w:t>
      </w:r>
      <w:r>
        <w:t>).</w:t>
      </w:r>
    </w:p>
    <w:p w:rsidR="00E330FE" w:rsidRDefault="00E330FE" w:rsidP="008541CA">
      <w:pPr>
        <w:pStyle w:val="LTAntwortRessortText"/>
        <w:numPr>
          <w:ilvl w:val="0"/>
          <w:numId w:val="27"/>
        </w:numPr>
        <w:spacing w:before="120"/>
        <w:ind w:left="993" w:hanging="567"/>
      </w:pPr>
      <w:r>
        <w:t xml:space="preserve">An der </w:t>
      </w:r>
      <w:r w:rsidR="008541CA">
        <w:t>FOS</w:t>
      </w:r>
      <w:r>
        <w:t xml:space="preserve"> Pfarrkirchen (Lkr. Rot</w:t>
      </w:r>
      <w:r w:rsidR="008541CA">
        <w:t>tal-Inn) haben sich die Schüler</w:t>
      </w:r>
      <w:r>
        <w:t xml:space="preserve">zahlen um </w:t>
      </w:r>
      <w:r w:rsidR="008541CA">
        <w:t>acht</w:t>
      </w:r>
      <w:r>
        <w:t xml:space="preserve"> Schüler</w:t>
      </w:r>
      <w:r w:rsidR="008541CA">
        <w:t>i</w:t>
      </w:r>
      <w:r w:rsidR="008541CA">
        <w:t>n</w:t>
      </w:r>
      <w:r w:rsidR="008541CA">
        <w:t>nen und Schüler</w:t>
      </w:r>
      <w:r>
        <w:t xml:space="preserve"> verringert (-1,5</w:t>
      </w:r>
      <w:r w:rsidR="008541CA">
        <w:t xml:space="preserve"> </w:t>
      </w:r>
      <w:r w:rsidR="00793F8E">
        <w:t>Prozent</w:t>
      </w:r>
      <w:r>
        <w:t>).</w:t>
      </w:r>
    </w:p>
    <w:p w:rsidR="00E330FE" w:rsidRDefault="00E330FE" w:rsidP="008541CA">
      <w:pPr>
        <w:pStyle w:val="LTAntwortRessortText"/>
        <w:numPr>
          <w:ilvl w:val="0"/>
          <w:numId w:val="27"/>
        </w:numPr>
        <w:spacing w:before="120"/>
        <w:ind w:left="993" w:hanging="567"/>
      </w:pPr>
      <w:r>
        <w:t xml:space="preserve">An der </w:t>
      </w:r>
      <w:r w:rsidR="008541CA">
        <w:t>FOS</w:t>
      </w:r>
      <w:r>
        <w:t xml:space="preserve"> Straubing (Lkr. Straubing-Bogen) haben sich die Schülerzahlen um 21 Schül</w:t>
      </w:r>
      <w:r>
        <w:t>e</w:t>
      </w:r>
      <w:r>
        <w:t>r</w:t>
      </w:r>
      <w:r w:rsidR="008541CA">
        <w:t>innen und Schüler</w:t>
      </w:r>
      <w:r>
        <w:t xml:space="preserve"> verringert (-3,1</w:t>
      </w:r>
      <w:r w:rsidR="008541CA">
        <w:t xml:space="preserve"> </w:t>
      </w:r>
      <w:r w:rsidR="00793F8E">
        <w:t>Prozent</w:t>
      </w:r>
      <w:r>
        <w:t>).</w:t>
      </w:r>
    </w:p>
    <w:p w:rsidR="00E330FE" w:rsidRDefault="00E330FE" w:rsidP="00E330FE">
      <w:pPr>
        <w:pStyle w:val="LTAntwortRessortText"/>
      </w:pPr>
    </w:p>
    <w:tbl>
      <w:tblPr>
        <w:tblW w:w="9400" w:type="dxa"/>
        <w:tblInd w:w="392" w:type="dxa"/>
        <w:tblCellMar>
          <w:left w:w="0" w:type="dxa"/>
          <w:right w:w="0" w:type="dxa"/>
        </w:tblCellMar>
        <w:tblLook w:val="04A0" w:firstRow="1" w:lastRow="0" w:firstColumn="1" w:lastColumn="0" w:noHBand="0" w:noVBand="1"/>
      </w:tblPr>
      <w:tblGrid>
        <w:gridCol w:w="2354"/>
        <w:gridCol w:w="2348"/>
        <w:gridCol w:w="2349"/>
        <w:gridCol w:w="2349"/>
      </w:tblGrid>
      <w:tr w:rsidR="008541CA" w:rsidRPr="008541CA" w:rsidTr="00D64D57">
        <w:tc>
          <w:tcPr>
            <w:tcW w:w="2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41CA" w:rsidRPr="008541CA" w:rsidRDefault="008541CA" w:rsidP="008541CA">
            <w:pPr>
              <w:rPr>
                <w:rFonts w:ascii="Calibri" w:eastAsia="Calibri" w:hAnsi="Calibri" w:cs="Arial"/>
                <w:sz w:val="18"/>
                <w:szCs w:val="18"/>
                <w:lang w:eastAsia="en-US"/>
              </w:rPr>
            </w:pPr>
          </w:p>
        </w:tc>
        <w:tc>
          <w:tcPr>
            <w:tcW w:w="70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b/>
                <w:sz w:val="18"/>
                <w:szCs w:val="18"/>
                <w:lang w:eastAsia="en-US"/>
              </w:rPr>
            </w:pPr>
            <w:r w:rsidRPr="008541CA">
              <w:rPr>
                <w:rFonts w:cs="Arial"/>
                <w:b/>
                <w:sz w:val="18"/>
                <w:szCs w:val="18"/>
              </w:rPr>
              <w:t>Schülerzahlen an der Fachoberschule lt. Amtlicher Schuldaten</w:t>
            </w:r>
          </w:p>
        </w:tc>
      </w:tr>
      <w:tr w:rsidR="008541CA" w:rsidRPr="008541CA" w:rsidTr="00D64D57">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rPr>
                <w:rFonts w:ascii="Calibri" w:eastAsia="Calibri" w:hAnsi="Calibri" w:cs="Arial"/>
                <w:b/>
                <w:sz w:val="18"/>
                <w:szCs w:val="18"/>
                <w:lang w:eastAsia="en-US"/>
              </w:rPr>
            </w:pPr>
            <w:r w:rsidRPr="008541CA">
              <w:rPr>
                <w:rFonts w:cs="Arial"/>
                <w:b/>
                <w:sz w:val="18"/>
                <w:szCs w:val="18"/>
              </w:rPr>
              <w:t>Standorte</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b/>
                <w:sz w:val="18"/>
                <w:szCs w:val="18"/>
                <w:lang w:eastAsia="en-US"/>
              </w:rPr>
            </w:pPr>
            <w:r w:rsidRPr="008541CA">
              <w:rPr>
                <w:rFonts w:cs="Arial"/>
                <w:b/>
                <w:sz w:val="18"/>
                <w:szCs w:val="18"/>
              </w:rPr>
              <w:t>Schuljahr 2014/</w:t>
            </w:r>
            <w:r>
              <w:rPr>
                <w:rFonts w:cs="Arial"/>
                <w:b/>
                <w:sz w:val="18"/>
                <w:szCs w:val="18"/>
              </w:rPr>
              <w:t>20</w:t>
            </w:r>
            <w:r w:rsidRPr="008541CA">
              <w:rPr>
                <w:rFonts w:cs="Arial"/>
                <w:b/>
                <w:sz w:val="18"/>
                <w:szCs w:val="18"/>
              </w:rPr>
              <w:t>15</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b/>
                <w:sz w:val="18"/>
                <w:szCs w:val="18"/>
                <w:lang w:eastAsia="en-US"/>
              </w:rPr>
            </w:pPr>
            <w:r w:rsidRPr="008541CA">
              <w:rPr>
                <w:rFonts w:cs="Arial"/>
                <w:b/>
                <w:sz w:val="18"/>
                <w:szCs w:val="18"/>
              </w:rPr>
              <w:t>Schuljahr 2015/</w:t>
            </w:r>
            <w:r>
              <w:rPr>
                <w:rFonts w:cs="Arial"/>
                <w:b/>
                <w:sz w:val="18"/>
                <w:szCs w:val="18"/>
              </w:rPr>
              <w:t>20</w:t>
            </w:r>
            <w:r w:rsidRPr="008541CA">
              <w:rPr>
                <w:rFonts w:cs="Arial"/>
                <w:b/>
                <w:sz w:val="18"/>
                <w:szCs w:val="18"/>
              </w:rPr>
              <w:t>16</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b/>
                <w:sz w:val="18"/>
                <w:szCs w:val="18"/>
                <w:lang w:eastAsia="en-US"/>
              </w:rPr>
            </w:pPr>
            <w:r w:rsidRPr="008541CA">
              <w:rPr>
                <w:rFonts w:cs="Arial"/>
                <w:b/>
                <w:sz w:val="18"/>
                <w:szCs w:val="18"/>
              </w:rPr>
              <w:t>Schuljahr 2016/</w:t>
            </w:r>
            <w:r>
              <w:rPr>
                <w:rFonts w:cs="Arial"/>
                <w:b/>
                <w:sz w:val="18"/>
                <w:szCs w:val="18"/>
              </w:rPr>
              <w:t>20</w:t>
            </w:r>
            <w:r w:rsidRPr="008541CA">
              <w:rPr>
                <w:rFonts w:cs="Arial"/>
                <w:b/>
                <w:sz w:val="18"/>
                <w:szCs w:val="18"/>
              </w:rPr>
              <w:t>17</w:t>
            </w:r>
          </w:p>
        </w:tc>
      </w:tr>
      <w:tr w:rsidR="008541CA" w:rsidRPr="008541CA" w:rsidTr="00D64D57">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rPr>
                <w:rFonts w:ascii="Calibri" w:eastAsia="Calibri" w:hAnsi="Calibri" w:cs="Arial"/>
                <w:b/>
                <w:sz w:val="18"/>
                <w:szCs w:val="18"/>
                <w:lang w:eastAsia="en-US"/>
              </w:rPr>
            </w:pPr>
            <w:r w:rsidRPr="008541CA">
              <w:rPr>
                <w:rFonts w:cs="Arial"/>
                <w:b/>
                <w:sz w:val="18"/>
                <w:szCs w:val="18"/>
              </w:rPr>
              <w:t>Deggendorf</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396</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417</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413</w:t>
            </w:r>
          </w:p>
        </w:tc>
      </w:tr>
      <w:tr w:rsidR="008541CA" w:rsidRPr="008541CA" w:rsidTr="00D64D57">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rPr>
                <w:rFonts w:ascii="Calibri" w:eastAsia="Calibri" w:hAnsi="Calibri" w:cs="Arial"/>
                <w:b/>
                <w:sz w:val="18"/>
                <w:szCs w:val="18"/>
                <w:lang w:eastAsia="en-US"/>
              </w:rPr>
            </w:pPr>
            <w:r w:rsidRPr="008541CA">
              <w:rPr>
                <w:rFonts w:cs="Arial"/>
                <w:b/>
                <w:sz w:val="18"/>
                <w:szCs w:val="18"/>
              </w:rPr>
              <w:t>Landshut FOS</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856</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876</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906</w:t>
            </w:r>
          </w:p>
        </w:tc>
      </w:tr>
      <w:tr w:rsidR="008541CA" w:rsidRPr="008541CA" w:rsidTr="00D64D57">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rPr>
                <w:rFonts w:ascii="Calibri" w:eastAsia="Calibri" w:hAnsi="Calibri" w:cs="Arial"/>
                <w:b/>
                <w:sz w:val="18"/>
                <w:szCs w:val="18"/>
                <w:lang w:eastAsia="en-US"/>
              </w:rPr>
            </w:pPr>
            <w:r w:rsidRPr="008541CA">
              <w:rPr>
                <w:rFonts w:cs="Arial"/>
                <w:b/>
                <w:sz w:val="18"/>
                <w:szCs w:val="18"/>
              </w:rPr>
              <w:t>Landshut-Schönbrunn</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195</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208</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229</w:t>
            </w:r>
          </w:p>
        </w:tc>
      </w:tr>
      <w:tr w:rsidR="008541CA" w:rsidRPr="008541CA" w:rsidTr="00D64D57">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rPr>
                <w:rFonts w:ascii="Calibri" w:eastAsia="Calibri" w:hAnsi="Calibri" w:cs="Arial"/>
                <w:b/>
                <w:sz w:val="18"/>
                <w:szCs w:val="18"/>
                <w:lang w:eastAsia="en-US"/>
              </w:rPr>
            </w:pPr>
            <w:r w:rsidRPr="008541CA">
              <w:rPr>
                <w:rFonts w:cs="Arial"/>
                <w:b/>
                <w:sz w:val="18"/>
                <w:szCs w:val="18"/>
              </w:rPr>
              <w:t>Pfarrkirchen</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522</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527</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514</w:t>
            </w:r>
          </w:p>
        </w:tc>
      </w:tr>
      <w:tr w:rsidR="008541CA" w:rsidRPr="008541CA" w:rsidTr="00D64D57">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rPr>
                <w:rFonts w:ascii="Calibri" w:eastAsia="Calibri" w:hAnsi="Calibri" w:cs="Arial"/>
                <w:b/>
                <w:sz w:val="18"/>
                <w:szCs w:val="18"/>
                <w:lang w:eastAsia="en-US"/>
              </w:rPr>
            </w:pPr>
            <w:r w:rsidRPr="008541CA">
              <w:rPr>
                <w:rFonts w:cs="Arial"/>
                <w:b/>
                <w:sz w:val="18"/>
                <w:szCs w:val="18"/>
              </w:rPr>
              <w:t>Straubing</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686</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619</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sz w:val="18"/>
                <w:szCs w:val="18"/>
                <w:lang w:eastAsia="en-US"/>
              </w:rPr>
            </w:pPr>
            <w:r w:rsidRPr="008541CA">
              <w:rPr>
                <w:rFonts w:cs="Arial"/>
                <w:sz w:val="18"/>
                <w:szCs w:val="18"/>
              </w:rPr>
              <w:t>665</w:t>
            </w:r>
          </w:p>
        </w:tc>
      </w:tr>
      <w:tr w:rsidR="008541CA" w:rsidRPr="008541CA" w:rsidTr="00D64D57">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rPr>
                <w:rFonts w:ascii="Calibri" w:eastAsia="Calibri" w:hAnsi="Calibri" w:cs="Arial"/>
                <w:b/>
                <w:bCs/>
                <w:sz w:val="18"/>
                <w:szCs w:val="18"/>
                <w:lang w:eastAsia="en-US"/>
              </w:rPr>
            </w:pPr>
            <w:r w:rsidRPr="008541CA">
              <w:rPr>
                <w:rFonts w:cs="Arial"/>
                <w:b/>
                <w:bCs/>
                <w:sz w:val="18"/>
                <w:szCs w:val="18"/>
              </w:rPr>
              <w:t>Summe</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b/>
                <w:bCs/>
                <w:sz w:val="18"/>
                <w:szCs w:val="18"/>
                <w:lang w:eastAsia="en-US"/>
              </w:rPr>
            </w:pPr>
            <w:r w:rsidRPr="008541CA">
              <w:rPr>
                <w:rFonts w:cs="Arial"/>
                <w:b/>
                <w:bCs/>
                <w:sz w:val="18"/>
                <w:szCs w:val="18"/>
              </w:rPr>
              <w:t>2</w:t>
            </w:r>
            <w:r>
              <w:rPr>
                <w:rFonts w:cs="Arial"/>
                <w:b/>
                <w:bCs/>
                <w:sz w:val="18"/>
                <w:szCs w:val="18"/>
              </w:rPr>
              <w:t>.</w:t>
            </w:r>
            <w:r w:rsidRPr="008541CA">
              <w:rPr>
                <w:rFonts w:cs="Arial"/>
                <w:b/>
                <w:bCs/>
                <w:sz w:val="18"/>
                <w:szCs w:val="18"/>
              </w:rPr>
              <w:t>655</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b/>
                <w:bCs/>
                <w:sz w:val="18"/>
                <w:szCs w:val="18"/>
                <w:lang w:eastAsia="en-US"/>
              </w:rPr>
            </w:pPr>
            <w:r w:rsidRPr="008541CA">
              <w:rPr>
                <w:rFonts w:cs="Arial"/>
                <w:b/>
                <w:bCs/>
                <w:sz w:val="18"/>
                <w:szCs w:val="18"/>
              </w:rPr>
              <w:t>2</w:t>
            </w:r>
            <w:r>
              <w:rPr>
                <w:rFonts w:cs="Arial"/>
                <w:b/>
                <w:bCs/>
                <w:sz w:val="18"/>
                <w:szCs w:val="18"/>
              </w:rPr>
              <w:t>.</w:t>
            </w:r>
            <w:r w:rsidRPr="008541CA">
              <w:rPr>
                <w:rFonts w:cs="Arial"/>
                <w:b/>
                <w:bCs/>
                <w:sz w:val="18"/>
                <w:szCs w:val="18"/>
              </w:rPr>
              <w:t>647</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8541CA" w:rsidRPr="008541CA" w:rsidRDefault="008541CA" w:rsidP="008541CA">
            <w:pPr>
              <w:jc w:val="center"/>
              <w:rPr>
                <w:rFonts w:ascii="Calibri" w:eastAsia="Calibri" w:hAnsi="Calibri" w:cs="Arial"/>
                <w:b/>
                <w:bCs/>
                <w:sz w:val="18"/>
                <w:szCs w:val="18"/>
                <w:lang w:eastAsia="en-US"/>
              </w:rPr>
            </w:pPr>
            <w:r w:rsidRPr="008541CA">
              <w:rPr>
                <w:rFonts w:cs="Arial"/>
                <w:b/>
                <w:bCs/>
                <w:sz w:val="18"/>
                <w:szCs w:val="18"/>
              </w:rPr>
              <w:t>2</w:t>
            </w:r>
            <w:r>
              <w:rPr>
                <w:rFonts w:cs="Arial"/>
                <w:b/>
                <w:bCs/>
                <w:sz w:val="18"/>
                <w:szCs w:val="18"/>
              </w:rPr>
              <w:t>.</w:t>
            </w:r>
            <w:r w:rsidRPr="008541CA">
              <w:rPr>
                <w:rFonts w:cs="Arial"/>
                <w:b/>
                <w:bCs/>
                <w:sz w:val="18"/>
                <w:szCs w:val="18"/>
              </w:rPr>
              <w:t>727</w:t>
            </w:r>
          </w:p>
        </w:tc>
      </w:tr>
    </w:tbl>
    <w:p w:rsidR="00E330FE" w:rsidRDefault="00E330FE" w:rsidP="00E330FE">
      <w:pPr>
        <w:pStyle w:val="LTAntwortRessortText"/>
      </w:pPr>
    </w:p>
    <w:p w:rsidR="00E330FE" w:rsidRDefault="00E330FE" w:rsidP="00FA5A83">
      <w:pPr>
        <w:pStyle w:val="LTAntwortRessortText"/>
        <w:spacing w:before="0"/>
      </w:pPr>
      <w:r>
        <w:t xml:space="preserve">Das Staatsministerium für Bildung und Kultus, Wissenschaft und Kunst </w:t>
      </w:r>
      <w:r w:rsidR="008541CA">
        <w:t xml:space="preserve">(StMBW) </w:t>
      </w:r>
      <w:r>
        <w:t>führt jährlich eine Prognoserechnung zur Abschätzung der künftigen Schüler- und Absolventenzahlen durch. Die E</w:t>
      </w:r>
      <w:r>
        <w:t>r</w:t>
      </w:r>
      <w:r>
        <w:t xml:space="preserve">gebnisse der Prognoserechnung werden im Rahmen der jährlich erscheinenden </w:t>
      </w:r>
      <w:r w:rsidR="00793F8E">
        <w:t>„</w:t>
      </w:r>
      <w:r>
        <w:t>Schüler- und A</w:t>
      </w:r>
      <w:r>
        <w:t>b</w:t>
      </w:r>
      <w:r>
        <w:t>solventenprognose</w:t>
      </w:r>
      <w:r w:rsidR="00793F8E">
        <w:t>“</w:t>
      </w:r>
      <w:r>
        <w:t xml:space="preserve"> veröffentlicht, die im Internet unter </w:t>
      </w:r>
      <w:hyperlink r:id="rId20" w:history="1">
        <w:r w:rsidR="008541CA" w:rsidRPr="0059074F">
          <w:rPr>
            <w:rStyle w:val="Hyperlink"/>
          </w:rPr>
          <w:t>www.km.bayern.de/statistik</w:t>
        </w:r>
      </w:hyperlink>
      <w:r w:rsidR="008541CA">
        <w:t xml:space="preserve"> </w:t>
      </w:r>
      <w:r>
        <w:t>eingesehen werden kann.</w:t>
      </w:r>
    </w:p>
    <w:p w:rsidR="00E330FE" w:rsidRDefault="00E330FE" w:rsidP="00FA5A83">
      <w:pPr>
        <w:pStyle w:val="LTAntwortRessortText"/>
        <w:spacing w:before="120"/>
      </w:pPr>
      <w:r>
        <w:t xml:space="preserve">Seit dem Jahr 2013 wird die Schüler- und Absolventenprognose des </w:t>
      </w:r>
      <w:r w:rsidR="008541CA">
        <w:t>StMBW</w:t>
      </w:r>
      <w:r>
        <w:t xml:space="preserve"> auch für die sieben Regierungsbezirke erstellt. Eine Schülerzahlvorausberechnung für die einzelnen Landkreise und kreisfreien Städte wird bewusst nicht erstellt: Neben den Faktoren, die bereits auf Landesebene ein begrenzendes Element hinsichtlich der Aussagekraft der Prognoseergebnisse darstellen und in der oben genannten Publikation detailliert erläutert werden, können sich auf Ebene der Kreise Sonde</w:t>
      </w:r>
      <w:r>
        <w:t>r</w:t>
      </w:r>
      <w:r>
        <w:t>situationen ergeben, die nur bedingt vorhersehbar sind. Regionale strukturelle Veränderungen nehmen ebenso wie persönliche Entscheidungen von Schülern erheblichen Einfluss auf die regi</w:t>
      </w:r>
      <w:r>
        <w:t>o</w:t>
      </w:r>
      <w:r>
        <w:t>nale Schülerzahlentwicklung.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Margit</w:t>
            </w:r>
            <w:r w:rsidRPr="00E330FE">
              <w:rPr>
                <w:b/>
              </w:rPr>
              <w:br/>
              <w:t>Wild</w:t>
            </w:r>
            <w:r w:rsidRPr="00E330FE">
              <w:rPr>
                <w:b/>
              </w:rPr>
              <w:br/>
            </w:r>
            <w:r w:rsidRPr="00E330FE">
              <w:t>(SPD)</w:t>
            </w:r>
            <w:r>
              <w:fldChar w:fldCharType="begin"/>
            </w:r>
            <w:r>
              <w:instrText xml:space="preserve"> TC </w:instrText>
            </w:r>
            <w:r w:rsidR="00793F8E">
              <w:instrText>„</w:instrText>
            </w:r>
            <w:bookmarkStart w:id="35" w:name="_Toc477421162"/>
            <w:r>
              <w:instrText>Wild, Margit (SPD)</w:instrText>
            </w:r>
            <w:r>
              <w:br/>
              <w:instrText>Auswirkungen des G9 im Regierungsbezirk Oberpfalz</w:instrText>
            </w:r>
            <w:bookmarkEnd w:id="35"/>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Da die Verlängerung der gymnasialen Schulzeit von acht auf neun Jahre eine Vielzahl von Anpassungen des Bildungswesens in Bayern erfordern wird, fr</w:t>
            </w:r>
            <w:r>
              <w:t>a</w:t>
            </w:r>
            <w:r>
              <w:t>ge ich die Staatsregierung, welche baulichen, pädagogischen und schulorg</w:t>
            </w:r>
            <w:r>
              <w:t>a</w:t>
            </w:r>
            <w:r>
              <w:t>nisatorischen Veränderungen (bitte personelle und allgemeine Veränderungen angeben) ergeben sich für den Regierungsbezirk Oberpfalz (bitte für die Lan</w:t>
            </w:r>
            <w:r>
              <w:t>d</w:t>
            </w:r>
            <w:r>
              <w:t>kreise und kreisfreien Städte, Gemeinden und einzelnen Gymnasien jeweils gesondert angeben)?</w:t>
            </w:r>
          </w:p>
          <w:p w:rsidR="00E330FE" w:rsidRDefault="00E330FE" w:rsidP="00E330FE">
            <w:pPr>
              <w:pStyle w:val="LTAnfrageText"/>
            </w:pPr>
          </w:p>
        </w:tc>
      </w:tr>
    </w:tbl>
    <w:p w:rsidR="00E330FE" w:rsidRDefault="00E330FE" w:rsidP="00FA5A83">
      <w:pPr>
        <w:pStyle w:val="LTUeberschrAntwortRessort"/>
        <w:spacing w:before="0"/>
      </w:pPr>
      <w:r>
        <w:t>Antwort des Staatsministeriums für Bildung und Kultus, Wissenschaft und Kunst</w:t>
      </w:r>
    </w:p>
    <w:p w:rsidR="00E330FE" w:rsidRDefault="00E330FE" w:rsidP="00FA5A83">
      <w:pPr>
        <w:pStyle w:val="LTAntwortRessortText"/>
        <w:spacing w:before="120"/>
      </w:pPr>
      <w:r>
        <w:t>Ende Juli 2016 hat sich das bayerische Kabinett auf seiner Klausurtagung in St. Quirin mit der We</w:t>
      </w:r>
      <w:r>
        <w:t>i</w:t>
      </w:r>
      <w:r>
        <w:t>terentwicklung des Gymnasiums befasst. Dabei wurde zunächst eine Dialogphase beschlossen, in die Vertreter der Schulfamilie, der Verbände und der Bildungspolitik einbezogen werden. Ziel dieser Gespräche war es, auf der Basis der Erfahrungen aus der Pilotphase der Mittelstufe Plus ein lan</w:t>
      </w:r>
      <w:r>
        <w:t>g</w:t>
      </w:r>
      <w:r>
        <w:t>fristig tragfähi</w:t>
      </w:r>
      <w:r w:rsidR="00F315FD">
        <w:t>ges Modell für die Zukunft des b</w:t>
      </w:r>
      <w:r>
        <w:t>ayerischen Gymnasiums zu entwickeln, das den g</w:t>
      </w:r>
      <w:r>
        <w:t>e</w:t>
      </w:r>
      <w:r>
        <w:t>änderten Erfordernissen wie der zunehmend heterogenen Schülerschaft und unterschiedlichen Schulstandorten Rechnung trägt.</w:t>
      </w:r>
    </w:p>
    <w:p w:rsidR="00E330FE" w:rsidRDefault="00E330FE" w:rsidP="00FA5A83">
      <w:pPr>
        <w:pStyle w:val="LTAntwortRessortText"/>
        <w:spacing w:before="120"/>
      </w:pPr>
      <w:r>
        <w:t xml:space="preserve">Diese Dialogphase ist nach Spitzengesprächen, die Anfang März </w:t>
      </w:r>
      <w:r w:rsidR="00F315FD">
        <w:t xml:space="preserve">2017 </w:t>
      </w:r>
      <w:r>
        <w:t>in der Staatskanzlei stattg</w:t>
      </w:r>
      <w:r>
        <w:t>e</w:t>
      </w:r>
      <w:r>
        <w:t>funden haben, abgeschlossen. Der Prozess befindet sich nun in der Entscheidungsphase; eine Grundsatzentscheidung zum künftigen Lernzeitangebot ist indes noch nicht getroffen.</w:t>
      </w:r>
    </w:p>
    <w:p w:rsidR="00E330FE" w:rsidRDefault="00E330FE" w:rsidP="00FA5A83">
      <w:pPr>
        <w:pStyle w:val="LTAntwortRessortText"/>
        <w:spacing w:before="120"/>
      </w:pPr>
      <w:r>
        <w:t>Eine mögliche Grundsatzentscheidung zur Einführung eines neuen, ggf. neunjährigen Lernzeita</w:t>
      </w:r>
      <w:r>
        <w:t>n</w:t>
      </w:r>
      <w:r>
        <w:t xml:space="preserve">gebots am Gymnasium </w:t>
      </w:r>
      <w:r w:rsidR="00F315FD">
        <w:t>–</w:t>
      </w:r>
      <w:r>
        <w:t xml:space="preserve"> wovon die Anfrage zum Plenum in einer Vorfestlegung auszugehen scheint </w:t>
      </w:r>
      <w:r w:rsidR="00F315FD">
        <w:t>–</w:t>
      </w:r>
      <w:r>
        <w:t xml:space="preserve"> wird selbstverständlich entsprechende Folgeentscheidungen bzw. weiteren Regelungsb</w:t>
      </w:r>
      <w:r>
        <w:t>e</w:t>
      </w:r>
      <w:r>
        <w:t xml:space="preserve">darf nach sich ziehen, dem in geeigneter Weise Rechnung zu tragen wäre. </w:t>
      </w:r>
    </w:p>
    <w:p w:rsidR="00E330FE" w:rsidRDefault="00E330FE" w:rsidP="00E330FE">
      <w:pPr>
        <w:pStyle w:val="LTAntwortRessortText"/>
      </w:pPr>
      <w:r>
        <w:t>Die weiteren Entscheidungen setzen erst eine Grundsatzentscheidung voraus.</w:t>
      </w:r>
    </w:p>
    <w:p w:rsidR="00E330FE" w:rsidRDefault="00E330FE" w:rsidP="00E330FE">
      <w:pPr>
        <w:pStyle w:val="LTUeberschrRessort"/>
      </w:pPr>
      <w:r>
        <w:lastRenderedPageBreak/>
        <w:t>Geschäftsbereich des Staatsministeriums der Finanzen, für Landesentwicklung und Heimat</w:t>
      </w:r>
      <w:r>
        <w:fldChar w:fldCharType="begin"/>
      </w:r>
      <w:r>
        <w:instrText xml:space="preserve"> TC </w:instrText>
      </w:r>
      <w:r w:rsidR="00793F8E">
        <w:instrText>„</w:instrText>
      </w:r>
      <w:bookmarkStart w:id="36" w:name="_Toc477421163"/>
      <w:r>
        <w:instrText>Geschäftsbereich des Staatsministeriums der Finanzen, für Landesentwicklung und Heimat</w:instrText>
      </w:r>
      <w:bookmarkEnd w:id="36"/>
      <w:r w:rsidR="00793F8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Klaus</w:t>
            </w:r>
            <w:r w:rsidRPr="00E330FE">
              <w:rPr>
                <w:b/>
              </w:rPr>
              <w:br/>
              <w:t>Adelt</w:t>
            </w:r>
            <w:r w:rsidRPr="00E330FE">
              <w:rPr>
                <w:b/>
              </w:rPr>
              <w:br/>
            </w:r>
            <w:r w:rsidRPr="00E330FE">
              <w:t>(SPD)</w:t>
            </w:r>
            <w:r>
              <w:fldChar w:fldCharType="begin"/>
            </w:r>
            <w:r>
              <w:instrText xml:space="preserve"> TC </w:instrText>
            </w:r>
            <w:r w:rsidR="00793F8E">
              <w:instrText>„</w:instrText>
            </w:r>
            <w:bookmarkStart w:id="37" w:name="_Toc477421164"/>
            <w:r>
              <w:instrText>Adelt, Klaus (SPD)</w:instrText>
            </w:r>
            <w:r>
              <w:br/>
              <w:instrText>Herrenlose Immobilien</w:instrText>
            </w:r>
            <w:bookmarkEnd w:id="37"/>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viele Immobilien in Bayern gelten derzeit gemäß den Vorschriften des Bürgerlichen Gesetzbuches (§ 928 Abs. 1 BGB) als herrenlos und sind als solche keine Nachlassimmobilien im Besitz des Freistaates Bayern, wie viele Mittel stehen derzeit für die Verwaltung und B</w:t>
            </w:r>
            <w:r>
              <w:t>e</w:t>
            </w:r>
            <w:r>
              <w:t>treuung staatlicher Nachlassimmobilien zur Verfügung, wie viele Nachlassi</w:t>
            </w:r>
            <w:r>
              <w:t>m</w:t>
            </w:r>
            <w:r>
              <w:t>mobilien befinden sich länger als fünf Jahre im Besitz des Freistaates Bayern?</w:t>
            </w:r>
          </w:p>
          <w:p w:rsidR="00E330FE" w:rsidRDefault="00E330FE" w:rsidP="00E330FE">
            <w:pPr>
              <w:pStyle w:val="LTAnfrageText"/>
            </w:pPr>
          </w:p>
        </w:tc>
      </w:tr>
    </w:tbl>
    <w:p w:rsidR="00E330FE" w:rsidRDefault="00E330FE" w:rsidP="00B65B07">
      <w:pPr>
        <w:pStyle w:val="LTUeberschrAntwortRessort"/>
        <w:spacing w:before="840"/>
      </w:pPr>
      <w:r>
        <w:t>Antwort des Staatsministeriums der Finanzen, für Landesentwicklung und Heimat</w:t>
      </w:r>
    </w:p>
    <w:p w:rsidR="00E330FE" w:rsidRDefault="00E330FE" w:rsidP="00B65B07">
      <w:pPr>
        <w:pStyle w:val="LTAntwortRessortText"/>
        <w:spacing w:before="360"/>
      </w:pPr>
      <w:r>
        <w:t xml:space="preserve">Das Eigentum an einem Grundstück kann dadurch aufgegeben werden, dass der Eigentümer den Verzicht dem Grundbuchamt gegenüber erklärt und der Verzicht in das Grundbuch eingetragen wird (§ 928 Abs. 1 </w:t>
      </w:r>
      <w:r w:rsidR="00740A54">
        <w:t xml:space="preserve">des Bürgerlichen Gesetzbuchs – </w:t>
      </w:r>
      <w:r>
        <w:t>BGB).</w:t>
      </w:r>
    </w:p>
    <w:p w:rsidR="00E330FE" w:rsidRDefault="00E330FE" w:rsidP="00B65B07">
      <w:pPr>
        <w:pStyle w:val="LTAntwortRessortText"/>
        <w:spacing w:before="360"/>
      </w:pPr>
      <w:r>
        <w:t>Über den Datenaustausch zwischen der Grundbuchverwaltung und der Vermessungsverwaltung wird der Grundbuchstand in das Amtliche Liegenschaftskatasterinformationssystem (ALKIS) übe</w:t>
      </w:r>
      <w:r>
        <w:t>r</w:t>
      </w:r>
      <w:r>
        <w:t xml:space="preserve">tragen und dort eingearbeitet. Eine automatisierte und </w:t>
      </w:r>
      <w:r w:rsidR="00740A54">
        <w:t>–</w:t>
      </w:r>
      <w:r>
        <w:t xml:space="preserve"> wegen der Kürze der </w:t>
      </w:r>
      <w:r w:rsidR="006254F5">
        <w:t>für die Beantwortung einer</w:t>
      </w:r>
      <w:r w:rsidR="00740A54">
        <w:t xml:space="preserve"> Anfra</w:t>
      </w:r>
      <w:r w:rsidR="006254F5">
        <w:t>ge zum Plenum zur Verfügung stehenden Zeit</w:t>
      </w:r>
      <w:r>
        <w:t xml:space="preserve"> </w:t>
      </w:r>
      <w:r w:rsidR="00740A54">
        <w:t>–</w:t>
      </w:r>
      <w:r>
        <w:t xml:space="preserve"> nicht weiter verifizierte Abfrage in der ALKIS-Datenbank ergab zum 13. März 2017 in Bayern 274 Flurstücke mit den Beschrieben </w:t>
      </w:r>
      <w:r w:rsidR="00793F8E">
        <w:t>„</w:t>
      </w:r>
      <w:r>
        <w:t>he</w:t>
      </w:r>
      <w:r>
        <w:t>r</w:t>
      </w:r>
      <w:r>
        <w:t>renlos</w:t>
      </w:r>
      <w:r w:rsidR="00793F8E">
        <w:t>“</w:t>
      </w:r>
      <w:r>
        <w:t xml:space="preserve"> oder </w:t>
      </w:r>
      <w:r w:rsidR="00793F8E">
        <w:t>„</w:t>
      </w:r>
      <w:r>
        <w:t>Verzicht auf Eigentum</w:t>
      </w:r>
      <w:r w:rsidR="00793F8E">
        <w:t>“</w:t>
      </w:r>
      <w:r>
        <w:t>.</w:t>
      </w:r>
    </w:p>
    <w:p w:rsidR="00E330FE" w:rsidRDefault="00E330FE" w:rsidP="00B65B07">
      <w:pPr>
        <w:pStyle w:val="LTAntwortRessortText"/>
        <w:spacing w:before="360"/>
      </w:pPr>
      <w:r>
        <w:t>Höchstvorsorglich wird darauf hingewiesen, dass die Buchungseinheit des Katasters das Flurstück ist. Ein Grundstück kann aus einem oder mehreren Flurstücken bestehen.</w:t>
      </w:r>
    </w:p>
    <w:p w:rsidR="00E330FE" w:rsidRDefault="00E330FE" w:rsidP="00B65B07">
      <w:pPr>
        <w:pStyle w:val="LTAntwortRessortText"/>
        <w:spacing w:before="360"/>
      </w:pPr>
      <w:r>
        <w:t>Aufwendungen, die durch die Verwaltung und Betreuung staatlicher Nachlassimmobilien entstehen, werden im dafür zur Verfügung stehenden Titel (Kap. 1306 Titel 11911) berücksichtigt. Aus diesem Titel werden jedoch neben immobilienspezifischen Ausgaben auch alle anderen Ausgaben getätigt, die im Zusammenhang mit Staatserbfällen anfallen. Eine gesonderte Darstellung der Ausgaben mit Immobilienbezug findet derzeit nicht statt.</w:t>
      </w:r>
    </w:p>
    <w:p w:rsidR="00E330FE" w:rsidRDefault="00E330FE" w:rsidP="00B65B07">
      <w:pPr>
        <w:pStyle w:val="LTAntwortRessortText"/>
        <w:spacing w:before="360"/>
      </w:pPr>
      <w:r>
        <w:t>Von den seit 2006 geerbten Immobilien befinden sich derzeit (Stand Nov. 2016) insgesamt 865</w:t>
      </w:r>
      <w:r w:rsidR="00740A54">
        <w:t> </w:t>
      </w:r>
      <w:r>
        <w:t>Immobilien länger als fünf Jahre im Bestand des Landesamtes für Finanzen.</w:t>
      </w:r>
    </w:p>
    <w:p w:rsidR="00B65B07" w:rsidRDefault="00B65B07">
      <w:r>
        <w:br w:type="page"/>
      </w:r>
    </w:p>
    <w:p w:rsidR="00B65B07" w:rsidRDefault="00B65B07" w:rsidP="00B65B07">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B65B07">
            <w:pPr>
              <w:pStyle w:val="LTNumAnfrageIni1"/>
              <w:spacing w:before="360"/>
            </w:pPr>
            <w:r w:rsidRPr="00E330FE">
              <w:t>Abgeordneter</w:t>
            </w:r>
            <w:r w:rsidRPr="00E330FE">
              <w:br/>
            </w:r>
            <w:r w:rsidRPr="00E330FE">
              <w:rPr>
                <w:b/>
              </w:rPr>
              <w:t>Dr. Sepp</w:t>
            </w:r>
            <w:r w:rsidRPr="00E330FE">
              <w:rPr>
                <w:b/>
              </w:rPr>
              <w:br/>
              <w:t>Dürr</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38" w:name="_Toc477421165"/>
            <w:r>
              <w:instrText>Dr. Dürr, Sepp (BÜNDNIS 90/DIE GRÜNEN)</w:instrText>
            </w:r>
            <w:r>
              <w:br/>
              <w:instrText>Verhalten der Landesbank im Restitutionsfall des Bildes \</w:instrText>
            </w:r>
            <w:r w:rsidR="00793F8E">
              <w:instrText>“</w:instrText>
            </w:r>
            <w:r>
              <w:instrText>Das bunte Leben\</w:instrText>
            </w:r>
            <w:r w:rsidR="00793F8E">
              <w:instrText>“</w:instrText>
            </w:r>
            <w:r>
              <w:instrText xml:space="preserve"> von Wassily Kandinsky</w:instrText>
            </w:r>
            <w:bookmarkEnd w:id="38"/>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B65B07">
            <w:pPr>
              <w:pStyle w:val="LTAnfrageText"/>
              <w:spacing w:before="360"/>
            </w:pPr>
            <w:r>
              <w:t>Nachdem Medien berichtet haben, dass die Bayerische Landesbank als g</w:t>
            </w:r>
            <w:r>
              <w:t>e</w:t>
            </w:r>
            <w:r>
              <w:t xml:space="preserve">genwärtige Besitzerin des Bildes </w:t>
            </w:r>
            <w:r w:rsidR="00793F8E">
              <w:t>„</w:t>
            </w:r>
            <w:r>
              <w:t>Das bunte Leben</w:t>
            </w:r>
            <w:r w:rsidR="00793F8E">
              <w:t>“</w:t>
            </w:r>
            <w:r>
              <w:t xml:space="preserve"> von Wassily Kandinsky nach Unterrichtung über Restitutionsansprüche durch die Nachfahren der u</w:t>
            </w:r>
            <w:r>
              <w:t>r</w:t>
            </w:r>
            <w:r>
              <w:t>sprünglichen Eigentümerin, der Familie Lewenstein, und entgegen der Em</w:t>
            </w:r>
            <w:r>
              <w:t>p</w:t>
            </w:r>
            <w:r>
              <w:t xml:space="preserve">fehlung des Direktors des Lenbachhauses in München, Matthias Mühling, sich anfänglich geweigert habe, den Fall vorbehaltslos vor die Limbach-Kommission zu bringen, weil sie </w:t>
            </w:r>
            <w:r w:rsidR="00740A54">
              <w:t>–</w:t>
            </w:r>
            <w:r>
              <w:t xml:space="preserve"> wie sie den Anspruchsstellern schrieb </w:t>
            </w:r>
            <w:r w:rsidR="00740A54">
              <w:t>–</w:t>
            </w:r>
            <w:r>
              <w:t xml:space="preserve"> keine rechtlichen Ansprüche sehe, frage ich die Staatsregierung, ob ihre Ve</w:t>
            </w:r>
            <w:r>
              <w:t>r</w:t>
            </w:r>
            <w:r>
              <w:t>treterinnen und Vertreter in den Landesbankgremien damit befasst waren bzw. diese von der Landesbank im Voraus oder danach über die Ablehnung info</w:t>
            </w:r>
            <w:r>
              <w:t>r</w:t>
            </w:r>
            <w:r>
              <w:t>miert wurden, ob die Verantwortlichen mit Konsequenzen wegen des Reno</w:t>
            </w:r>
            <w:r>
              <w:t>m</w:t>
            </w:r>
            <w:r>
              <w:t>mee-Verlustes und voraussichtlichen finanziellen Schadens durch die mit der Klage in New York entstehenden Anwaltskosten zu rechnen haben und we</w:t>
            </w:r>
            <w:r>
              <w:t>l</w:t>
            </w:r>
            <w:r>
              <w:t>ches weitere Vorgehen die Vertreterinnen und Vertreter der Staatsregierung in den Gremien der Landesbank den mit den Restitutionsansprüchen Befassten nahelegen werden?</w:t>
            </w:r>
          </w:p>
          <w:p w:rsidR="00E330FE" w:rsidRDefault="00E330FE" w:rsidP="00B65B07">
            <w:pPr>
              <w:pStyle w:val="LTAnfrageText"/>
              <w:spacing w:before="360"/>
            </w:pPr>
          </w:p>
        </w:tc>
      </w:tr>
    </w:tbl>
    <w:p w:rsidR="00E330FE" w:rsidRDefault="00E330FE" w:rsidP="00E330FE">
      <w:pPr>
        <w:pStyle w:val="LTUeberschrAntwortRessort"/>
      </w:pPr>
      <w:r>
        <w:t>Antwort des Staatsministeriums der Finanzen, für Landesentwicklung und Heimat</w:t>
      </w:r>
    </w:p>
    <w:p w:rsidR="00E330FE" w:rsidRDefault="00E330FE" w:rsidP="00E330FE">
      <w:pPr>
        <w:pStyle w:val="LTAntwortRessortText"/>
      </w:pPr>
      <w:r>
        <w:t>Die Angelegenheit fällt nicht in den Zuständigkeitsbereich des Aufsichtsrates der BayernLB. Der Aufsichtsrat war deshalb bislang mit der Thematik nicht befasst. Wie mit gegen die Bank gericht</w:t>
      </w:r>
      <w:r>
        <w:t>e</w:t>
      </w:r>
      <w:r>
        <w:t>ten Ansprüchen umgegangen wird, fällt in die operative Zuständigkeit des Vorstands der BayernLB. Dies gilt auch für die Führung der mit diesem Thema befassten Mitarbeiter</w:t>
      </w:r>
      <w:r w:rsidR="00740A54">
        <w:t>innen und Mitarbeitern</w:t>
      </w:r>
      <w:r>
        <w:t>.</w:t>
      </w:r>
    </w:p>
    <w:p w:rsidR="00B65B07" w:rsidRDefault="00E330FE" w:rsidP="00E330FE">
      <w:pPr>
        <w:pStyle w:val="LTAntwortRessortText"/>
      </w:pPr>
      <w:r>
        <w:t>Das Staatsministerium der Finanzen, für Landesentwicklung und Heimat wurde von der BayernLB erstmals im März 2017 anlässlich einer Presseanfrage über die Angelegenheit in Kenntnis gesetzt. Es hat sich für eine rasche Klärung der Sache mit dem Ziel größtmöglicher Transparenz und Nac</w:t>
      </w:r>
      <w:r>
        <w:t>h</w:t>
      </w:r>
      <w:r>
        <w:t>prüfbarkeit ausgesprochen.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Annette</w:t>
            </w:r>
            <w:r w:rsidRPr="00E330FE">
              <w:rPr>
                <w:b/>
              </w:rPr>
              <w:br/>
              <w:t>Karl</w:t>
            </w:r>
            <w:r w:rsidRPr="00E330FE">
              <w:rPr>
                <w:b/>
              </w:rPr>
              <w:br/>
            </w:r>
            <w:r w:rsidRPr="00E330FE">
              <w:t>(SPD)</w:t>
            </w:r>
            <w:r>
              <w:fldChar w:fldCharType="begin"/>
            </w:r>
            <w:r>
              <w:instrText xml:space="preserve"> TC </w:instrText>
            </w:r>
            <w:r w:rsidR="00793F8E">
              <w:instrText>„</w:instrText>
            </w:r>
            <w:bookmarkStart w:id="39" w:name="_Toc477421166"/>
            <w:r>
              <w:instrText>Karl, Annette (SPD)</w:instrText>
            </w:r>
            <w:r>
              <w:br/>
              <w:instrText>Förderung von Sportstätten</w:instrText>
            </w:r>
            <w:bookmarkEnd w:id="39"/>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B65B07">
            <w:pPr>
              <w:pStyle w:val="LTAnfrageText"/>
            </w:pPr>
            <w:r>
              <w:t>Ich frage die Staatsregierung, für welche Sportstätten gilt die im Jahr 2013 eingeführte erweiterte Bestandsschutzregelung, mit der auch dem Grunde nach nicht förderfähige Flächen, da diese über den schulischen Bedarf hi</w:t>
            </w:r>
            <w:r>
              <w:t>n</w:t>
            </w:r>
            <w:r>
              <w:t>ausgehen, bei der Förderung der Sanierung berücksichtigt werden, gilt diese Bestandsschutzregelung auch bei Neu-, Um- und Erweiterungsbauten und welche Kommunen konnten bei einer solchen Förderung nicht berücksichtigt werden, da sie nach der Absenkung der laut Schulbauverordnung grundsät</w:t>
            </w:r>
            <w:r>
              <w:t>z</w:t>
            </w:r>
            <w:r>
              <w:t>lich erforderlichen 60 Sportklassen auf nun lediglich 40 Sportklassen diese Anzahl an Klassen auch nicht erreicht haben?</w:t>
            </w:r>
          </w:p>
        </w:tc>
      </w:tr>
    </w:tbl>
    <w:p w:rsidR="00E330FE" w:rsidRDefault="00E330FE" w:rsidP="00E330FE">
      <w:pPr>
        <w:pStyle w:val="LTUeberschrAntwortRessort"/>
      </w:pPr>
      <w:r>
        <w:t>Antwort des Staatsministeriums der Finanzen, für Landesentwicklung und Heimat</w:t>
      </w:r>
    </w:p>
    <w:p w:rsidR="00E330FE" w:rsidRDefault="00E330FE" w:rsidP="00B65B07">
      <w:pPr>
        <w:pStyle w:val="LTAntwortRessortText"/>
        <w:spacing w:before="120"/>
      </w:pPr>
      <w:r>
        <w:t xml:space="preserve">Im Rahmen des kommunalen Finanzausgleichs fördert der Freistaat nach Art. 10 </w:t>
      </w:r>
      <w:r w:rsidR="00740A54">
        <w:t>des Finanzau</w:t>
      </w:r>
      <w:r w:rsidR="00740A54">
        <w:t>s</w:t>
      </w:r>
      <w:r w:rsidR="00740A54">
        <w:t>gleichsgesetzes (</w:t>
      </w:r>
      <w:r>
        <w:t>FAG</w:t>
      </w:r>
      <w:r w:rsidR="00740A54">
        <w:t>)</w:t>
      </w:r>
      <w:r>
        <w:t xml:space="preserve"> u. a. Baumaßnahmen an Schulsporteinrichtungen einschließlich schulisch bedarfsnotwendiger Schulschwimmbäder. Nach der Schulbauverordnung setzt schulischer Bedarf für Hallenbadwasserflächen mindestens 60 Sportklassen voraus.</w:t>
      </w:r>
    </w:p>
    <w:p w:rsidR="00E330FE" w:rsidRDefault="00E330FE" w:rsidP="00B65B07">
      <w:pPr>
        <w:pStyle w:val="LTAntwortRessortText"/>
        <w:spacing w:before="120"/>
      </w:pPr>
      <w:r>
        <w:t>Zur Erleichterung der Generalsanierung von bestehenden Schulschwimmbädern, die über den a</w:t>
      </w:r>
      <w:r>
        <w:t>k</w:t>
      </w:r>
      <w:r>
        <w:t>tuellen schulischen Bedarf hinausgehen, wurde 2013 eine erweiterte Bestandsschutzregelung ei</w:t>
      </w:r>
      <w:r>
        <w:t>n</w:t>
      </w:r>
      <w:r>
        <w:lastRenderedPageBreak/>
        <w:t xml:space="preserve">geführt. Diese kommt vor allem Kommunen im ländlichen Raum zugute, die vom Schülerrückgang betroffen sind. Danach kann bereits ab 40 Sportklassen schulischer Bedarf anerkannt werden, </w:t>
      </w:r>
      <w:r w:rsidR="00740A54">
        <w:br/>
      </w:r>
      <w:r>
        <w:t>sofern bei Errichtung des Schwimmbades schulischer Bedarf bestand, der Neubau daher nach Art.</w:t>
      </w:r>
      <w:r w:rsidR="00740A54">
        <w:t> </w:t>
      </w:r>
      <w:r>
        <w:t>10 FAG oder aus anderen Landesmitteln gefördert worden ist und der Freistaat</w:t>
      </w:r>
      <w:r w:rsidR="00740A54">
        <w:t xml:space="preserve"> Bayern</w:t>
      </w:r>
      <w:r>
        <w:t xml:space="preserve"> insoweit einen entsprechenden kommunalen Bedarf anerkannt hat. Bei der Anerkennung des schulischen Bedarfs werden auch Sportklassen anderer öffentlicher Schulen in kommunaler Sachaufwandstr</w:t>
      </w:r>
      <w:r>
        <w:t>ä</w:t>
      </w:r>
      <w:r>
        <w:t>gerschaft im Einzugsbereich einbezogen, wenn sie das Schulschwimmbad langfristig nutzen.</w:t>
      </w:r>
    </w:p>
    <w:p w:rsidR="00B65B07" w:rsidRDefault="00E330FE" w:rsidP="00B65B07">
      <w:pPr>
        <w:pStyle w:val="LTAntwortRessortText"/>
        <w:spacing w:before="120"/>
      </w:pPr>
      <w:r>
        <w:t>Eine Übersicht, welche Baumaßnamen von der erweiterten Bestandsschutzregelung für Schu</w:t>
      </w:r>
      <w:r>
        <w:t>l</w:t>
      </w:r>
      <w:r>
        <w:t>schwimmbäder profitieren, liegt dem Staatsministerium der Finanzen, für Landesentwicklung und Heimat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Georg</w:t>
            </w:r>
            <w:r w:rsidRPr="00E330FE">
              <w:rPr>
                <w:b/>
              </w:rPr>
              <w:br/>
              <w:t>Rosenthal</w:t>
            </w:r>
            <w:r w:rsidRPr="00E330FE">
              <w:rPr>
                <w:b/>
              </w:rPr>
              <w:br/>
            </w:r>
            <w:r w:rsidRPr="00E330FE">
              <w:t>(SPD)</w:t>
            </w:r>
            <w:r>
              <w:fldChar w:fldCharType="begin"/>
            </w:r>
            <w:r>
              <w:instrText xml:space="preserve"> TC </w:instrText>
            </w:r>
            <w:r w:rsidR="00793F8E">
              <w:instrText>„</w:instrText>
            </w:r>
            <w:bookmarkStart w:id="40" w:name="_Toc477421167"/>
            <w:r>
              <w:instrText>Rosenthal, Georg (SPD)</w:instrText>
            </w:r>
            <w:r>
              <w:br/>
              <w:instrText>Kandinsky-Gemälde - NS-Raubkunstverdacht im Münchner Lenbachhaus</w:instrText>
            </w:r>
            <w:bookmarkEnd w:id="40"/>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Vor dem Hintergrund, dass sich die Bayerische Landesbank als aktuelle Besi</w:t>
            </w:r>
            <w:r>
              <w:t>t</w:t>
            </w:r>
            <w:r>
              <w:t xml:space="preserve">zerin von Wassily Kandinskys Kunstwerk </w:t>
            </w:r>
            <w:r w:rsidR="00793F8E">
              <w:t>„</w:t>
            </w:r>
            <w:r>
              <w:t>Das bunte Leben</w:t>
            </w:r>
            <w:r w:rsidR="00793F8E">
              <w:t>“</w:t>
            </w:r>
            <w:r>
              <w:t>, welches derzeit im Münchner Lenbachhaus ausgestellt wird, zuerst weigerte, die für NS-Raub</w:t>
            </w:r>
            <w:r w:rsidR="00B33477">
              <w:softHyphen/>
            </w:r>
            <w:r>
              <w:t>kunst zuständige deutsche Limbach-Kommission anzurufen und so die Besit</w:t>
            </w:r>
            <w:r>
              <w:t>z</w:t>
            </w:r>
            <w:r>
              <w:t>ansprüche der Familie Lewenstein unabhängig prüfen zu lassen, was unter anderem zur Folge hatte, dass nun auch zum Schaden des Freistaates Bayern in den USA Klage gegen die Landesbank eingereicht wurde, frage ich die Staatsregierung, aus welchem Grund das Staatsministerium der Finanzen, für Landesentwicklung und Heimat nicht früher reagiert und so die Chance g</w:t>
            </w:r>
            <w:r>
              <w:t>e</w:t>
            </w:r>
            <w:r>
              <w:t>nutzt hat, einen großen NS-Raubkunstfall selbst zu lösen, sondern die Washington Principles nicht ernst genommen und stattdessen einen langjähr</w:t>
            </w:r>
            <w:r>
              <w:t>i</w:t>
            </w:r>
            <w:r>
              <w:t>gen und kostenintensiven Prozess riskiert hat?</w:t>
            </w:r>
          </w:p>
          <w:p w:rsidR="00E330FE" w:rsidRDefault="00E330FE" w:rsidP="00E330FE">
            <w:pPr>
              <w:pStyle w:val="LTAnfrageText"/>
            </w:pPr>
          </w:p>
        </w:tc>
      </w:tr>
    </w:tbl>
    <w:p w:rsidR="00E330FE" w:rsidRDefault="00E330FE" w:rsidP="00B65B07">
      <w:pPr>
        <w:pStyle w:val="LTUeberschrAntwortRessort"/>
        <w:spacing w:before="0"/>
      </w:pPr>
      <w:r>
        <w:t>Antwort des Staatsministeriums der Finanzen, für Landesentwicklung und Heimat</w:t>
      </w:r>
    </w:p>
    <w:p w:rsidR="00E330FE" w:rsidRDefault="00E330FE" w:rsidP="00E330FE">
      <w:pPr>
        <w:pStyle w:val="LTAntwortRessortText"/>
      </w:pPr>
      <w:r>
        <w:t>Wie mit gegen die Bank gerichteten Ansprüchen umgegangen wird, fällt in die operative Zuständi</w:t>
      </w:r>
      <w:r>
        <w:t>g</w:t>
      </w:r>
      <w:r>
        <w:t>keit des Vorstands der BayernLB. In diesem Fall hat sich die Bank grundsätzlich offen für eine Pr</w:t>
      </w:r>
      <w:r>
        <w:t>ü</w:t>
      </w:r>
      <w:r>
        <w:t>fung durch die Limbach-Kommission gezeigt. Das Staatsministerium der Finanzen, für Landesen</w:t>
      </w:r>
      <w:r>
        <w:t>t</w:t>
      </w:r>
      <w:r>
        <w:t>wicklung und Heimat wurde von der BayernLB erstmals im März 2017 anlässlich einer Pressea</w:t>
      </w:r>
      <w:r>
        <w:t>n</w:t>
      </w:r>
      <w:r>
        <w:t>frage über die Angelegenheit in Kenntnis gesetzt. Es hat sich für eine rasche Klärung der Sache mit dem Ziel größtmöglicher Transparenz und Nachprüfbarkeit ausgesprochen.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Reinhold</w:t>
            </w:r>
            <w:r w:rsidRPr="00E330FE">
              <w:rPr>
                <w:b/>
              </w:rPr>
              <w:br/>
              <w:t>Strobl</w:t>
            </w:r>
            <w:r w:rsidRPr="00E330FE">
              <w:rPr>
                <w:b/>
              </w:rPr>
              <w:br/>
            </w:r>
            <w:r w:rsidRPr="00E330FE">
              <w:t>(SPD)</w:t>
            </w:r>
            <w:r>
              <w:fldChar w:fldCharType="begin"/>
            </w:r>
            <w:r>
              <w:instrText xml:space="preserve"> TC </w:instrText>
            </w:r>
            <w:r w:rsidR="00793F8E">
              <w:instrText>„</w:instrText>
            </w:r>
            <w:bookmarkStart w:id="41" w:name="_Toc477421168"/>
            <w:r>
              <w:instrText>Strobl, Reinhold (SPD)</w:instrText>
            </w:r>
            <w:r>
              <w:br/>
              <w:instrText>Befristete Arbeitsverhältnisse im Bereich der Staatsministerien</w:instrText>
            </w:r>
            <w:bookmarkEnd w:id="41"/>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B65B07">
            <w:pPr>
              <w:pStyle w:val="LTAnfrageText"/>
            </w:pPr>
            <w:r>
              <w:t>Vor dem Hintergrund, dass nach Angaben des Deutschen Gewerkschaft</w:t>
            </w:r>
            <w:r>
              <w:t>s</w:t>
            </w:r>
            <w:r>
              <w:t>bunds 30 Prozent der Arbeitsverhältnisse</w:t>
            </w:r>
            <w:r w:rsidR="00793F8E">
              <w:t xml:space="preserve"> </w:t>
            </w:r>
            <w:r>
              <w:t>im öffentlichen Dienst im Bereich der Zuständigkeit der einzelnen Staatsministerien befristet sind, frage ich die Staatsregierung,</w:t>
            </w:r>
            <w:r w:rsidR="00793F8E">
              <w:t xml:space="preserve"> </w:t>
            </w:r>
            <w:r>
              <w:t>wie viele Personen im Bereich welcher Staatsministerien (bitte Angabe absoluter Zahlen</w:t>
            </w:r>
            <w:r w:rsidR="00793F8E">
              <w:t xml:space="preserve"> </w:t>
            </w:r>
            <w:r>
              <w:t>und in Prozent) und unterteilt nach den ve</w:t>
            </w:r>
            <w:r>
              <w:t>r</w:t>
            </w:r>
            <w:r>
              <w:t>schiedenen Behörden nur einen befristeten Arbeitsvertrag haben?</w:t>
            </w:r>
          </w:p>
        </w:tc>
      </w:tr>
    </w:tbl>
    <w:p w:rsidR="00E330FE" w:rsidRDefault="00E330FE" w:rsidP="00E330FE">
      <w:pPr>
        <w:pStyle w:val="LTUeberschrAntwortRessort"/>
      </w:pPr>
      <w:r>
        <w:t>Antwort des Staatsministeriums der Finanzen, für Landesentwicklung und Heimat</w:t>
      </w:r>
    </w:p>
    <w:p w:rsidR="00E330FE" w:rsidRDefault="00E330FE" w:rsidP="00E330FE">
      <w:pPr>
        <w:pStyle w:val="LTAntwortRessortText"/>
      </w:pPr>
      <w:r>
        <w:t xml:space="preserve">Zur Beantwortung der </w:t>
      </w:r>
      <w:r w:rsidR="00B33477">
        <w:t>Anfrage zum Plenum</w:t>
      </w:r>
      <w:r>
        <w:t xml:space="preserve"> wird auf die Antwort des Staatsministeriums der Fina</w:t>
      </w:r>
      <w:r>
        <w:t>n</w:t>
      </w:r>
      <w:r>
        <w:t xml:space="preserve">zen, für Landesentwicklung und Heimat </w:t>
      </w:r>
      <w:r w:rsidR="00B33477">
        <w:t xml:space="preserve">(StMFLH) </w:t>
      </w:r>
      <w:r>
        <w:t xml:space="preserve">auf die Schriftliche Anfrage des Abgeordneten Markus </w:t>
      </w:r>
      <w:r w:rsidR="00B33477">
        <w:t xml:space="preserve">Ganserer vom 13. April </w:t>
      </w:r>
      <w:r>
        <w:t xml:space="preserve">2016 </w:t>
      </w:r>
      <w:r w:rsidR="00B33477">
        <w:t xml:space="preserve">betreffend „Befristet Beschäftigte im öffentlichen Dienst“ </w:t>
      </w:r>
      <w:r>
        <w:t>ve</w:t>
      </w:r>
      <w:r>
        <w:t>r</w:t>
      </w:r>
      <w:r>
        <w:t xml:space="preserve">wiesen (Drs. 17/12103). Aktuelleres Zahlenmaterial liegt dem </w:t>
      </w:r>
      <w:r w:rsidR="00B33477">
        <w:t>StMFLH</w:t>
      </w:r>
      <w:r>
        <w:t xml:space="preserve"> nicht vor.</w:t>
      </w:r>
    </w:p>
    <w:p w:rsidR="00E330FE" w:rsidRDefault="00E330FE" w:rsidP="00E330FE">
      <w:pPr>
        <w:pStyle w:val="LTUeberschrRessort"/>
      </w:pPr>
      <w:r>
        <w:lastRenderedPageBreak/>
        <w:t>Geschäftsbereich des Staatsministeriums für Wirtschaft und Medien, Energie und Technologie</w:t>
      </w:r>
      <w:r>
        <w:fldChar w:fldCharType="begin"/>
      </w:r>
      <w:r>
        <w:instrText xml:space="preserve"> TC </w:instrText>
      </w:r>
      <w:r w:rsidR="00793F8E">
        <w:instrText>„</w:instrText>
      </w:r>
      <w:bookmarkStart w:id="42" w:name="_Toc477421169"/>
      <w:r>
        <w:instrText>Geschäftsbereich des Staatsministeriums für Wirtschaft und Medien, Energie und Technologie</w:instrText>
      </w:r>
      <w:bookmarkEnd w:id="42"/>
      <w:r w:rsidR="00793F8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Markus</w:t>
            </w:r>
            <w:r w:rsidRPr="00E330FE">
              <w:rPr>
                <w:b/>
              </w:rPr>
              <w:br/>
              <w:t>Ganserer</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43" w:name="_Toc477421170"/>
            <w:r>
              <w:instrText>Ganserer, Markus (BÜNDNIS 90/DIE GRÜNEN)</w:instrText>
            </w:r>
            <w:r>
              <w:br/>
              <w:instrText>Wettbewerbsregister</w:instrText>
            </w:r>
            <w:bookmarkEnd w:id="43"/>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beurteilt die sie den Vorschlag aus dem Bundesministerium für Wirtschaft und Energie für ein Gesetz zur Einführung eines Wettbewerbsregisters, wird dieser Vorschlag zur Einführung des Korru</w:t>
            </w:r>
            <w:r>
              <w:t>p</w:t>
            </w:r>
            <w:r>
              <w:t>tionsregisters seitens der Staatsregierung unterstützt und wenn nein, welche anderen Möglichkeiten werden gesehen, damit öffentliche Auftrag- und Ko</w:t>
            </w:r>
            <w:r>
              <w:t>n</w:t>
            </w:r>
            <w:r>
              <w:t>zessionsgeber ihrer Pflicht nach dem geltenden Vergabegesetz nachkommen, vor Zuschlag zu prüfen, ob Ausschlussgründe, wie etwa Straftaten und andere Rechtsverstöße, bei einem potentiellen Auftragnehmer vorliegen?</w:t>
            </w:r>
          </w:p>
          <w:p w:rsidR="00E330FE" w:rsidRDefault="00E330FE" w:rsidP="00E330FE">
            <w:pPr>
              <w:pStyle w:val="LTAnfrageText"/>
            </w:pPr>
          </w:p>
        </w:tc>
      </w:tr>
    </w:tbl>
    <w:p w:rsidR="00E330FE" w:rsidRDefault="00E330FE" w:rsidP="00B65B07">
      <w:pPr>
        <w:pStyle w:val="LTUeberschrAntwortRessort"/>
        <w:spacing w:before="840"/>
      </w:pPr>
      <w:r>
        <w:t>Antwort des Staatsministeriums für Wirtschaft und Medien, Energie und Technologie</w:t>
      </w:r>
    </w:p>
    <w:p w:rsidR="00E330FE" w:rsidRDefault="00E330FE" w:rsidP="00E330FE">
      <w:pPr>
        <w:pStyle w:val="LTAntwortRessortText"/>
      </w:pPr>
      <w:r>
        <w:t>Die Staatsregierung befürwortet den Vorschlag des Bundesministeriums für Wirtschaft und Energie für ein Gesetz zur Einführung eines bundesweit einheitlichen Wettbewerbsregisters. In das Register werden Unternehmen eingetragen, zu denen Erkenntnisse über Straftaten oder Ordnungswidrigke</w:t>
      </w:r>
      <w:r>
        <w:t>i</w:t>
      </w:r>
      <w:r>
        <w:t>ten, die Gründe für einen Ausschluss von der Teilnahme an Vergabeverfahren darstellen, vorliegen. Dadurch wird der Bürokratie- und Zeitaufwand für die Vergabestellen spürbar verringert. Details einzelner vorgeschlagener Regelungen bedürfen noch der näheren Prüfung.</w:t>
      </w:r>
    </w:p>
    <w:p w:rsidR="00B65B07" w:rsidRDefault="00B65B07">
      <w:pPr>
        <w:rPr>
          <w:rFonts w:cs="Arial"/>
          <w:b/>
          <w:sz w:val="22"/>
          <w:szCs w:val="22"/>
        </w:rPr>
      </w:pPr>
      <w:r>
        <w:br w:type="page"/>
      </w:r>
    </w:p>
    <w:p w:rsidR="00E330FE" w:rsidRDefault="00E330FE" w:rsidP="00E330FE">
      <w:pPr>
        <w:pStyle w:val="LTUeberschrRessort"/>
      </w:pPr>
      <w:r>
        <w:lastRenderedPageBreak/>
        <w:t>Geschäftsbereich des Staatsministeriums für Umwelt und Verbraucherschutz</w:t>
      </w:r>
      <w:r>
        <w:fldChar w:fldCharType="begin"/>
      </w:r>
      <w:r>
        <w:instrText xml:space="preserve"> TC </w:instrText>
      </w:r>
      <w:r w:rsidR="00793F8E">
        <w:instrText>„</w:instrText>
      </w:r>
      <w:bookmarkStart w:id="44" w:name="_Toc477421171"/>
      <w:r>
        <w:instrText>Geschäftsbereich des Staatsministeriums für Umwelt und Verbraucherschutz</w:instrText>
      </w:r>
      <w:bookmarkEnd w:id="44"/>
      <w:r w:rsidR="00793F8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Hubert</w:t>
            </w:r>
            <w:r w:rsidRPr="00E330FE">
              <w:rPr>
                <w:b/>
              </w:rPr>
              <w:br/>
              <w:t>Aiwanger</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45" w:name="_Toc477421172"/>
            <w:r>
              <w:instrText>Aiwanger, Hubert (FREIE WÄH</w:instrText>
            </w:r>
            <w:r w:rsidR="00EE1749">
              <w:instrText>LER)</w:instrText>
            </w:r>
            <w:r w:rsidR="00EE1749">
              <w:br/>
              <w:instrText>Dritter</w:instrText>
            </w:r>
            <w:r>
              <w:instrText xml:space="preserve"> Nationalpark</w:instrText>
            </w:r>
            <w:bookmarkEnd w:id="45"/>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E1749">
            <w:pPr>
              <w:pStyle w:val="LTAnfrageText"/>
            </w:pPr>
            <w:r>
              <w:t>Vor dem Hintergrund des großen Widerstands aus Fachkreisen und der B</w:t>
            </w:r>
            <w:r>
              <w:t>e</w:t>
            </w:r>
            <w:r>
              <w:t>völkerung gegen die diskutierte Ausweisung eines Nationalparks im Spessart frage ich die Staatsregierung, wie hoch schätzt sie den wirtschaftlichen Wert des Holzes auf dem Gebiet (ca. 100 Quadratkilometer) des diskutierten Nati</w:t>
            </w:r>
            <w:r>
              <w:t>o</w:t>
            </w:r>
            <w:r>
              <w:t>nalparks ein (gerundet auf 50 Mio. Euro), wie hoch würden die Investitionen aus Steuermitteln für Einrichtung und Betrieb eines Nationalparks Spessart in den nächsten zehn Jahren in etwa sein (ggf. Vergleichszahlen bzw. Erfa</w:t>
            </w:r>
            <w:r>
              <w:t>h</w:t>
            </w:r>
            <w:r>
              <w:t>rungswerte abgeleitet aus den bisherigen beiden bayerischen Nationalparken) und welche Einschränkungen für die Holzwerbung durch Privatpersonen (Rechtler) sind im Falle einer Ausweisung eines Nationalparks auf dem b</w:t>
            </w:r>
            <w:r>
              <w:t>e</w:t>
            </w:r>
            <w:r>
              <w:t>troffenen Gebiet zu erwarten?</w:t>
            </w:r>
          </w:p>
        </w:tc>
      </w:tr>
    </w:tbl>
    <w:p w:rsidR="00E330FE" w:rsidRDefault="00E330FE" w:rsidP="00B65B07">
      <w:pPr>
        <w:pStyle w:val="LTUeberschrAntwortRessort"/>
        <w:spacing w:before="840"/>
      </w:pPr>
      <w:r>
        <w:t>Antwort des Staatsministeriums für Umwelt und Verbraucherschutz</w:t>
      </w:r>
    </w:p>
    <w:p w:rsidR="00E330FE" w:rsidRDefault="00E330FE" w:rsidP="00B65B07">
      <w:pPr>
        <w:pStyle w:val="LTAntwortRessortText"/>
        <w:spacing w:before="360"/>
      </w:pPr>
      <w:r>
        <w:t>Der wirtschaftliche Wert des Holzes auf dem Gebiet kann nur überschlägig abgeschätzt werden. Das Staatsministerium für Ernährung, Landwirtschaft und Forsten hat einen Wert von rund 300 Mio. Euro genannt.</w:t>
      </w:r>
    </w:p>
    <w:p w:rsidR="00E330FE" w:rsidRDefault="00E330FE" w:rsidP="00B65B07">
      <w:pPr>
        <w:pStyle w:val="LTAntwortRessortText"/>
        <w:spacing w:before="360"/>
      </w:pPr>
      <w:r>
        <w:t>Die Höhe der Personal- und Finanzmittel für die Einrichtung und den Betrieb des angestrebten dri</w:t>
      </w:r>
      <w:r>
        <w:t>t</w:t>
      </w:r>
      <w:r>
        <w:t>ten Nationalparks in Bayern ist künftigen Haushaltsverhandlungen vorbehalten.</w:t>
      </w:r>
    </w:p>
    <w:p w:rsidR="00E330FE" w:rsidRDefault="00E330FE" w:rsidP="00B65B07">
      <w:pPr>
        <w:pStyle w:val="LTAntwortRessortText"/>
        <w:spacing w:before="360"/>
      </w:pPr>
      <w:r>
        <w:t>Bei der Nationalparkverwaltung Bayerischer Wald sind aktuell rund 200 Mitarbeiter beschäftigt. Das Haushaltsvolumen der Nationalparkverwaltung Bayerischer Wald liegt derzeit bei rund 15,1 Mio. Euro pro Jahr.</w:t>
      </w:r>
    </w:p>
    <w:p w:rsidR="00E330FE" w:rsidRDefault="00E330FE" w:rsidP="00B65B07">
      <w:pPr>
        <w:pStyle w:val="LTAntwortRessortText"/>
        <w:spacing w:before="360"/>
      </w:pPr>
      <w:r>
        <w:t>Die Nationalparkverwaltung Berchtesgaden verfügt über rund 90 Mitarbeiter. Das Haushaltsvol</w:t>
      </w:r>
      <w:r>
        <w:t>u</w:t>
      </w:r>
      <w:r>
        <w:t>men der Nationalparkverwaltung Berchtesgaden beträgt derzeit rund 7,1 Mio. Euro pro Jahr.</w:t>
      </w:r>
    </w:p>
    <w:p w:rsidR="00E330FE" w:rsidRDefault="00E330FE" w:rsidP="00B65B07">
      <w:pPr>
        <w:pStyle w:val="LTAntwortRessortText"/>
        <w:spacing w:before="360"/>
      </w:pPr>
      <w:r>
        <w:t>In die Errichtung des 2006 eröffneten Informationszentrums des Nationalparks Bayerischer Wald</w:t>
      </w:r>
      <w:r w:rsidR="00F26F6B">
        <w:t xml:space="preserve"> </w:t>
      </w:r>
      <w:r w:rsidR="00793F8E">
        <w:t>„</w:t>
      </w:r>
      <w:r>
        <w:t>Haus zur Wildnis</w:t>
      </w:r>
      <w:r w:rsidR="00793F8E">
        <w:t>“</w:t>
      </w:r>
      <w:r>
        <w:t xml:space="preserve"> wurden ca. 15 Mio. Euro, in die Errichtung des 2013 eröffneten Informations- und Bildungszentrums im Nationalpark Berchtesgaden </w:t>
      </w:r>
      <w:r w:rsidR="00793F8E">
        <w:t>„</w:t>
      </w:r>
      <w:r>
        <w:t>Haus der Berge</w:t>
      </w:r>
      <w:r w:rsidR="00793F8E">
        <w:t>“</w:t>
      </w:r>
      <w:r>
        <w:t xml:space="preserve"> in Berchtesgaden ca. 19</w:t>
      </w:r>
      <w:r w:rsidR="00F26F6B">
        <w:t> </w:t>
      </w:r>
      <w:r>
        <w:t>Mio. Euro investiert.</w:t>
      </w:r>
    </w:p>
    <w:p w:rsidR="00B65B07" w:rsidRDefault="00E330FE" w:rsidP="00B65B07">
      <w:pPr>
        <w:pStyle w:val="LTAntwortRessortText"/>
        <w:spacing w:before="360"/>
      </w:pPr>
      <w:r>
        <w:t>Die Spessartforstrechte bleiben unverändert bestehen und nutzbar. Die sogenannten Oberhol</w:t>
      </w:r>
      <w:r>
        <w:t>z</w:t>
      </w:r>
      <w:r>
        <w:t>rechte könnten auf Basis der hie</w:t>
      </w:r>
      <w:r w:rsidR="00F26F6B">
        <w:t xml:space="preserve">rzu im Jahr 1978 geschlossenen </w:t>
      </w:r>
      <w:r>
        <w:t>freiwilligen Vereinbarung im Staatswald außerhalb des Nationalparks und in der Pflegezone des Nationalparks in ungeschmäle</w:t>
      </w:r>
      <w:r>
        <w:t>r</w:t>
      </w:r>
      <w:r>
        <w:t>tem Umfang ausgeübt werden. Die Vereinbarung soll unverändert fortgeführt werden.</w:t>
      </w:r>
    </w:p>
    <w:p w:rsidR="00B65B07" w:rsidRDefault="00B65B07">
      <w:r>
        <w:br w:type="page"/>
      </w:r>
    </w:p>
    <w:p w:rsidR="00E330FE" w:rsidRDefault="00E330FE" w:rsidP="00B65B07">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Günther</w:t>
            </w:r>
            <w:r w:rsidRPr="00E330FE">
              <w:rPr>
                <w:b/>
              </w:rPr>
              <w:br/>
              <w:t>Felbinger</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46" w:name="_Toc477421173"/>
            <w:r>
              <w:instrText>Felbinger, Günther (FREIE WÄHLER)</w:instrText>
            </w:r>
            <w:r>
              <w:br/>
              <w:instrText>Rückbau der Brunnen in Gemünden/Hofstetten</w:instrText>
            </w:r>
            <w:bookmarkEnd w:id="46"/>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7B6BDE">
            <w:pPr>
              <w:pStyle w:val="LTAnfrageText"/>
            </w:pPr>
            <w:r>
              <w:t xml:space="preserve">Ich frage die Staatsregierung, wie steht sie zu der in der </w:t>
            </w:r>
            <w:r w:rsidR="00793F8E">
              <w:t>„</w:t>
            </w:r>
            <w:r>
              <w:t>Main-Post</w:t>
            </w:r>
            <w:r w:rsidR="00793F8E">
              <w:t>“</w:t>
            </w:r>
            <w:r>
              <w:t xml:space="preserve"> vom 21.</w:t>
            </w:r>
            <w:r w:rsidR="007B6BDE">
              <w:t> </w:t>
            </w:r>
            <w:r>
              <w:t>Februar 2017 postulierten Verweigerungshaltung des Zweckverbands Fernwasserversorgung Mittelmain (FWM) trotz Vorbehalte des Landesamtes für Umweltschutz (LfU) und der in meiner Schriftlichen Anfrage vom 28. J</w:t>
            </w:r>
            <w:r>
              <w:t>u</w:t>
            </w:r>
            <w:r>
              <w:t>li</w:t>
            </w:r>
            <w:r w:rsidR="007B6BDE">
              <w:t> </w:t>
            </w:r>
            <w:r>
              <w:t xml:space="preserve">2016 betreffend </w:t>
            </w:r>
            <w:r w:rsidR="00793F8E">
              <w:t>„</w:t>
            </w:r>
            <w:r>
              <w:t>Rückbau der Tiefbrunnen im Wasserschutzgebiet Hofste</w:t>
            </w:r>
            <w:r>
              <w:t>t</w:t>
            </w:r>
            <w:r>
              <w:t>ten-West</w:t>
            </w:r>
            <w:r w:rsidR="00793F8E">
              <w:t>“</w:t>
            </w:r>
            <w:r>
              <w:t xml:space="preserve"> (keine Drucklegung) seitens der Staatsregierung getroffenen Fes</w:t>
            </w:r>
            <w:r>
              <w:t>t</w:t>
            </w:r>
            <w:r>
              <w:t xml:space="preserve">stellung: </w:t>
            </w:r>
            <w:r w:rsidR="00793F8E">
              <w:t>„</w:t>
            </w:r>
            <w:r>
              <w:t>Eine Weiterverwendung als Notbrunnen nach dem Wassersicherste</w:t>
            </w:r>
            <w:r>
              <w:t>l</w:t>
            </w:r>
            <w:r>
              <w:t>lungsgesetz bzw. als Grundwassermessstellen kommen nicht in Betracht ... Danach ist aus Sicht des vorsorgenden Grundwasserschutzes der Rückbau unerlässlich. Dies wurde dem Zweckverband Fernwasserversorgung Mitte</w:t>
            </w:r>
            <w:r>
              <w:t>l</w:t>
            </w:r>
            <w:r>
              <w:t>main (FWM) mit Schreiben des Landratsamtes vom 30.10.2015 mitgeteilt. Gleichzeitig wurde der Zweckverband aufgefordert, unter Beachtung des DVGW-Arbeitsblatts W 135 (Sanierung und Rückbau von Bohrungen, Grun</w:t>
            </w:r>
            <w:r>
              <w:t>d</w:t>
            </w:r>
            <w:r>
              <w:t>wassermessstellen und Brunnen) ein Rückbaukonzept zu erstellen.</w:t>
            </w:r>
            <w:r w:rsidR="00793F8E">
              <w:t>“</w:t>
            </w:r>
            <w:r>
              <w:t>, aus der Brunnengalerie Hofstetten Trinkwasser fördern zu wollen und trotz der vom Landratsamt Main-Spessart erfolgten Rückbauanordnung, den Rückbau nicht vollziehen zu wollen und eine erneute Prüfung auf Wasserförderung anzustr</w:t>
            </w:r>
            <w:r>
              <w:t>e</w:t>
            </w:r>
            <w:r>
              <w:t>ben, welche Konsequenzen zieht das Staatsministerium für Umwelt und Ve</w:t>
            </w:r>
            <w:r>
              <w:t>r</w:t>
            </w:r>
            <w:r>
              <w:t>braucherschutz aus der Rückbauverweigerung des FWM und gibt es Fristen, bis wann der nach der Anordnung der Landratsamtes Main-Spessart zu erfo</w:t>
            </w:r>
            <w:r>
              <w:t>l</w:t>
            </w:r>
            <w:r>
              <w:t>gende Rückbau vollzogen werden muss?</w:t>
            </w:r>
          </w:p>
        </w:tc>
      </w:tr>
    </w:tbl>
    <w:p w:rsidR="00E330FE" w:rsidRDefault="00E330FE" w:rsidP="00E330FE">
      <w:pPr>
        <w:pStyle w:val="LTUeberschrAntwortRessort"/>
      </w:pPr>
      <w:r>
        <w:t>Antwort des Staatsministeriums für Umwelt und Verbraucherschutz</w:t>
      </w:r>
    </w:p>
    <w:p w:rsidR="00E330FE" w:rsidRDefault="00E330FE" w:rsidP="00E330FE">
      <w:pPr>
        <w:pStyle w:val="LTAntwortRessortText"/>
      </w:pPr>
      <w:r>
        <w:t>Wie die Staatsregierung in ihrer Antwort zur Schriftlichen Anfrage des Abgeordneten Günther Fe</w:t>
      </w:r>
      <w:r>
        <w:t>l</w:t>
      </w:r>
      <w:r>
        <w:t>binger vom 28. Juli 2016 bereits mitgeteilt hat, klären die vor Ort zuständigen Behörden im Au</w:t>
      </w:r>
      <w:r>
        <w:t>s</w:t>
      </w:r>
      <w:r>
        <w:t>tausch mit dem Zweckverband zur Wasserversorgung Mainfranken (FWM) die Zukunft der Brunnen Hofstetten-West. Nach Auskunft der Kreisverwaltungsbehörde vom 14. März 2017 hat sie den Ve</w:t>
      </w:r>
      <w:r>
        <w:t>r</w:t>
      </w:r>
      <w:r>
        <w:t>band mit Schreiben vom 8. Dezember 2016 aufgefordert</w:t>
      </w:r>
      <w:r w:rsidR="006254F5">
        <w:t>,</w:t>
      </w:r>
      <w:r>
        <w:t xml:space="preserve"> bis zum 31. Januar 2017 ein Rückba</w:t>
      </w:r>
      <w:r>
        <w:t>u</w:t>
      </w:r>
      <w:r>
        <w:t>konzept vorzulegen. Darauf hat der Verband am 30. Januar 2017 reagiert und Argumente gegen einen Rückbau vorgetragen, die dem Wasserwirtschaftsamt Aschaffenburg zur Stellungnahme übermittelt wurden. Die Kreisverwaltungsbehörde hat mit dem Zweckverband vereinbart, ein weit</w:t>
      </w:r>
      <w:r>
        <w:t>e</w:t>
      </w:r>
      <w:r>
        <w:t>res Gespräch zu führen, sobald die fachliche Äußerung des Wasserwirtschaftsamtes vorliegt. Im Anschluss beabsichtigt die Kreisverwaltungsbehörde die weiteren Schritte festzulegen.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Ludwig</w:t>
            </w:r>
            <w:r w:rsidRPr="00E330FE">
              <w:rPr>
                <w:b/>
              </w:rPr>
              <w:br/>
              <w:t>Hartmann</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47" w:name="_Toc477421174"/>
            <w:r>
              <w:instrText>Hartmann, Ludwig (BÜNDNIS 90/DIE GRÜNEN)</w:instrText>
            </w:r>
            <w:r>
              <w:br/>
              <w:instrText>Evakuierungen bei Gefahrenlage für Atomkraftwerke</w:instrText>
            </w:r>
            <w:bookmarkEnd w:id="47"/>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Bezugnehmend auf die kurzfristige Räumung des Atomkraftwerks Grafe</w:t>
            </w:r>
            <w:r>
              <w:t>n</w:t>
            </w:r>
            <w:r>
              <w:t>rheinfeld am Freitag, den 10. März 2017 als Folge eines fehlenden Funkko</w:t>
            </w:r>
            <w:r>
              <w:t>n</w:t>
            </w:r>
            <w:r>
              <w:t>takts zu einer indischen Passagiermaschine, frage ich die Staatsregierung, ob außer dem Atomkraftwerk weitere sicherheitsrelevante Einrichtungen bzw. Unternehmen in Bayern evakuiert wurden, welche Kriterien bei der Evakui</w:t>
            </w:r>
            <w:r>
              <w:t>e</w:t>
            </w:r>
            <w:r>
              <w:t>rungsentscheidung angewendet werden und warum andere potenzielle A</w:t>
            </w:r>
            <w:r>
              <w:t>n</w:t>
            </w:r>
            <w:r>
              <w:t>schlagsziele (Bahnhöfe, Flughäfen, Hochhäuser etc.) nicht evakuiert wurden?</w:t>
            </w:r>
          </w:p>
          <w:p w:rsidR="00E330FE" w:rsidRDefault="00E330FE" w:rsidP="00E330FE">
            <w:pPr>
              <w:pStyle w:val="LTAnfrageText"/>
            </w:pPr>
          </w:p>
        </w:tc>
      </w:tr>
    </w:tbl>
    <w:p w:rsidR="00E330FE" w:rsidRDefault="00E330FE" w:rsidP="007B6BDE">
      <w:pPr>
        <w:pStyle w:val="LTUeberschrAntwortRessort"/>
      </w:pPr>
      <w:r>
        <w:lastRenderedPageBreak/>
        <w:t>Antwort des Staatsministeriums für Umwelt und Verbraucherschutz</w:t>
      </w:r>
      <w:r w:rsidR="007B6BDE">
        <w:t xml:space="preserve"> im Einvernehmen mit dem </w:t>
      </w:r>
      <w:r>
        <w:t>Staatsministeri</w:t>
      </w:r>
      <w:r w:rsidR="007B6BDE">
        <w:t>um</w:t>
      </w:r>
      <w:r>
        <w:t xml:space="preserve"> des Innern, für Bau und Verkehr</w:t>
      </w:r>
    </w:p>
    <w:p w:rsidR="00E330FE" w:rsidRDefault="00E330FE" w:rsidP="00E330FE">
      <w:pPr>
        <w:pStyle w:val="LTAntwortRessortText"/>
      </w:pPr>
      <w:r>
        <w:t xml:space="preserve">Am Freitag, den 10. März 2017 wurde vom Nationalen Lage- und Führungszentrum für Sicherheit im Luftraum wegen des fehlenden Funkkontakts zu einer Passagiermaschine </w:t>
      </w:r>
      <w:r w:rsidR="00554589">
        <w:t xml:space="preserve">ein </w:t>
      </w:r>
      <w:r w:rsidR="006254F5">
        <w:t>RENEGADE</w:t>
      </w:r>
      <w:r>
        <w:t>-Voralarm gemäß Rahmenplan der Bundesregierung ausgelöst. Alle bayerischen Kernkraftwerke haben daraufhin die jeweils in ihrem Betriebsreglement festgelegten Maßnahmen ergriffen. Dieses Betriebsreglement gilt unabhängig davon, ob sich die Kernkraftwerke im Leistungs- oder Nichtlei</w:t>
      </w:r>
      <w:r>
        <w:t>s</w:t>
      </w:r>
      <w:r>
        <w:t xml:space="preserve">tungsbetrieb befinden. Die Kriterien für die Auslösung eines </w:t>
      </w:r>
      <w:r w:rsidR="006254F5">
        <w:t>RENEGADE</w:t>
      </w:r>
      <w:r>
        <w:t>-Voralarms sind im o.g. Rahmenplan der Bundesregierung festgelegt.</w:t>
      </w:r>
    </w:p>
    <w:p w:rsidR="00E330FE" w:rsidRDefault="00E330FE" w:rsidP="00E330FE">
      <w:pPr>
        <w:pStyle w:val="LTAntwortRessortText"/>
      </w:pPr>
      <w:r>
        <w:t>Seitens der Bayerischen Polizei wurden keine Evakuierungsmaßnahmen in Einrichtungen bzw. U</w:t>
      </w:r>
      <w:r>
        <w:t>n</w:t>
      </w:r>
      <w:r>
        <w:t>ternehmen in Bayern getroffen. Aufgrund der enorm kurzen Vorlaufzeiten und der örtlichen Nich</w:t>
      </w:r>
      <w:r>
        <w:t>t</w:t>
      </w:r>
      <w:r>
        <w:t>eingrenzbarkeit der Gefahrenlage im Rahmen der polizeilichen Lagebewertung ist in solchen Fällen eine Definition konkreter Örtlichkeiten und damit das Veranlassen gezielter Schutzmaßnahmen in der Regel nicht durchführbar.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Christine</w:t>
            </w:r>
            <w:r w:rsidRPr="00E330FE">
              <w:rPr>
                <w:b/>
              </w:rPr>
              <w:br/>
              <w:t>Kamm</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48" w:name="_Toc477421175"/>
            <w:r>
              <w:instrText>Kamm, Christine (BÜNDNIS 90/DIE GRÜNEN)</w:instrText>
            </w:r>
            <w:r>
              <w:br/>
              <w:instrText>Räumung von Atomkraftwerken am Freitag, den 10. März 2017</w:instrText>
            </w:r>
            <w:bookmarkEnd w:id="48"/>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was genau wurde am Freitag, den 10. März 2017, vormittags an den Atomkraftwerksstandorten Isar I und II, Gundremmi</w:t>
            </w:r>
            <w:r>
              <w:t>n</w:t>
            </w:r>
            <w:r>
              <w:t>gen, Grafenrheinfeld und am Forschungsreaktor Garching unternommen, als wegen eines Flugzeugs Alarm beim Kernkraftwerk Grafenrheinfeld ausgelöst wurde, was sollte damit jeweils erreicht werden und spielten Überlegungen zur Verhinderung von Binnenangriffen eine Rolle?</w:t>
            </w:r>
          </w:p>
          <w:p w:rsidR="00E330FE" w:rsidRDefault="00E330FE" w:rsidP="00E330FE">
            <w:pPr>
              <w:pStyle w:val="LTAnfrageText"/>
            </w:pPr>
          </w:p>
        </w:tc>
      </w:tr>
    </w:tbl>
    <w:p w:rsidR="00E330FE" w:rsidRDefault="00E330FE" w:rsidP="00E330FE">
      <w:pPr>
        <w:pStyle w:val="LTUeberschrAntwortRessort"/>
      </w:pPr>
      <w:r>
        <w:t>Antwort des Staatsministeriums für Umwelt und Verbraucherschutz</w:t>
      </w:r>
    </w:p>
    <w:p w:rsidR="00E330FE" w:rsidRDefault="00E330FE" w:rsidP="00E330FE">
      <w:pPr>
        <w:pStyle w:val="LTAntwortRessortText"/>
      </w:pPr>
      <w:r>
        <w:t xml:space="preserve">Am Freitag, den 10. März 2017 wurde vom Nationalen Lage- und Führungszentrum für Sicherheit im Luftraum wegen des fehlenden Funkkontakts zu einer Passagiermaschine </w:t>
      </w:r>
      <w:r w:rsidR="00554589">
        <w:t xml:space="preserve">ein </w:t>
      </w:r>
      <w:r w:rsidR="006254F5">
        <w:t>RENEGAD</w:t>
      </w:r>
      <w:r>
        <w:t>-Voralarm gemäß Rahmenplan der Bundesregierung ausgelöst. Alle bayerischen Kernkraftwerke haben daraufhin die jeweils in ihrem Betriebsreglement festgelegten Maßnahmen ergriffen. Dieses Betriebsreglement gilt unabhängig davon, ob sich die Kernkraftwerke im Leistungs- oder Nichtlei</w:t>
      </w:r>
      <w:r>
        <w:t>s</w:t>
      </w:r>
      <w:r>
        <w:t xml:space="preserve">tungsbetrieb befinden. Die Kriterien für die Auslösung eines </w:t>
      </w:r>
      <w:r w:rsidR="006254F5">
        <w:t>RENEGADE</w:t>
      </w:r>
      <w:r>
        <w:t>-Voralarms sind im o.g. Rahmenplan der Bundesregierung festgelegt.</w:t>
      </w:r>
    </w:p>
    <w:p w:rsidR="00B65B07" w:rsidRDefault="00B65B07"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Nikolaus</w:t>
            </w:r>
            <w:r w:rsidRPr="00E330FE">
              <w:rPr>
                <w:b/>
              </w:rPr>
              <w:br/>
              <w:t>Kraus</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49" w:name="_Toc477421176"/>
            <w:r>
              <w:instrText>Kraus, Nikolaus (FREIE WÄHLER)</w:instrText>
            </w:r>
            <w:r>
              <w:br/>
              <w:instrText>FFH-Feinabgrenzung</w:instrText>
            </w:r>
            <w:bookmarkEnd w:id="49"/>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vielen Einsprüchen bezüglich der FFH-Feinabgrenzungen (FFH = Fauna-Flora-Habitat) wurden von ihrer Seite stat</w:t>
            </w:r>
            <w:r>
              <w:t>t</w:t>
            </w:r>
            <w:r>
              <w:t>gegeben (Auflistung nach Regierungsbezirken), wie viele Bürger haben gegen die Umsetzung der FFH-Feinabgrenzung geklagt und sind durch die Feina</w:t>
            </w:r>
            <w:r>
              <w:t>b</w:t>
            </w:r>
            <w:r>
              <w:t>grenzung noch zusätzliche FFH-Flächen hinzugekommen, die bisher nicht erfasst waren</w:t>
            </w:r>
            <w:r w:rsidR="00793F8E">
              <w:t xml:space="preserve"> </w:t>
            </w:r>
            <w:r>
              <w:t>(ggf. bitte auflisten)?</w:t>
            </w:r>
          </w:p>
          <w:p w:rsidR="00E330FE" w:rsidRDefault="00E330FE" w:rsidP="00E330FE">
            <w:pPr>
              <w:pStyle w:val="LTAnfrageText"/>
            </w:pPr>
          </w:p>
        </w:tc>
      </w:tr>
    </w:tbl>
    <w:p w:rsidR="00E330FE" w:rsidRDefault="00E330FE" w:rsidP="00E330FE">
      <w:pPr>
        <w:pStyle w:val="LTUeberschrAntwortRessort"/>
      </w:pPr>
      <w:r>
        <w:lastRenderedPageBreak/>
        <w:t>Antwort des Staatsministeriums für Umwelt und Verbraucherschutz</w:t>
      </w:r>
    </w:p>
    <w:p w:rsidR="00E330FE" w:rsidRDefault="00E330FE" w:rsidP="00E330FE">
      <w:pPr>
        <w:pStyle w:val="LTAntwortRessortText"/>
      </w:pPr>
      <w:r>
        <w:t xml:space="preserve">Rund 2.900 </w:t>
      </w:r>
      <w:r w:rsidR="000317E7">
        <w:t xml:space="preserve">Einwenderinnen und </w:t>
      </w:r>
      <w:r>
        <w:t>Einwender haben sich mit insgesamt ca. 13.400 Einzeleinwe</w:t>
      </w:r>
      <w:r>
        <w:t>n</w:t>
      </w:r>
      <w:r>
        <w:t>dungen am Verordnungsverfahren beteiligt. Der Schwerpunkt der Einwendungen betrifft den Regi</w:t>
      </w:r>
      <w:r>
        <w:t>e</w:t>
      </w:r>
      <w:r>
        <w:t xml:space="preserve">rungsbezirk Oberbayern (rund 6.000 Einzeleinwendungen von ca. 1.500 </w:t>
      </w:r>
      <w:r w:rsidR="000317E7">
        <w:t xml:space="preserve">Einwenderinnen und </w:t>
      </w:r>
      <w:r>
        <w:t>Ei</w:t>
      </w:r>
      <w:r>
        <w:t>n</w:t>
      </w:r>
      <w:r>
        <w:t>wendern). Nach Prüfung und Bewertung aller Einwände konnten in 1.700 Fällen Einwendungen ganz oder teilweise entsprochen werden. Eine Aufschlüsselung der Einwendungen nach Regi</w:t>
      </w:r>
      <w:r>
        <w:t>e</w:t>
      </w:r>
      <w:r>
        <w:t>rungsbezirken kann aufgrund des hohen Rechercheaufwands in der Beantwortungsfrist nicht e</w:t>
      </w:r>
      <w:r>
        <w:t>r</w:t>
      </w:r>
      <w:r>
        <w:t>stellt werden.</w:t>
      </w:r>
    </w:p>
    <w:p w:rsidR="00E330FE" w:rsidRDefault="00E330FE" w:rsidP="00E330FE">
      <w:pPr>
        <w:pStyle w:val="LTAntwortRessortText"/>
      </w:pPr>
      <w:r>
        <w:t>Bis jetzt ist dem Staatsministerium für Umwelt und Verbraucherschutz keine Klage gegen die Bay</w:t>
      </w:r>
      <w:r>
        <w:t>e</w:t>
      </w:r>
      <w:r>
        <w:t>rische Natura 2000-Verordnung bekannt.</w:t>
      </w:r>
    </w:p>
    <w:p w:rsidR="00E330FE" w:rsidRDefault="00554589" w:rsidP="00E330FE">
      <w:pPr>
        <w:pStyle w:val="LTAntwortRessortText"/>
      </w:pPr>
      <w:r>
        <w:t>Mit der B</w:t>
      </w:r>
      <w:r w:rsidR="00E330FE">
        <w:t>ayerischen Natura 2000-Verordnung wurden die N</w:t>
      </w:r>
      <w:r>
        <w:t>atura 2000-Gebiete im Maßstab 1 </w:t>
      </w:r>
      <w:r w:rsidR="00E330FE">
        <w:t>:</w:t>
      </w:r>
      <w:r>
        <w:t> </w:t>
      </w:r>
      <w:r w:rsidR="00E330FE">
        <w:t>5.000 abgegrenzt. Im Rahmen der Übertragung des Meldemaßstab</w:t>
      </w:r>
      <w:r>
        <w:t>s auf den Maßstab 1 : </w:t>
      </w:r>
      <w:r w:rsidR="00E330FE">
        <w:t>5.000 konnte es zu eng begrenzten Flächenveränderungen kommen, da nahe gelegene Flur- oder Nu</w:t>
      </w:r>
      <w:r w:rsidR="00E330FE">
        <w:t>t</w:t>
      </w:r>
      <w:r w:rsidR="00E330FE">
        <w:t>zungsgrenzen aufgegriffen wurden. Der sehr enge Spielraum hierbei wurde soweit wie möglich z</w:t>
      </w:r>
      <w:r w:rsidR="00E330FE">
        <w:t>u</w:t>
      </w:r>
      <w:r w:rsidR="00E330FE">
        <w:t>gunsten der landwirtschaftlichen Flächeneigentümer ausgelegt. Demgegenüber konnten Flächen der staatlichen Wasserwirtschaftsverwaltung, der Staatsforsten und einzelne Flächen Dritter zur Gebietsarrondierung herangezogen werden. Die Flächenbilanz ist damit weitestgehend ausgegl</w:t>
      </w:r>
      <w:r w:rsidR="00E330FE">
        <w:t>i</w:t>
      </w:r>
      <w:r w:rsidR="00E330FE">
        <w:t>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Thomas</w:t>
            </w:r>
            <w:r w:rsidRPr="00E330FE">
              <w:rPr>
                <w:b/>
              </w:rPr>
              <w:br/>
              <w:t>Mütze</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50" w:name="_Toc477421177"/>
            <w:r>
              <w:instrText>Mütze, Thomas (BÜNDNIS 90/DIE GRÜNEN)</w:instrText>
            </w:r>
            <w:r>
              <w:br/>
              <w:instrText>Nitrat- und Pflanzenschutzmittelwerte im Wasser</w:instrText>
            </w:r>
            <w:bookmarkEnd w:id="50"/>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bei welchen Messstellen der Wasserrahme</w:t>
            </w:r>
            <w:r>
              <w:t>n</w:t>
            </w:r>
            <w:r>
              <w:t>richtlinie lagen in den letzten drei Jahren die Wasseranalysen in den Landkre</w:t>
            </w:r>
            <w:r>
              <w:t>i</w:t>
            </w:r>
            <w:r>
              <w:t>sen Würzburg und Main-Spessart beim Nitratwert über 25 mg/l bzw. über 40 mg/l, an welchen Messstellen der Wasserrahmenrichtlinie wurden in den let</w:t>
            </w:r>
            <w:r>
              <w:t>z</w:t>
            </w:r>
            <w:r>
              <w:t>ten drei Jahren in den Landkreisen</w:t>
            </w:r>
            <w:r w:rsidR="00793F8E">
              <w:t xml:space="preserve"> </w:t>
            </w:r>
            <w:r>
              <w:t>Würzburg und Main-Spessart Pflanze</w:t>
            </w:r>
            <w:r>
              <w:t>n</w:t>
            </w:r>
            <w:r>
              <w:t>schutzmittel (PSM)-Werte über 0,1µ/l festgestellt (bitte genauen Wert ang</w:t>
            </w:r>
            <w:r>
              <w:t>e</w:t>
            </w:r>
            <w:r>
              <w:t>ben) und um welche Pflanzenschutzmittel handelte es sich jeweils?</w:t>
            </w:r>
          </w:p>
          <w:p w:rsidR="00E330FE" w:rsidRDefault="00E330FE" w:rsidP="00E330FE">
            <w:pPr>
              <w:pStyle w:val="LTAnfrageText"/>
            </w:pPr>
          </w:p>
        </w:tc>
      </w:tr>
    </w:tbl>
    <w:p w:rsidR="00E330FE" w:rsidRDefault="00E330FE" w:rsidP="00B65B07">
      <w:pPr>
        <w:pStyle w:val="LTUeberschrAntwortRessort"/>
        <w:spacing w:before="840"/>
      </w:pPr>
      <w:r>
        <w:t>Antwort des Staatsministeriums für Umwelt und Verbraucherschutz</w:t>
      </w:r>
    </w:p>
    <w:p w:rsidR="00E330FE" w:rsidRDefault="00E330FE" w:rsidP="00E330FE">
      <w:pPr>
        <w:pStyle w:val="LTAntwortRessortText"/>
      </w:pPr>
      <w:r>
        <w:t xml:space="preserve">Bei der Beantwortung </w:t>
      </w:r>
      <w:r w:rsidR="00554589">
        <w:t xml:space="preserve">der Anfrage zum Plenum </w:t>
      </w:r>
      <w:r>
        <w:t>wird zwischen Grundwasser- und Oberflächeng</w:t>
      </w:r>
      <w:r>
        <w:t>e</w:t>
      </w:r>
      <w:r>
        <w:t>wässermessstellen unterschieden:</w:t>
      </w:r>
    </w:p>
    <w:p w:rsidR="00E330FE" w:rsidRPr="00554589" w:rsidRDefault="00E330FE" w:rsidP="00E330FE">
      <w:pPr>
        <w:pStyle w:val="LTAntwortRessortText"/>
        <w:rPr>
          <w:u w:val="single"/>
        </w:rPr>
      </w:pPr>
      <w:r w:rsidRPr="00554589">
        <w:rPr>
          <w:u w:val="single"/>
        </w:rPr>
        <w:t>Grundwasser:</w:t>
      </w:r>
    </w:p>
    <w:p w:rsidR="00E330FE" w:rsidRDefault="00E330FE" w:rsidP="00554589">
      <w:pPr>
        <w:pStyle w:val="LTAntwortRessortText"/>
        <w:spacing w:before="120"/>
      </w:pPr>
      <w:r>
        <w:t>In den Landkreisen Main-Spessart und Würzburg wurden im Zeitraum 2014 bis 2016 an 17 von 26</w:t>
      </w:r>
      <w:r w:rsidR="00554589">
        <w:t> </w:t>
      </w:r>
      <w:r>
        <w:t xml:space="preserve">Messstellen des Messnetzes zur EG-Wasserrahmenrichtlinie </w:t>
      </w:r>
      <w:r w:rsidR="000317E7">
        <w:t xml:space="preserve">(EG-WRRL) </w:t>
      </w:r>
      <w:r>
        <w:t xml:space="preserve">größer 25 mg/l Nitrat gemessen, an 12 Messstellen eine Nitratkonzentration von größer 40 mg/l. </w:t>
      </w:r>
    </w:p>
    <w:p w:rsidR="00E330FE" w:rsidRDefault="00E330FE" w:rsidP="00E330FE">
      <w:pPr>
        <w:pStyle w:val="LTAntwortRessortText"/>
      </w:pPr>
      <w:r>
        <w:t>Für Pflanzenschutzmittelwirkstoffe und relevante Metaboliten wurden in den letzten drei Jahren (2014 bis 2016) an den Messstellen des WRRL-Messnetzes keine Konzentrationen größer 0,1 µg/l im Grundwasser festgestellt.</w:t>
      </w:r>
    </w:p>
    <w:p w:rsidR="00B65B07" w:rsidRDefault="00B65B07">
      <w:r>
        <w:br w:type="page"/>
      </w:r>
    </w:p>
    <w:p w:rsidR="00E330FE" w:rsidRDefault="00E330FE" w:rsidP="00554589">
      <w:pPr>
        <w:pStyle w:val="LTAntwortRessortText"/>
        <w:spacing w:before="0"/>
      </w:pPr>
    </w:p>
    <w:tbl>
      <w:tblPr>
        <w:tblStyle w:val="Tabellenraster1"/>
        <w:tblW w:w="9039" w:type="dxa"/>
        <w:tblInd w:w="534" w:type="dxa"/>
        <w:tblLook w:val="04A0" w:firstRow="1" w:lastRow="0" w:firstColumn="1" w:lastColumn="0" w:noHBand="0" w:noVBand="1"/>
      </w:tblPr>
      <w:tblGrid>
        <w:gridCol w:w="1842"/>
        <w:gridCol w:w="2821"/>
        <w:gridCol w:w="1809"/>
        <w:gridCol w:w="1291"/>
        <w:gridCol w:w="1276"/>
      </w:tblGrid>
      <w:tr w:rsidR="00554589" w:rsidRPr="00554589" w:rsidTr="000317E7">
        <w:tc>
          <w:tcPr>
            <w:tcW w:w="1842" w:type="dxa"/>
            <w:vMerge w:val="restart"/>
            <w:shd w:val="clear" w:color="auto" w:fill="D9D9D9" w:themeFill="background1" w:themeFillShade="D9"/>
            <w:vAlign w:val="center"/>
          </w:tcPr>
          <w:p w:rsidR="00554589" w:rsidRPr="00554589" w:rsidRDefault="00554589" w:rsidP="000317E7">
            <w:pPr>
              <w:spacing w:line="360" w:lineRule="auto"/>
              <w:rPr>
                <w:rFonts w:cs="Arial"/>
                <w:b/>
                <w:sz w:val="16"/>
                <w:szCs w:val="16"/>
              </w:rPr>
            </w:pPr>
            <w:r w:rsidRPr="00554589">
              <w:rPr>
                <w:rFonts w:cs="Arial"/>
                <w:b/>
                <w:sz w:val="16"/>
                <w:szCs w:val="16"/>
              </w:rPr>
              <w:t>Objektkennzahl</w:t>
            </w:r>
          </w:p>
        </w:tc>
        <w:tc>
          <w:tcPr>
            <w:tcW w:w="2821" w:type="dxa"/>
            <w:vMerge w:val="restart"/>
            <w:shd w:val="clear" w:color="auto" w:fill="D9D9D9" w:themeFill="background1" w:themeFillShade="D9"/>
            <w:vAlign w:val="center"/>
          </w:tcPr>
          <w:p w:rsidR="00554589" w:rsidRPr="00554589" w:rsidRDefault="00554589" w:rsidP="000317E7">
            <w:pPr>
              <w:spacing w:line="360" w:lineRule="auto"/>
              <w:rPr>
                <w:rFonts w:cs="Arial"/>
                <w:b/>
                <w:sz w:val="16"/>
                <w:szCs w:val="16"/>
              </w:rPr>
            </w:pPr>
            <w:r w:rsidRPr="00554589">
              <w:rPr>
                <w:rFonts w:cs="Arial"/>
                <w:b/>
                <w:sz w:val="16"/>
                <w:szCs w:val="16"/>
              </w:rPr>
              <w:t>Name der Messstelle</w:t>
            </w:r>
          </w:p>
        </w:tc>
        <w:tc>
          <w:tcPr>
            <w:tcW w:w="1809" w:type="dxa"/>
            <w:vMerge w:val="restart"/>
            <w:shd w:val="clear" w:color="auto" w:fill="D9D9D9" w:themeFill="background1" w:themeFillShade="D9"/>
            <w:vAlign w:val="center"/>
          </w:tcPr>
          <w:p w:rsidR="00554589" w:rsidRPr="00554589" w:rsidRDefault="00554589" w:rsidP="000317E7">
            <w:pPr>
              <w:spacing w:line="360" w:lineRule="auto"/>
              <w:rPr>
                <w:rFonts w:cs="Arial"/>
                <w:b/>
                <w:sz w:val="16"/>
                <w:szCs w:val="16"/>
              </w:rPr>
            </w:pPr>
            <w:r w:rsidRPr="00554589">
              <w:rPr>
                <w:rFonts w:cs="Arial"/>
                <w:b/>
                <w:sz w:val="16"/>
                <w:szCs w:val="16"/>
              </w:rPr>
              <w:t>Landkreis</w:t>
            </w:r>
          </w:p>
        </w:tc>
        <w:tc>
          <w:tcPr>
            <w:tcW w:w="2567" w:type="dxa"/>
            <w:gridSpan w:val="2"/>
            <w:shd w:val="clear" w:color="auto" w:fill="D9D9D9" w:themeFill="background1" w:themeFillShade="D9"/>
          </w:tcPr>
          <w:p w:rsidR="00554589" w:rsidRPr="00554589" w:rsidRDefault="00554589" w:rsidP="000317E7">
            <w:pPr>
              <w:spacing w:line="360" w:lineRule="auto"/>
              <w:rPr>
                <w:rFonts w:cs="Arial"/>
                <w:b/>
                <w:sz w:val="16"/>
                <w:szCs w:val="16"/>
              </w:rPr>
            </w:pPr>
            <w:r w:rsidRPr="00554589">
              <w:rPr>
                <w:rFonts w:cs="Arial"/>
                <w:b/>
                <w:sz w:val="16"/>
                <w:szCs w:val="16"/>
              </w:rPr>
              <w:t>Nitrat: maximaler Messwert im Zeitraum 2014 bis 2016</w:t>
            </w:r>
          </w:p>
        </w:tc>
      </w:tr>
      <w:tr w:rsidR="00554589" w:rsidRPr="00554589" w:rsidTr="000317E7">
        <w:trPr>
          <w:trHeight w:val="300"/>
        </w:trPr>
        <w:tc>
          <w:tcPr>
            <w:tcW w:w="1842" w:type="dxa"/>
            <w:vMerge/>
            <w:shd w:val="clear" w:color="auto" w:fill="D9D9D9" w:themeFill="background1" w:themeFillShade="D9"/>
            <w:noWrap/>
            <w:vAlign w:val="center"/>
          </w:tcPr>
          <w:p w:rsidR="00554589" w:rsidRPr="00554589" w:rsidRDefault="00554589" w:rsidP="000317E7">
            <w:pPr>
              <w:spacing w:line="360" w:lineRule="auto"/>
              <w:rPr>
                <w:rFonts w:cs="Arial"/>
                <w:sz w:val="16"/>
                <w:szCs w:val="16"/>
              </w:rPr>
            </w:pPr>
          </w:p>
        </w:tc>
        <w:tc>
          <w:tcPr>
            <w:tcW w:w="2821" w:type="dxa"/>
            <w:vMerge/>
            <w:shd w:val="clear" w:color="auto" w:fill="D9D9D9" w:themeFill="background1" w:themeFillShade="D9"/>
            <w:noWrap/>
            <w:vAlign w:val="center"/>
          </w:tcPr>
          <w:p w:rsidR="00554589" w:rsidRPr="00554589" w:rsidRDefault="00554589" w:rsidP="000317E7">
            <w:pPr>
              <w:spacing w:line="360" w:lineRule="auto"/>
              <w:rPr>
                <w:rFonts w:cs="Arial"/>
                <w:sz w:val="16"/>
                <w:szCs w:val="16"/>
              </w:rPr>
            </w:pPr>
          </w:p>
        </w:tc>
        <w:tc>
          <w:tcPr>
            <w:tcW w:w="1809" w:type="dxa"/>
            <w:vMerge/>
            <w:shd w:val="clear" w:color="auto" w:fill="D9D9D9" w:themeFill="background1" w:themeFillShade="D9"/>
            <w:noWrap/>
            <w:vAlign w:val="center"/>
          </w:tcPr>
          <w:p w:rsidR="00554589" w:rsidRPr="00554589" w:rsidRDefault="00554589" w:rsidP="000317E7">
            <w:pPr>
              <w:spacing w:line="360" w:lineRule="auto"/>
              <w:rPr>
                <w:rFonts w:cs="Arial"/>
                <w:sz w:val="16"/>
                <w:szCs w:val="16"/>
              </w:rPr>
            </w:pPr>
          </w:p>
        </w:tc>
        <w:tc>
          <w:tcPr>
            <w:tcW w:w="1291" w:type="dxa"/>
            <w:shd w:val="clear" w:color="auto" w:fill="D9D9D9" w:themeFill="background1" w:themeFillShade="D9"/>
          </w:tcPr>
          <w:p w:rsidR="00554589" w:rsidRPr="00554589" w:rsidRDefault="00554589" w:rsidP="000317E7">
            <w:pPr>
              <w:spacing w:line="360" w:lineRule="auto"/>
              <w:rPr>
                <w:rFonts w:cs="Arial"/>
                <w:b/>
                <w:sz w:val="16"/>
                <w:szCs w:val="16"/>
              </w:rPr>
            </w:pPr>
            <w:r w:rsidRPr="00554589">
              <w:rPr>
                <w:rFonts w:cs="Arial"/>
                <w:b/>
                <w:sz w:val="16"/>
                <w:szCs w:val="16"/>
              </w:rPr>
              <w:t>&gt; 25 mg/l</w:t>
            </w:r>
          </w:p>
        </w:tc>
        <w:tc>
          <w:tcPr>
            <w:tcW w:w="1276" w:type="dxa"/>
            <w:shd w:val="clear" w:color="auto" w:fill="D9D9D9" w:themeFill="background1" w:themeFillShade="D9"/>
            <w:noWrap/>
            <w:vAlign w:val="center"/>
          </w:tcPr>
          <w:p w:rsidR="00554589" w:rsidRPr="00554589" w:rsidRDefault="00554589" w:rsidP="000317E7">
            <w:pPr>
              <w:spacing w:line="360" w:lineRule="auto"/>
              <w:rPr>
                <w:rFonts w:cs="Arial"/>
                <w:b/>
                <w:sz w:val="16"/>
                <w:szCs w:val="16"/>
              </w:rPr>
            </w:pPr>
            <w:r w:rsidRPr="00554589">
              <w:rPr>
                <w:rFonts w:cs="Arial"/>
                <w:b/>
                <w:sz w:val="16"/>
                <w:szCs w:val="16"/>
              </w:rPr>
              <w:t>&gt; 40 mg/l</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4110592400004</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Brückleinsbrunnen Seifriedsburg</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4110592400009</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Tiefbrunnen in Höllrich</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4110592500001</w:t>
            </w:r>
          </w:p>
        </w:tc>
        <w:tc>
          <w:tcPr>
            <w:tcW w:w="2821" w:type="dxa"/>
            <w:noWrap/>
            <w:vAlign w:val="center"/>
            <w:hideMark/>
          </w:tcPr>
          <w:p w:rsidR="00554589" w:rsidRPr="00554589" w:rsidRDefault="00554589" w:rsidP="000317E7">
            <w:pPr>
              <w:rPr>
                <w:rFonts w:cs="Arial"/>
                <w:sz w:val="16"/>
                <w:szCs w:val="16"/>
              </w:rPr>
            </w:pPr>
            <w:r w:rsidRPr="00554589">
              <w:rPr>
                <w:rFonts w:cs="Arial"/>
                <w:sz w:val="16"/>
                <w:szCs w:val="16"/>
              </w:rPr>
              <w:t>Eu</w:t>
            </w:r>
            <w:r w:rsidR="000317E7">
              <w:rPr>
                <w:rFonts w:cs="Arial"/>
                <w:sz w:val="16"/>
                <w:szCs w:val="16"/>
              </w:rPr>
              <w:t>ßenheim-Aschfeld Notbrunnen Wasserschutzgebiet</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4110602400049</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Brunnen II Urspringen</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4110602500038</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Brunnen 2 Werntal</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4110602600053</w:t>
            </w:r>
          </w:p>
        </w:tc>
        <w:tc>
          <w:tcPr>
            <w:tcW w:w="2821" w:type="dxa"/>
            <w:noWrap/>
            <w:vAlign w:val="center"/>
            <w:hideMark/>
          </w:tcPr>
          <w:p w:rsidR="00554589" w:rsidRPr="00554589" w:rsidRDefault="00554589" w:rsidP="000317E7">
            <w:pPr>
              <w:rPr>
                <w:rFonts w:cs="Arial"/>
                <w:sz w:val="16"/>
                <w:szCs w:val="16"/>
              </w:rPr>
            </w:pPr>
            <w:r w:rsidRPr="00554589">
              <w:rPr>
                <w:rFonts w:cs="Arial"/>
                <w:sz w:val="16"/>
                <w:szCs w:val="16"/>
              </w:rPr>
              <w:t>Bergtheim, Häberleinswiesenbru</w:t>
            </w:r>
            <w:r w:rsidRPr="00554589">
              <w:rPr>
                <w:rFonts w:cs="Arial"/>
                <w:sz w:val="16"/>
                <w:szCs w:val="16"/>
              </w:rPr>
              <w:t>n</w:t>
            </w:r>
            <w:r w:rsidRPr="00554589">
              <w:rPr>
                <w:rFonts w:cs="Arial"/>
                <w:sz w:val="16"/>
                <w:szCs w:val="16"/>
              </w:rPr>
              <w:t>nen, Brunnen 3</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Würzburg</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4110612400001</w:t>
            </w:r>
          </w:p>
        </w:tc>
        <w:tc>
          <w:tcPr>
            <w:tcW w:w="2821" w:type="dxa"/>
            <w:noWrap/>
            <w:vAlign w:val="center"/>
            <w:hideMark/>
          </w:tcPr>
          <w:p w:rsidR="00554589" w:rsidRPr="00554589" w:rsidRDefault="00554589" w:rsidP="000317E7">
            <w:pPr>
              <w:rPr>
                <w:rFonts w:cs="Arial"/>
                <w:sz w:val="16"/>
                <w:szCs w:val="16"/>
              </w:rPr>
            </w:pPr>
            <w:r w:rsidRPr="00554589">
              <w:rPr>
                <w:rFonts w:cs="Arial"/>
                <w:sz w:val="16"/>
                <w:szCs w:val="16"/>
              </w:rPr>
              <w:t>Brunnen im Katzensteingrund Bi</w:t>
            </w:r>
            <w:r w:rsidRPr="00554589">
              <w:rPr>
                <w:rFonts w:cs="Arial"/>
                <w:sz w:val="16"/>
                <w:szCs w:val="16"/>
              </w:rPr>
              <w:t>r</w:t>
            </w:r>
            <w:r w:rsidRPr="00554589">
              <w:rPr>
                <w:rFonts w:cs="Arial"/>
                <w:sz w:val="16"/>
                <w:szCs w:val="16"/>
              </w:rPr>
              <w:t>kenfeld</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4110612400005</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Brunnen 2 Zellingen</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4110612500004</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Bohrbrunnen III Rimpar</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Würzburg</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4110622600001</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Brunnen Eibelstadt</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Würzburg</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4120602500012</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Mehlbrunnenquelle Arnstein</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4120602600009</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Ochsenwasenquelle Arnstein</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4120602600010</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Sauerbrunnen Hausen</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Würzburg</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4120612500012</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Schulhaus-Stollen Zell</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Würzburg</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4120622300012</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Bugquelle Homburg</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Main-Spessart</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4120632500007</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Dreibrunnen - Quelle Giebelstadt</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Würzburg</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r w:rsidR="00554589" w:rsidRPr="00554589" w:rsidTr="000317E7">
        <w:trPr>
          <w:trHeight w:val="300"/>
        </w:trPr>
        <w:tc>
          <w:tcPr>
            <w:tcW w:w="1842"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4120632500008</w:t>
            </w:r>
          </w:p>
        </w:tc>
        <w:tc>
          <w:tcPr>
            <w:tcW w:w="2821"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Ochsenrainquelle Darstadt</w:t>
            </w:r>
          </w:p>
        </w:tc>
        <w:tc>
          <w:tcPr>
            <w:tcW w:w="1809" w:type="dxa"/>
            <w:noWrap/>
            <w:vAlign w:val="center"/>
            <w:hideMark/>
          </w:tcPr>
          <w:p w:rsidR="00554589" w:rsidRPr="00554589" w:rsidRDefault="00554589" w:rsidP="000317E7">
            <w:pPr>
              <w:spacing w:line="360" w:lineRule="auto"/>
              <w:rPr>
                <w:rFonts w:cs="Arial"/>
                <w:sz w:val="16"/>
                <w:szCs w:val="16"/>
              </w:rPr>
            </w:pPr>
            <w:r w:rsidRPr="00554589">
              <w:rPr>
                <w:rFonts w:cs="Arial"/>
                <w:sz w:val="16"/>
                <w:szCs w:val="16"/>
              </w:rPr>
              <w:t>Würzburg</w:t>
            </w:r>
          </w:p>
        </w:tc>
        <w:tc>
          <w:tcPr>
            <w:tcW w:w="1291"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c>
          <w:tcPr>
            <w:tcW w:w="1276" w:type="dxa"/>
            <w:noWrap/>
            <w:vAlign w:val="center"/>
            <w:hideMark/>
          </w:tcPr>
          <w:p w:rsidR="00554589" w:rsidRPr="00554589" w:rsidRDefault="00554589" w:rsidP="000317E7">
            <w:pPr>
              <w:spacing w:line="360" w:lineRule="auto"/>
              <w:jc w:val="center"/>
              <w:rPr>
                <w:rFonts w:cs="Arial"/>
                <w:sz w:val="16"/>
                <w:szCs w:val="16"/>
              </w:rPr>
            </w:pPr>
            <w:r w:rsidRPr="00554589">
              <w:rPr>
                <w:rFonts w:cs="Arial"/>
                <w:sz w:val="16"/>
                <w:szCs w:val="16"/>
              </w:rPr>
              <w:t>X</w:t>
            </w:r>
          </w:p>
        </w:tc>
      </w:tr>
    </w:tbl>
    <w:p w:rsidR="000317E7" w:rsidRPr="000317E7" w:rsidRDefault="000317E7" w:rsidP="000317E7">
      <w:pPr>
        <w:pStyle w:val="LTAntwortRessortText"/>
        <w:rPr>
          <w:u w:val="single"/>
        </w:rPr>
      </w:pPr>
      <w:r w:rsidRPr="000317E7">
        <w:rPr>
          <w:u w:val="single"/>
        </w:rPr>
        <w:t>Oberflächengewässer:</w:t>
      </w:r>
    </w:p>
    <w:p w:rsidR="00E330FE" w:rsidRDefault="00E330FE" w:rsidP="00E67C27">
      <w:pPr>
        <w:pStyle w:val="LTAntwortRessortText"/>
        <w:spacing w:before="120"/>
      </w:pPr>
      <w:r>
        <w:t>In den Landkreisen Main-Spessart und Würzburg wurde im Zeitraum von 2014 bis 2016 an insg</w:t>
      </w:r>
      <w:r>
        <w:t>e</w:t>
      </w:r>
      <w:r>
        <w:t xml:space="preserve">samt 13 Wasserrahmenrichtlinien-Messstellen ein Nitrat Wert größer 25 mg/l und an </w:t>
      </w:r>
      <w:r w:rsidR="00E67C27">
        <w:t>sechs</w:t>
      </w:r>
      <w:r>
        <w:t xml:space="preserve"> Wasse</w:t>
      </w:r>
      <w:r>
        <w:t>r</w:t>
      </w:r>
      <w:r>
        <w:t>rahmenrichtlinien-Messstellen ein Nitrat Wert größer 40 mg/l gemessen. An keiner Messstelle wird die Jahresdurchschnitts-Umweltqualitätsnorm nach Oberflächengewässerverordnung für Nitrat von 50 mg/l überschritten.</w:t>
      </w:r>
    </w:p>
    <w:p w:rsidR="00E330FE" w:rsidRDefault="00E330FE" w:rsidP="00E330FE">
      <w:pPr>
        <w:pStyle w:val="LTAntwortRessortText"/>
      </w:pPr>
      <w:r>
        <w:t>Im Zeitraum von 2014 bis 2016 fanden in den Landkreisen Main-Spessart und Würzburg Unters</w:t>
      </w:r>
      <w:r>
        <w:t>u</w:t>
      </w:r>
      <w:r>
        <w:t xml:space="preserve">chungen an drei Messstellen auf ca. 175 Pflanzenschutzmittel statt. Davon wurden </w:t>
      </w:r>
      <w:r w:rsidR="00E67C27">
        <w:t>neun</w:t>
      </w:r>
      <w:r>
        <w:t xml:space="preserve"> Substa</w:t>
      </w:r>
      <w:r>
        <w:t>n</w:t>
      </w:r>
      <w:r>
        <w:t>zen an den drei Messstellen (Fränkische Saale Pegel Gemünden Nr. 20256, Wern Pegel Sachse</w:t>
      </w:r>
      <w:r>
        <w:t>n</w:t>
      </w:r>
      <w:r w:rsidR="00E67C27">
        <w:t xml:space="preserve">heim Lkr. </w:t>
      </w:r>
      <w:r>
        <w:t xml:space="preserve">Main-Spessart, Main MS Erlabrunn, Lkr. Würzburg) in Konzentrationen größer 0,1 µg/l nachgewiesen. </w:t>
      </w:r>
    </w:p>
    <w:p w:rsidR="00E330FE" w:rsidRDefault="00E330FE" w:rsidP="00E330FE">
      <w:pPr>
        <w:pStyle w:val="LTAntwortRessortText"/>
      </w:pPr>
    </w:p>
    <w:tbl>
      <w:tblPr>
        <w:tblStyle w:val="Tabellenraster2"/>
        <w:tblW w:w="8646" w:type="dxa"/>
        <w:tblInd w:w="534" w:type="dxa"/>
        <w:tblLook w:val="04A0" w:firstRow="1" w:lastRow="0" w:firstColumn="1" w:lastColumn="0" w:noHBand="0" w:noVBand="1"/>
      </w:tblPr>
      <w:tblGrid>
        <w:gridCol w:w="2601"/>
        <w:gridCol w:w="3069"/>
        <w:gridCol w:w="1417"/>
        <w:gridCol w:w="1559"/>
      </w:tblGrid>
      <w:tr w:rsidR="00E67C27" w:rsidRPr="00E67C27" w:rsidTr="00E67C27">
        <w:trPr>
          <w:trHeight w:val="375"/>
        </w:trPr>
        <w:tc>
          <w:tcPr>
            <w:tcW w:w="8646" w:type="dxa"/>
            <w:gridSpan w:val="4"/>
            <w:noWrap/>
            <w:hideMark/>
          </w:tcPr>
          <w:p w:rsidR="00E67C27" w:rsidRPr="00E67C27" w:rsidRDefault="00E67C27" w:rsidP="000317E7">
            <w:pPr>
              <w:spacing w:line="360" w:lineRule="auto"/>
              <w:rPr>
                <w:rFonts w:cs="Arial"/>
                <w:b/>
                <w:bCs/>
                <w:sz w:val="16"/>
                <w:szCs w:val="16"/>
              </w:rPr>
            </w:pPr>
            <w:r w:rsidRPr="00E67C27">
              <w:rPr>
                <w:rFonts w:cs="Arial"/>
                <w:b/>
                <w:bCs/>
                <w:sz w:val="16"/>
                <w:szCs w:val="16"/>
              </w:rPr>
              <w:t>PSM Messwerte größer 0,1 µg/l (La</w:t>
            </w:r>
            <w:r w:rsidR="000317E7">
              <w:rPr>
                <w:rFonts w:cs="Arial"/>
                <w:b/>
                <w:bCs/>
                <w:sz w:val="16"/>
                <w:szCs w:val="16"/>
              </w:rPr>
              <w:t xml:space="preserve">ndkreis Main-Spessart/Würzburg </w:t>
            </w:r>
            <w:r>
              <w:rPr>
                <w:rFonts w:cs="Arial"/>
                <w:b/>
                <w:bCs/>
                <w:sz w:val="16"/>
                <w:szCs w:val="16"/>
              </w:rPr>
              <w:t xml:space="preserve">– </w:t>
            </w:r>
            <w:r w:rsidRPr="00E67C27">
              <w:rPr>
                <w:rFonts w:cs="Arial"/>
                <w:b/>
                <w:bCs/>
                <w:sz w:val="16"/>
                <w:szCs w:val="16"/>
              </w:rPr>
              <w:t>Zeit</w:t>
            </w:r>
            <w:r>
              <w:rPr>
                <w:rFonts w:cs="Arial"/>
                <w:b/>
                <w:bCs/>
                <w:sz w:val="16"/>
                <w:szCs w:val="16"/>
              </w:rPr>
              <w:t xml:space="preserve">raum 2014 bis </w:t>
            </w:r>
            <w:r w:rsidRPr="00E67C27">
              <w:rPr>
                <w:rFonts w:cs="Arial"/>
                <w:b/>
                <w:bCs/>
                <w:sz w:val="16"/>
                <w:szCs w:val="16"/>
              </w:rPr>
              <w:t>2016)</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p>
        </w:tc>
        <w:tc>
          <w:tcPr>
            <w:tcW w:w="3069" w:type="dxa"/>
            <w:noWrap/>
            <w:hideMark/>
          </w:tcPr>
          <w:p w:rsidR="00E67C27" w:rsidRPr="00E67C27" w:rsidRDefault="00E67C27" w:rsidP="00E67C27">
            <w:pPr>
              <w:spacing w:line="360" w:lineRule="auto"/>
              <w:rPr>
                <w:rFonts w:cs="Arial"/>
                <w:sz w:val="16"/>
                <w:szCs w:val="16"/>
              </w:rPr>
            </w:pPr>
          </w:p>
        </w:tc>
        <w:tc>
          <w:tcPr>
            <w:tcW w:w="1417" w:type="dxa"/>
            <w:noWrap/>
            <w:hideMark/>
          </w:tcPr>
          <w:p w:rsidR="00E67C27" w:rsidRPr="00E67C27" w:rsidRDefault="00E67C27" w:rsidP="00E67C27">
            <w:pPr>
              <w:spacing w:line="360" w:lineRule="auto"/>
              <w:rPr>
                <w:rFonts w:cs="Arial"/>
                <w:sz w:val="16"/>
                <w:szCs w:val="16"/>
              </w:rPr>
            </w:pPr>
          </w:p>
        </w:tc>
        <w:tc>
          <w:tcPr>
            <w:tcW w:w="1559" w:type="dxa"/>
            <w:noWrap/>
            <w:hideMark/>
          </w:tcPr>
          <w:p w:rsidR="00E67C27" w:rsidRPr="00E67C27" w:rsidRDefault="00E67C27" w:rsidP="00E67C27">
            <w:pPr>
              <w:spacing w:line="360" w:lineRule="auto"/>
              <w:rPr>
                <w:rFonts w:cs="Arial"/>
                <w:sz w:val="16"/>
                <w:szCs w:val="16"/>
              </w:rPr>
            </w:pP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b/>
                <w:bCs/>
                <w:sz w:val="16"/>
                <w:szCs w:val="16"/>
              </w:rPr>
            </w:pPr>
            <w:r w:rsidRPr="00E67C27">
              <w:rPr>
                <w:rFonts w:cs="Arial"/>
                <w:b/>
                <w:bCs/>
                <w:sz w:val="16"/>
                <w:szCs w:val="16"/>
              </w:rPr>
              <w:t>Mst.-Nr</w:t>
            </w:r>
          </w:p>
        </w:tc>
        <w:tc>
          <w:tcPr>
            <w:tcW w:w="3069" w:type="dxa"/>
            <w:noWrap/>
            <w:hideMark/>
          </w:tcPr>
          <w:p w:rsidR="00E67C27" w:rsidRPr="00E67C27" w:rsidRDefault="00E67C27" w:rsidP="00E67C27">
            <w:pPr>
              <w:spacing w:line="360" w:lineRule="auto"/>
              <w:rPr>
                <w:rFonts w:cs="Arial"/>
                <w:b/>
                <w:bCs/>
                <w:sz w:val="16"/>
                <w:szCs w:val="16"/>
              </w:rPr>
            </w:pPr>
            <w:r w:rsidRPr="00E67C27">
              <w:rPr>
                <w:rFonts w:cs="Arial"/>
                <w:b/>
                <w:bCs/>
                <w:sz w:val="16"/>
                <w:szCs w:val="16"/>
              </w:rPr>
              <w:t>Messgröße</w:t>
            </w:r>
          </w:p>
        </w:tc>
        <w:tc>
          <w:tcPr>
            <w:tcW w:w="1417" w:type="dxa"/>
            <w:noWrap/>
            <w:vAlign w:val="center"/>
            <w:hideMark/>
          </w:tcPr>
          <w:p w:rsidR="00E67C27" w:rsidRPr="00E67C27" w:rsidRDefault="00E67C27" w:rsidP="00E67C27">
            <w:pPr>
              <w:spacing w:line="360" w:lineRule="auto"/>
              <w:jc w:val="center"/>
              <w:rPr>
                <w:rFonts w:cs="Arial"/>
                <w:b/>
                <w:bCs/>
                <w:sz w:val="16"/>
                <w:szCs w:val="16"/>
              </w:rPr>
            </w:pPr>
            <w:r w:rsidRPr="00E67C27">
              <w:rPr>
                <w:rFonts w:cs="Arial"/>
                <w:b/>
                <w:bCs/>
                <w:sz w:val="16"/>
                <w:szCs w:val="16"/>
              </w:rPr>
              <w:t>Messwert</w:t>
            </w:r>
          </w:p>
        </w:tc>
        <w:tc>
          <w:tcPr>
            <w:tcW w:w="1559" w:type="dxa"/>
            <w:noWrap/>
            <w:vAlign w:val="center"/>
            <w:hideMark/>
          </w:tcPr>
          <w:p w:rsidR="00E67C27" w:rsidRPr="00E67C27" w:rsidRDefault="00E67C27" w:rsidP="00E67C27">
            <w:pPr>
              <w:spacing w:line="360" w:lineRule="auto"/>
              <w:jc w:val="center"/>
              <w:rPr>
                <w:rFonts w:cs="Arial"/>
                <w:b/>
                <w:bCs/>
                <w:sz w:val="16"/>
                <w:szCs w:val="16"/>
              </w:rPr>
            </w:pPr>
            <w:r w:rsidRPr="00E67C27">
              <w:rPr>
                <w:rFonts w:cs="Arial"/>
                <w:b/>
                <w:bCs/>
                <w:sz w:val="16"/>
                <w:szCs w:val="16"/>
              </w:rPr>
              <w:t>Dimension</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 xml:space="preserve">Erlabrunn </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Bentazon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0,16</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 xml:space="preserve">Erlabrunn </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Metolachlor</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0,16</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 xml:space="preserve">Erlabrunn </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Terbuthylazin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0,34</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Erlabrunn</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Terbuthylazin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0,13</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Bentazon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0,11</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lastRenderedPageBreak/>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0,11</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0,11</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0,21</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0,47</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Bentazon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1,8</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Dichlorprop</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0,96</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0,44</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0,25</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MCPA</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0,12</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0,59</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0,23</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0,49</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0,46</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Isoproturon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0,2</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0,75</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Isoproturon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0,26</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Aminomethylphosphonsäure</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0,71</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Pegel Sachsenheim</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Glyphosat</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0,11</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 xml:space="preserve">Pegel Gemünden </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Bentazon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0,12</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 xml:space="preserve">Pegel Gemünden </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Desethylterbuthylazin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0,13</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 xml:space="preserve">Pegel Gemünden </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MCPA</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0,83</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 xml:space="preserve">Pegel Gemünden </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Terbuthylazin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0,75</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r w:rsidR="00E67C27" w:rsidRPr="00E67C27" w:rsidTr="00E67C27">
        <w:trPr>
          <w:trHeight w:val="300"/>
        </w:trPr>
        <w:tc>
          <w:tcPr>
            <w:tcW w:w="2601" w:type="dxa"/>
            <w:noWrap/>
            <w:hideMark/>
          </w:tcPr>
          <w:p w:rsidR="00E67C27" w:rsidRPr="00E67C27" w:rsidRDefault="00E67C27" w:rsidP="00E67C27">
            <w:pPr>
              <w:spacing w:line="360" w:lineRule="auto"/>
              <w:rPr>
                <w:rFonts w:cs="Arial"/>
                <w:sz w:val="16"/>
                <w:szCs w:val="16"/>
              </w:rPr>
            </w:pPr>
            <w:r w:rsidRPr="00E67C27">
              <w:rPr>
                <w:rFonts w:cs="Arial"/>
                <w:sz w:val="16"/>
                <w:szCs w:val="16"/>
              </w:rPr>
              <w:t xml:space="preserve">Pegel Gemünden </w:t>
            </w:r>
          </w:p>
        </w:tc>
        <w:tc>
          <w:tcPr>
            <w:tcW w:w="3069" w:type="dxa"/>
            <w:noWrap/>
            <w:hideMark/>
          </w:tcPr>
          <w:p w:rsidR="00E67C27" w:rsidRPr="00E67C27" w:rsidRDefault="00E67C27" w:rsidP="00E67C27">
            <w:pPr>
              <w:spacing w:line="360" w:lineRule="auto"/>
              <w:rPr>
                <w:rFonts w:cs="Arial"/>
                <w:sz w:val="16"/>
                <w:szCs w:val="16"/>
              </w:rPr>
            </w:pPr>
            <w:r w:rsidRPr="00E67C27">
              <w:rPr>
                <w:rFonts w:cs="Arial"/>
                <w:sz w:val="16"/>
                <w:szCs w:val="16"/>
              </w:rPr>
              <w:t>Isoproturon</w:t>
            </w:r>
          </w:p>
        </w:tc>
        <w:tc>
          <w:tcPr>
            <w:tcW w:w="1417"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0,25</w:t>
            </w:r>
          </w:p>
        </w:tc>
        <w:tc>
          <w:tcPr>
            <w:tcW w:w="1559" w:type="dxa"/>
            <w:noWrap/>
            <w:vAlign w:val="center"/>
            <w:hideMark/>
          </w:tcPr>
          <w:p w:rsidR="00E67C27" w:rsidRPr="00E67C27" w:rsidRDefault="00E67C27" w:rsidP="00E67C27">
            <w:pPr>
              <w:spacing w:line="360" w:lineRule="auto"/>
              <w:jc w:val="center"/>
              <w:rPr>
                <w:rFonts w:cs="Arial"/>
                <w:sz w:val="16"/>
                <w:szCs w:val="16"/>
              </w:rPr>
            </w:pPr>
            <w:r w:rsidRPr="00E67C27">
              <w:rPr>
                <w:rFonts w:cs="Arial"/>
                <w:sz w:val="16"/>
                <w:szCs w:val="16"/>
              </w:rPr>
              <w:t>µg/l</w:t>
            </w:r>
          </w:p>
        </w:tc>
      </w:tr>
    </w:tbl>
    <w:p w:rsidR="00E330FE" w:rsidRDefault="00E330FE"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Markus</w:t>
            </w:r>
            <w:r w:rsidRPr="00E330FE">
              <w:rPr>
                <w:b/>
              </w:rPr>
              <w:br/>
              <w:t>Rinderspacher</w:t>
            </w:r>
            <w:r w:rsidRPr="00E330FE">
              <w:rPr>
                <w:b/>
              </w:rPr>
              <w:br/>
            </w:r>
            <w:r w:rsidRPr="00E330FE">
              <w:t>(SPD)</w:t>
            </w:r>
            <w:r>
              <w:fldChar w:fldCharType="begin"/>
            </w:r>
            <w:r>
              <w:instrText xml:space="preserve"> TC </w:instrText>
            </w:r>
            <w:r w:rsidR="00793F8E">
              <w:instrText>„</w:instrText>
            </w:r>
            <w:bookmarkStart w:id="51" w:name="_Toc477421178"/>
            <w:r>
              <w:instrText>Rinderspacher, Markus (SPD)</w:instrText>
            </w:r>
            <w:r>
              <w:br/>
              <w:instrText>Kooperationen zwischen Bayern und Baden-Württemberg beim Umwelt- und Naturschutz</w:instrText>
            </w:r>
            <w:bookmarkEnd w:id="51"/>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welche Formen der Kooperation</w:t>
            </w:r>
            <w:r w:rsidR="00793F8E">
              <w:t xml:space="preserve"> </w:t>
            </w:r>
            <w:r>
              <w:t>im Bereich</w:t>
            </w:r>
            <w:r w:rsidR="00793F8E">
              <w:t xml:space="preserve"> </w:t>
            </w:r>
            <w:r>
              <w:t>Umwelt- und Naturschutz bestehen seit wann zwischen Bayern und Baden-Württemberg und welche Formen der Kooperation in diesen Feldern sind zw</w:t>
            </w:r>
            <w:r>
              <w:t>i</w:t>
            </w:r>
            <w:r>
              <w:t>schen den beiden Bundesländern geplant?</w:t>
            </w:r>
          </w:p>
          <w:p w:rsidR="00E330FE" w:rsidRDefault="00E330FE" w:rsidP="00E330FE">
            <w:pPr>
              <w:pStyle w:val="LTAnfrageText"/>
            </w:pPr>
          </w:p>
        </w:tc>
      </w:tr>
    </w:tbl>
    <w:p w:rsidR="00E330FE" w:rsidRDefault="00E330FE" w:rsidP="00E330FE">
      <w:pPr>
        <w:pStyle w:val="LTUeberschrAntwortRessort"/>
      </w:pPr>
      <w:r>
        <w:t>Antwort des Staatsministeriums für Umwelt und Verbraucherschutz</w:t>
      </w:r>
    </w:p>
    <w:p w:rsidR="00E330FE" w:rsidRDefault="00E330FE" w:rsidP="00E330FE">
      <w:pPr>
        <w:pStyle w:val="LTAntwortRessortText"/>
      </w:pPr>
      <w:r>
        <w:t>Die Länder Bayern und Baden-Württemberg arbeiten im Bereich des Umwelt- und Naturschutzes auf Arbeitsebene in einer ganzen Reihe von Bund-Länder-Gremien mit. Auf diese wird hier nicht näher eingegangen.</w:t>
      </w:r>
    </w:p>
    <w:p w:rsidR="00B65B07" w:rsidRDefault="00B65B07">
      <w:pPr>
        <w:rPr>
          <w:u w:val="single"/>
        </w:rPr>
      </w:pPr>
      <w:r>
        <w:rPr>
          <w:u w:val="single"/>
        </w:rPr>
        <w:br w:type="page"/>
      </w:r>
    </w:p>
    <w:p w:rsidR="00E330FE" w:rsidRPr="00E67C27" w:rsidRDefault="00E330FE" w:rsidP="00E330FE">
      <w:pPr>
        <w:pStyle w:val="LTAntwortRessortText"/>
        <w:rPr>
          <w:u w:val="single"/>
        </w:rPr>
      </w:pPr>
      <w:r w:rsidRPr="00E67C27">
        <w:rPr>
          <w:u w:val="single"/>
        </w:rPr>
        <w:lastRenderedPageBreak/>
        <w:t>Bilaterale Zusammenarbeit zwischen Bayern und Baden-Württemberg</w:t>
      </w:r>
    </w:p>
    <w:p w:rsidR="00E330FE" w:rsidRPr="00E67C27" w:rsidRDefault="00E330FE" w:rsidP="00E67C27">
      <w:pPr>
        <w:pStyle w:val="LTAntwortRessortText"/>
        <w:spacing w:before="120"/>
        <w:rPr>
          <w:b/>
        </w:rPr>
      </w:pPr>
      <w:r w:rsidRPr="00E67C27">
        <w:rPr>
          <w:b/>
        </w:rPr>
        <w:t>Internationale Kommission zum Schutz des Bodensees (IGKB)</w:t>
      </w:r>
    </w:p>
    <w:p w:rsidR="00E330FE" w:rsidRDefault="00E330FE" w:rsidP="00E67C27">
      <w:pPr>
        <w:pStyle w:val="LTAntwortRessortText"/>
        <w:spacing w:before="60"/>
      </w:pPr>
      <w:r>
        <w:t>Seit 1959 kümmert sich die Internationale Gewässerschutzkommission für den Bodensee um den umfassenden Schutz und die Entwicklung des Bodensees, weitere Kooper</w:t>
      </w:r>
      <w:r w:rsidR="00E67C27">
        <w:t>ationspartner sind Öste</w:t>
      </w:r>
      <w:r w:rsidR="00E67C27">
        <w:t>r</w:t>
      </w:r>
      <w:r w:rsidR="00E67C27">
        <w:t>reich und die Schweiz</w:t>
      </w:r>
      <w:r>
        <w:t>.</w:t>
      </w:r>
    </w:p>
    <w:p w:rsidR="00E330FE" w:rsidRPr="00E67C27" w:rsidRDefault="00E330FE" w:rsidP="00E330FE">
      <w:pPr>
        <w:pStyle w:val="LTAntwortRessortText"/>
        <w:rPr>
          <w:b/>
        </w:rPr>
      </w:pPr>
      <w:r w:rsidRPr="00E67C27">
        <w:rPr>
          <w:b/>
        </w:rPr>
        <w:t>Internationale Kommission zum Schutz der Donau (IKSD)</w:t>
      </w:r>
    </w:p>
    <w:p w:rsidR="00E330FE" w:rsidRDefault="00E330FE" w:rsidP="00E67C27">
      <w:pPr>
        <w:pStyle w:val="LTAntwortRessortText"/>
        <w:spacing w:before="120"/>
      </w:pPr>
      <w:r>
        <w:t>Internationales Donauschutzübereinkommen in Kraft getreten am 22. Oktober 1998. Vertragspa</w:t>
      </w:r>
      <w:r>
        <w:t>r</w:t>
      </w:r>
      <w:r>
        <w:t>teien sind 14 Staaten im Donaueinzugsgebiet und die Europäische Union. Das Sekretariat der IKSD sitzt in Wien.</w:t>
      </w:r>
    </w:p>
    <w:p w:rsidR="00E330FE" w:rsidRPr="00E67C27" w:rsidRDefault="00E330FE" w:rsidP="00E330FE">
      <w:pPr>
        <w:pStyle w:val="LTAntwortRessortText"/>
        <w:rPr>
          <w:b/>
        </w:rPr>
      </w:pPr>
      <w:r w:rsidRPr="00E67C27">
        <w:rPr>
          <w:b/>
        </w:rPr>
        <w:t>Internationale Kommission zum Schutz des Rhein</w:t>
      </w:r>
      <w:r w:rsidR="00E67C27">
        <w:rPr>
          <w:b/>
        </w:rPr>
        <w:t>s (IKSR)</w:t>
      </w:r>
    </w:p>
    <w:p w:rsidR="00E330FE" w:rsidRDefault="00E330FE" w:rsidP="00E67C27">
      <w:pPr>
        <w:pStyle w:val="LTAntwortRessortText"/>
        <w:spacing w:before="120"/>
      </w:pPr>
      <w:r>
        <w:t>Internationales Übereinkommen zum Schutz des Rhein</w:t>
      </w:r>
      <w:r w:rsidR="00E67C27">
        <w:t>s</w:t>
      </w:r>
      <w:r>
        <w:t xml:space="preserve"> (</w:t>
      </w:r>
      <w:r w:rsidR="00E67C27">
        <w:t xml:space="preserve">Bundesgesetzblatt – </w:t>
      </w:r>
      <w:r>
        <w:t>BGBl</w:t>
      </w:r>
      <w:r w:rsidR="00E67C27">
        <w:t>. –</w:t>
      </w:r>
      <w:r>
        <w:t xml:space="preserve"> II 849), z</w:t>
      </w:r>
      <w:r>
        <w:t>u</w:t>
      </w:r>
      <w:r>
        <w:t xml:space="preserve">letzt geändert in der Fassung vom </w:t>
      </w:r>
      <w:r w:rsidR="00E67C27">
        <w:t xml:space="preserve">1. Januar </w:t>
      </w:r>
      <w:r>
        <w:t>2003, wobei die internationale Zusammenarbeit im Rheingebiet bereits am 11.</w:t>
      </w:r>
      <w:r w:rsidR="00E67C27">
        <w:t> </w:t>
      </w:r>
      <w:r>
        <w:t>Juli 1950 in Basel ihren Anfang nahm. Vertragsparteien sind die Schweiz, Frankreich, Deutschland, Luxemburg und die Niederlande. Das Sekretariat hat seinen Sitz in Koblenz. Zur Vorbereitung und Abstimmung der deutschen Positionen in der IKSR zwischen den Ländern und dem Bund wurde 1963 die Deutschen Kommission zur Reinhaltung des Rheins (DK-Rhein) eingerichtet, die ab 2012 durch die Flussgebietsgemeinschaft Rhein (FGG Rhein) ersetzt wurde.</w:t>
      </w:r>
    </w:p>
    <w:p w:rsidR="00E330FE" w:rsidRPr="000317E7" w:rsidRDefault="00E330FE" w:rsidP="00E330FE">
      <w:pPr>
        <w:pStyle w:val="LTAntwortRessortText"/>
      </w:pPr>
      <w:r w:rsidRPr="00E67C27">
        <w:rPr>
          <w:b/>
        </w:rPr>
        <w:t xml:space="preserve">Donaurat bzw. Flussgebietsgemeinschaft (FFG) Donau </w:t>
      </w:r>
      <w:r w:rsidR="00E67C27" w:rsidRPr="000317E7">
        <w:t>(gegründet 1. Jahreshälfte 2014)</w:t>
      </w:r>
    </w:p>
    <w:p w:rsidR="00E330FE" w:rsidRDefault="00E330FE" w:rsidP="00E330FE">
      <w:pPr>
        <w:pStyle w:val="LTAntwortRessortText"/>
      </w:pPr>
      <w:r>
        <w:t>Die FGG Donau verfolgt folgende Aufgaben:</w:t>
      </w:r>
    </w:p>
    <w:p w:rsidR="00E330FE" w:rsidRDefault="00E330FE" w:rsidP="00BB5A24">
      <w:pPr>
        <w:pStyle w:val="LTAntwortRessortText"/>
        <w:numPr>
          <w:ilvl w:val="0"/>
          <w:numId w:val="29"/>
        </w:numPr>
        <w:spacing w:before="120"/>
        <w:ind w:left="709" w:hanging="284"/>
      </w:pPr>
      <w:r>
        <w:t>Abstimmung und Koordinierung wasserwirtschaftlicher Aufgaben und Maßnahmen insbesond</w:t>
      </w:r>
      <w:r>
        <w:t>e</w:t>
      </w:r>
      <w:r>
        <w:t xml:space="preserve">re im Kontext der Umsetzung europäischer </w:t>
      </w:r>
      <w:r w:rsidR="00793F8E">
        <w:t>„</w:t>
      </w:r>
      <w:r>
        <w:t>Wasserrichtlinien</w:t>
      </w:r>
      <w:r w:rsidR="00793F8E">
        <w:t>“</w:t>
      </w:r>
      <w:r>
        <w:t>, vor al</w:t>
      </w:r>
      <w:r w:rsidR="00BB5A24">
        <w:t>lem</w:t>
      </w:r>
      <w:r>
        <w:t xml:space="preserve"> der </w:t>
      </w:r>
      <w:r w:rsidR="000317E7">
        <w:t>Wasserschut</w:t>
      </w:r>
      <w:r w:rsidR="000317E7">
        <w:t>z</w:t>
      </w:r>
      <w:r w:rsidR="000317E7">
        <w:t>richtlinie (</w:t>
      </w:r>
      <w:r>
        <w:t>WRRL</w:t>
      </w:r>
      <w:r w:rsidR="000317E7">
        <w:t>)</w:t>
      </w:r>
      <w:r>
        <w:t xml:space="preserve"> und der Hochwasserrisikomanagement-Richtlinie (HWRM-RL)</w:t>
      </w:r>
    </w:p>
    <w:p w:rsidR="00E330FE" w:rsidRDefault="00E330FE" w:rsidP="00BB5A24">
      <w:pPr>
        <w:pStyle w:val="LTAntwortRessortText"/>
        <w:numPr>
          <w:ilvl w:val="0"/>
          <w:numId w:val="29"/>
        </w:numPr>
        <w:spacing w:before="120"/>
        <w:ind w:left="709" w:hanging="284"/>
      </w:pPr>
      <w:r>
        <w:t>Erarbeitung und Verabschiedung</w:t>
      </w:r>
      <w:r w:rsidR="00C5580D">
        <w:t xml:space="preserve"> gemeinsamer Bund-</w:t>
      </w:r>
      <w:r>
        <w:t>Länder-Standpunkte zu Themen der I</w:t>
      </w:r>
      <w:r>
        <w:t>n</w:t>
      </w:r>
      <w:r>
        <w:t>ternationalen Kommission zum Schutz der Donau (IKSD), der wasserwirtschaftlichen Zusa</w:t>
      </w:r>
      <w:r>
        <w:t>m</w:t>
      </w:r>
      <w:r>
        <w:t>menarbeit zwischen der Bundesrepublik Deutschland, der Europäischen Wirtschaftsgemei</w:t>
      </w:r>
      <w:r>
        <w:t>n</w:t>
      </w:r>
      <w:r>
        <w:t>schaft und der Republik Österreich auf Basis des Regensburger Vertrages vom 1. Dezember 1987</w:t>
      </w:r>
    </w:p>
    <w:p w:rsidR="00E330FE" w:rsidRDefault="00E330FE" w:rsidP="00BB5A24">
      <w:pPr>
        <w:pStyle w:val="LTAntwortRessortText"/>
        <w:numPr>
          <w:ilvl w:val="0"/>
          <w:numId w:val="29"/>
        </w:numPr>
        <w:spacing w:before="120"/>
        <w:ind w:left="709" w:hanging="284"/>
      </w:pPr>
      <w:r>
        <w:t>Koordinierung bei der Aufstellung und Durchführung von  Gewässerüberwachungsprogrammen sowie bei der Auswertung und Bewertung von Messdaten, insbesondere an den Grenzgewä</w:t>
      </w:r>
      <w:r>
        <w:t>s</w:t>
      </w:r>
      <w:r>
        <w:t>sern zwischen Baden-Württemberg und Bayern</w:t>
      </w:r>
    </w:p>
    <w:p w:rsidR="00E330FE" w:rsidRDefault="00E330FE" w:rsidP="00BB5A24">
      <w:pPr>
        <w:pStyle w:val="LTAntwortRessortText"/>
        <w:numPr>
          <w:ilvl w:val="0"/>
          <w:numId w:val="29"/>
        </w:numPr>
        <w:spacing w:before="120"/>
        <w:ind w:left="709" w:hanging="284"/>
      </w:pPr>
      <w:r>
        <w:t>Koordinierung, Aufbereitung und Veröffentlichung von Daten zur Gewässerbeschaffenheit und Hydrologie der Donau</w:t>
      </w:r>
    </w:p>
    <w:p w:rsidR="00E330FE" w:rsidRDefault="00E330FE" w:rsidP="00BB5A24">
      <w:pPr>
        <w:pStyle w:val="LTAntwortRessortText"/>
        <w:numPr>
          <w:ilvl w:val="0"/>
          <w:numId w:val="29"/>
        </w:numPr>
        <w:spacing w:before="120"/>
        <w:ind w:left="709" w:hanging="284"/>
      </w:pPr>
      <w:r>
        <w:t>EU-Strategien für den Donau- und den Alpenraum</w:t>
      </w:r>
      <w:r w:rsidR="00BB5A24">
        <w:tab/>
      </w:r>
      <w:r w:rsidR="00E67C27">
        <w:br/>
      </w:r>
      <w:r>
        <w:t>Im Juli 2015 hat die Europäische Kommission die EU-Alpenraumstrategie angenommen. Tei</w:t>
      </w:r>
      <w:r>
        <w:t>l</w:t>
      </w:r>
      <w:r>
        <w:t>nehmerstaaten der EUSALP sind Deutschland (Baden-Württemberg und Bayern), Frankreich, Italien, Liechtenstein, Österreich, Schweiz, Slowenien und die jeweiligen Regionen. Im Juni 2011 wurde die EU-Strategie für den Donauraum von der Europäischen Union verabschiedet. Ziel der Strategie ist es, die weitere Entwicklung des Donauraums durch langfristige grenzübe</w:t>
      </w:r>
      <w:r>
        <w:t>r</w:t>
      </w:r>
      <w:r>
        <w:t>schreitende Kooperationen zu fördern, insbesondere in den Bereichen Verkehr, Energie, U</w:t>
      </w:r>
      <w:r>
        <w:t>m</w:t>
      </w:r>
      <w:r>
        <w:t>welt, Wirtschaft und Sicherheit.</w:t>
      </w:r>
      <w:r w:rsidR="00BB5A24">
        <w:tab/>
      </w:r>
      <w:r w:rsidR="00BB5A24">
        <w:br/>
      </w:r>
      <w:r>
        <w:t>Die teilnehmenden Staaten und Regionen sind: Deutschland (Baden-Württemberg und Ba</w:t>
      </w:r>
      <w:r>
        <w:t>y</w:t>
      </w:r>
      <w:r>
        <w:t>ern), Österreich, Tschechien, Slowakei, Ungarn, Slowenien, Kroatien, Rumänien und Bulgarien sowie Bosni</w:t>
      </w:r>
      <w:r w:rsidR="00BB5A24">
        <w:t xml:space="preserve">en-Herzegowina, Montenegro, </w:t>
      </w:r>
      <w:r>
        <w:t>Serbien, Moldawien und Ukraine. Außerhalb der EU, hier gibt es eine enge bilaterale Abstimmung z</w:t>
      </w:r>
      <w:r w:rsidR="00BB5A24">
        <w:t>wischen den deutschen Ländern Bayern und B</w:t>
      </w:r>
      <w:r w:rsidR="00BB5A24">
        <w:t>a</w:t>
      </w:r>
      <w:r w:rsidR="00BB5A24">
        <w:t xml:space="preserve">den-Württemberg. </w:t>
      </w:r>
    </w:p>
    <w:p w:rsidR="00E330FE" w:rsidRDefault="00E330FE" w:rsidP="00BB5A24">
      <w:pPr>
        <w:pStyle w:val="LTAntwortRessortText"/>
        <w:numPr>
          <w:ilvl w:val="0"/>
          <w:numId w:val="29"/>
        </w:numPr>
        <w:spacing w:before="120"/>
        <w:ind w:left="709" w:hanging="284"/>
      </w:pPr>
      <w:r>
        <w:lastRenderedPageBreak/>
        <w:t>Klimaveränderung und Konsequenzen für die Wasserwirtschaft</w:t>
      </w:r>
      <w:r w:rsidR="00793F8E">
        <w:t>“</w:t>
      </w:r>
      <w:r>
        <w:t xml:space="preserve"> KLIWA seit 1999 </w:t>
      </w:r>
      <w:r w:rsidR="00BB5A24">
        <w:t>–</w:t>
      </w:r>
      <w:r>
        <w:t xml:space="preserve"> Bayern, Baden-Württemberg und Rheinland-Pfalz</w:t>
      </w:r>
      <w:r w:rsidR="00BB5A24">
        <w:tab/>
      </w:r>
      <w:r w:rsidR="00BB5A24">
        <w:br/>
      </w:r>
      <w:r>
        <w:t>Das Projekt startete bereits im Jahr 1999 und wird in Kooperation mit dem Deutschen Wette</w:t>
      </w:r>
      <w:r>
        <w:t>r</w:t>
      </w:r>
      <w:r>
        <w:t>dienst, dem Land Bayern und seit 2007 auch mit Rheinland-Pfalz durchgeführt. Es befasst sich mit den Auswirkungen des Klimawandels auf den Wasserhaushalt in Süddeutschland. Die aus dem Projekt gewonnen Erkenntnisse dienen als Basis für Anpassungsmaßnahmen für die Wasserwirtschaft für den Zeitraum 2021 bis 2050.</w:t>
      </w:r>
    </w:p>
    <w:p w:rsidR="00E330FE" w:rsidRDefault="00E330FE" w:rsidP="00BB5A24">
      <w:pPr>
        <w:pStyle w:val="LTAntwortRessortText"/>
        <w:numPr>
          <w:ilvl w:val="0"/>
          <w:numId w:val="29"/>
        </w:numPr>
        <w:spacing w:before="120"/>
        <w:ind w:left="709" w:hanging="284"/>
      </w:pPr>
      <w:r>
        <w:t>Warn- und Alarmplan Donau</w:t>
      </w:r>
      <w:r w:rsidR="00BB5A24">
        <w:tab/>
      </w:r>
      <w:r w:rsidR="00BB5A24">
        <w:br/>
      </w:r>
      <w:r>
        <w:t>Seit 1994 haben die Donaustaaten in der IKSD einen internationalen Warn- und Alarmplan für unfallbedingte Gewässerverunreinigungen erarbeitet. D</w:t>
      </w:r>
      <w:r w:rsidR="00C5580D">
        <w:t>ie Notwendigkeit eines Notfall-</w:t>
      </w:r>
      <w:r>
        <w:t xml:space="preserve">Warnsystems im Einzugsgebiet der Donau wird in </w:t>
      </w:r>
      <w:r w:rsidR="00C5580D">
        <w:t>Art.</w:t>
      </w:r>
      <w:r>
        <w:t xml:space="preserve"> 16 des Übereinkommens über die Z</w:t>
      </w:r>
      <w:r>
        <w:t>u</w:t>
      </w:r>
      <w:r>
        <w:t>sammenarbeit zum Schutz und zur verträgl</w:t>
      </w:r>
      <w:r w:rsidR="00C5580D">
        <w:t>ichen Nutzung der Donau (Donau</w:t>
      </w:r>
      <w:r>
        <w:t>schutz</w:t>
      </w:r>
      <w:r w:rsidR="00C5580D">
        <w:softHyphen/>
      </w:r>
      <w:r>
        <w:t>über</w:t>
      </w:r>
      <w:r w:rsidR="00C5580D">
        <w:softHyphen/>
      </w:r>
      <w:r>
        <w:t>ein</w:t>
      </w:r>
      <w:r w:rsidR="00C5580D">
        <w:softHyphen/>
      </w:r>
      <w:r>
        <w:t>kommen) anerkannt.</w:t>
      </w:r>
      <w:r w:rsidR="00BB5A24">
        <w:tab/>
      </w:r>
      <w:r w:rsidR="00BB5A24">
        <w:br/>
      </w:r>
      <w:r>
        <w:t>Neben den Meldungen über Unfälle mit wassergefährdenden Stoffen, zu denen die Betreiber verpflichtet sind, können auch die Ergebnisse der kontin</w:t>
      </w:r>
      <w:r w:rsidR="00BB5A24">
        <w:t>uierlichen Messungen an den Do</w:t>
      </w:r>
      <w:r>
        <w:t>na</w:t>
      </w:r>
      <w:r>
        <w:t>u</w:t>
      </w:r>
      <w:r>
        <w:t>messstationen Auslöser für Meldungen im Rahmen des Warn- und Alarmplanes sein.</w:t>
      </w:r>
    </w:p>
    <w:p w:rsidR="00E330FE" w:rsidRDefault="00E330FE" w:rsidP="00BB5A24">
      <w:pPr>
        <w:pStyle w:val="LTAntwortRessortText"/>
        <w:numPr>
          <w:ilvl w:val="0"/>
          <w:numId w:val="29"/>
        </w:numPr>
        <w:spacing w:before="120"/>
        <w:ind w:left="709" w:hanging="284"/>
      </w:pPr>
      <w:r>
        <w:t>Für die I</w:t>
      </w:r>
      <w:r w:rsidR="00BB5A24">
        <w:t>ller, dem Grenzfluss zwischen Baden-Württemberg und Bayern, wurde vom Wasse</w:t>
      </w:r>
      <w:r w:rsidR="00BB5A24">
        <w:t>r</w:t>
      </w:r>
      <w:r w:rsidR="00BB5A24">
        <w:t>wirtschaftsamt</w:t>
      </w:r>
      <w:r>
        <w:t xml:space="preserve"> Donauwörth und dem Regierungspräsidium Tübingen ein Gewässerentwic</w:t>
      </w:r>
      <w:r>
        <w:t>k</w:t>
      </w:r>
      <w:r>
        <w:t>lungskonzept (GEK) erarbeitet, das in gemeinsamer Abstimmung in der weiteren Zukunft u</w:t>
      </w:r>
      <w:r>
        <w:t>m</w:t>
      </w:r>
      <w:r>
        <w:t>gesetzt werden soll.</w:t>
      </w:r>
    </w:p>
    <w:p w:rsidR="00E330FE" w:rsidRPr="00BB5A24" w:rsidRDefault="00E330FE" w:rsidP="00E330FE">
      <w:pPr>
        <w:pStyle w:val="LTAntwortRessortText"/>
        <w:rPr>
          <w:b/>
        </w:rPr>
      </w:pPr>
      <w:r w:rsidRPr="00BB5A24">
        <w:rPr>
          <w:b/>
        </w:rPr>
        <w:t>Zukünftig geplante Aktivitäten der Zusammenarbeit</w:t>
      </w:r>
    </w:p>
    <w:p w:rsidR="00E330FE" w:rsidRDefault="00E330FE" w:rsidP="00BB5A24">
      <w:pPr>
        <w:pStyle w:val="LTAntwortRessortText"/>
        <w:numPr>
          <w:ilvl w:val="0"/>
          <w:numId w:val="29"/>
        </w:numPr>
        <w:spacing w:before="120"/>
        <w:ind w:left="709" w:hanging="284"/>
      </w:pPr>
      <w:r>
        <w:t>Gemeinsamer Bewirtschaftungsplan im Rahmen der Umsetzung der EG-WRRL für das deu</w:t>
      </w:r>
      <w:r>
        <w:t>t</w:t>
      </w:r>
      <w:r>
        <w:t>sche Donau-</w:t>
      </w:r>
      <w:r w:rsidR="00C5580D">
        <w:t>Einzugsgebiet (</w:t>
      </w:r>
      <w:r>
        <w:t>EZG</w:t>
      </w:r>
      <w:r w:rsidR="00C5580D">
        <w:t>)</w:t>
      </w:r>
      <w:r>
        <w:t>.</w:t>
      </w:r>
    </w:p>
    <w:p w:rsidR="00E330FE" w:rsidRDefault="00E330FE" w:rsidP="00BB5A24">
      <w:pPr>
        <w:pStyle w:val="LTAntwortRessortText"/>
        <w:numPr>
          <w:ilvl w:val="0"/>
          <w:numId w:val="29"/>
        </w:numPr>
        <w:spacing w:before="120"/>
        <w:ind w:left="709" w:hanging="284"/>
      </w:pPr>
      <w:r>
        <w:t>Gemeinsamer Hochwasserrisikomanagementplan Rahmen der Umsetzung der EG-HWRM</w:t>
      </w:r>
      <w:r w:rsidR="00C5580D">
        <w:t>-</w:t>
      </w:r>
      <w:r>
        <w:t>RL das deutsche Donau-EZG</w:t>
      </w:r>
    </w:p>
    <w:p w:rsidR="00E330FE" w:rsidRPr="00BB5A24" w:rsidRDefault="00E330FE" w:rsidP="00E330FE">
      <w:pPr>
        <w:pStyle w:val="LTAntwortRessortText"/>
        <w:rPr>
          <w:u w:val="single"/>
        </w:rPr>
      </w:pPr>
      <w:r w:rsidRPr="00BB5A24">
        <w:rPr>
          <w:u w:val="single"/>
        </w:rPr>
        <w:t>Zusammenarbeit im Bereich des Naturschutzes</w:t>
      </w:r>
    </w:p>
    <w:p w:rsidR="00E330FE" w:rsidRDefault="00E330FE" w:rsidP="00BB5A24">
      <w:pPr>
        <w:pStyle w:val="LTAntwortRessortText"/>
        <w:numPr>
          <w:ilvl w:val="0"/>
          <w:numId w:val="29"/>
        </w:numPr>
        <w:spacing w:before="120"/>
        <w:ind w:left="709" w:hanging="284"/>
      </w:pPr>
      <w:r>
        <w:t>Aktuell arbeiten im praktischen Naturschutz Landschaftspflegeverbände unter dem Dach des Deutschen Landschaftspflegeverbandes (DVL) im Rahmen von modellhaften</w:t>
      </w:r>
      <w:r w:rsidR="00BB5A24">
        <w:t xml:space="preserve"> Schäfer-Re</w:t>
      </w:r>
      <w:r>
        <w:t>vier</w:t>
      </w:r>
      <w:r w:rsidR="00BB5A24">
        <w:softHyphen/>
      </w:r>
      <w:r>
        <w:t>konzepten zusammen.</w:t>
      </w:r>
    </w:p>
    <w:p w:rsidR="00E330FE" w:rsidRDefault="00E330FE" w:rsidP="00BB5A24">
      <w:pPr>
        <w:pStyle w:val="LTAntwortRessortText"/>
        <w:numPr>
          <w:ilvl w:val="0"/>
          <w:numId w:val="29"/>
        </w:numPr>
        <w:spacing w:before="120"/>
        <w:ind w:left="709" w:hanging="284"/>
      </w:pPr>
      <w:r>
        <w:t>Der bayerische Landschaftspflegeverband (LPV)</w:t>
      </w:r>
      <w:r w:rsidR="00C5580D">
        <w:t xml:space="preserve"> Würzburg kooperiert auf baden-</w:t>
      </w:r>
      <w:r>
        <w:t>württembergischer Seite dazu mit dem Landschaftspflegeverein (LEV) Main-Tauber.</w:t>
      </w:r>
    </w:p>
    <w:p w:rsidR="00E330FE" w:rsidRDefault="00E330FE" w:rsidP="00BB5A24">
      <w:pPr>
        <w:pStyle w:val="LTAntwortRessortText"/>
        <w:numPr>
          <w:ilvl w:val="0"/>
          <w:numId w:val="29"/>
        </w:numPr>
        <w:spacing w:before="120"/>
        <w:ind w:left="709" w:hanging="284"/>
      </w:pPr>
      <w:r>
        <w:t xml:space="preserve">Die </w:t>
      </w:r>
      <w:r w:rsidR="00BB5A24" w:rsidRPr="00BB5A24">
        <w:t xml:space="preserve">Arbeitsgemeinschaft Schwäbisches Donaumoos e.V. </w:t>
      </w:r>
      <w:r w:rsidR="00C5580D">
        <w:t>(Gründung 1991) führt</w:t>
      </w:r>
      <w:r>
        <w:t xml:space="preserve"> zahlreiche grenzübergreifende Projekte mit Baden-Württemberg durch, so z.B. die Pflege des Leiphei</w:t>
      </w:r>
      <w:r w:rsidR="00BB5A24">
        <w:t>mer Mooses (Abstimmung der Maß</w:t>
      </w:r>
      <w:r>
        <w:t>nahmen mit dem LEV Alb-Donaukreis), Umsetzung des Kie</w:t>
      </w:r>
      <w:r w:rsidR="00BB5A24">
        <w:t>bitz-Schutzprogramms im Lange</w:t>
      </w:r>
      <w:r>
        <w:t>nauer, Ramminger und Asselfinger Moos (incl. Erfassungen), U</w:t>
      </w:r>
      <w:r>
        <w:t>m</w:t>
      </w:r>
      <w:r w:rsidR="00BB5A24">
        <w:t>setzung von Ausgleichsmaß</w:t>
      </w:r>
      <w:r>
        <w:t xml:space="preserve">nahmen im Auftrag </w:t>
      </w:r>
      <w:r w:rsidR="00B8649F">
        <w:t>des Regierungspräsidiums Tübingen für</w:t>
      </w:r>
      <w:r>
        <w:t xml:space="preserve"> BAB</w:t>
      </w:r>
      <w:r w:rsidR="00B8649F">
        <w:t>-</w:t>
      </w:r>
      <w:r>
        <w:t xml:space="preserve"> und </w:t>
      </w:r>
      <w:r w:rsidR="00B8649F">
        <w:t>DB-Vorhaben (BAB = Bundesautobahn, DB = Deutsche Bahn AG)</w:t>
      </w:r>
      <w:r>
        <w:t xml:space="preserve"> sowie ab 2017 </w:t>
      </w:r>
      <w:r w:rsidR="00793F8E">
        <w:t>„</w:t>
      </w:r>
      <w:r>
        <w:t>Wi</w:t>
      </w:r>
      <w:r>
        <w:t>e</w:t>
      </w:r>
      <w:r>
        <w:t>senbrüterschutzmaßnahmen</w:t>
      </w:r>
      <w:r w:rsidR="00793F8E">
        <w:t>“</w:t>
      </w:r>
      <w:r>
        <w:t xml:space="preserve"> im Auftrag des Regierungspräsidiums Tübingen (Ausgleich</w:t>
      </w:r>
      <w:r>
        <w:t>s</w:t>
      </w:r>
      <w:r>
        <w:t>maßnahmen ICE).</w:t>
      </w:r>
    </w:p>
    <w:p w:rsidR="00E330FE" w:rsidRDefault="00E330FE" w:rsidP="00BB5A24">
      <w:pPr>
        <w:pStyle w:val="LTAntwortRessortText"/>
        <w:numPr>
          <w:ilvl w:val="0"/>
          <w:numId w:val="29"/>
        </w:numPr>
        <w:spacing w:before="120"/>
        <w:ind w:left="709" w:hanging="284"/>
      </w:pPr>
      <w:r>
        <w:t xml:space="preserve">Für die neue Kampagne 2017/2018 </w:t>
      </w:r>
      <w:r w:rsidR="00793F8E">
        <w:t>„</w:t>
      </w:r>
      <w:r>
        <w:t>BayernsUrEinwohner</w:t>
      </w:r>
      <w:r w:rsidR="00793F8E">
        <w:t>“</w:t>
      </w:r>
      <w:r>
        <w:t xml:space="preserve"> (Kooperation zwischen DVL und </w:t>
      </w:r>
      <w:r w:rsidR="0061603D">
        <w:t>dem Staatsministerium für Umwelt und Verbraucherschutz</w:t>
      </w:r>
      <w:r>
        <w:t xml:space="preserve">) wurde ein  Projekt zum Schutz des </w:t>
      </w:r>
      <w:r w:rsidR="0061603D">
        <w:t>weltweit</w:t>
      </w:r>
      <w:r>
        <w:t xml:space="preserve"> nur am Bodensee </w:t>
      </w:r>
      <w:r w:rsidR="0061603D">
        <w:t>v</w:t>
      </w:r>
      <w:r>
        <w:t>orkommenden</w:t>
      </w:r>
      <w:r w:rsidR="0061603D">
        <w:t xml:space="preserve"> </w:t>
      </w:r>
      <w:r w:rsidR="00793F8E">
        <w:t>„</w:t>
      </w:r>
      <w:r>
        <w:t>Bodensee-Vergissmeinnicht</w:t>
      </w:r>
      <w:r w:rsidR="00793F8E">
        <w:t>“</w:t>
      </w:r>
      <w:r>
        <w:t xml:space="preserve"> vom LPV Lindau-Westallgäu durchgeführt. </w:t>
      </w:r>
      <w:r w:rsidR="00C5580D">
        <w:t xml:space="preserve">Im Rahmen </w:t>
      </w:r>
      <w:r>
        <w:t>der Projekt</w:t>
      </w:r>
      <w:r w:rsidR="0061603D">
        <w:t>maß</w:t>
      </w:r>
      <w:r>
        <w:t>nahmen ist eine Kooperation u.a. mit B</w:t>
      </w:r>
      <w:r>
        <w:t>a</w:t>
      </w:r>
      <w:r>
        <w:t>den-Württemberg (neben Österreich und Schweiz) vorgesehen.</w:t>
      </w:r>
    </w:p>
    <w:p w:rsidR="00E330FE" w:rsidRDefault="00E330FE" w:rsidP="00BB5A24">
      <w:pPr>
        <w:pStyle w:val="LTAntwortRessortText"/>
        <w:numPr>
          <w:ilvl w:val="0"/>
          <w:numId w:val="29"/>
        </w:numPr>
        <w:spacing w:before="120"/>
        <w:ind w:left="709" w:hanging="284"/>
      </w:pPr>
      <w:r>
        <w:t xml:space="preserve">Aktuell: Beim Pilotprojekt zur </w:t>
      </w:r>
      <w:r w:rsidR="00793F8E">
        <w:t>„</w:t>
      </w:r>
      <w:r>
        <w:t>interkommunalen Zusamm</w:t>
      </w:r>
      <w:r w:rsidR="0061603D">
        <w:t>enarbeit bei der Umsetzung hyd</w:t>
      </w:r>
      <w:r>
        <w:t>ro</w:t>
      </w:r>
      <w:r w:rsidR="0061603D">
        <w:softHyphen/>
      </w:r>
      <w:r>
        <w:t>mor</w:t>
      </w:r>
      <w:r w:rsidR="0061603D">
        <w:softHyphen/>
      </w:r>
      <w:r>
        <w:t>phologischer Maßnahmen an Gewässern 3. Ordnung</w:t>
      </w:r>
      <w:r w:rsidR="00793F8E">
        <w:t>“</w:t>
      </w:r>
      <w:r>
        <w:t xml:space="preserve"> zur Umsetzung der WRRL bearbeitete der LPV Lindau-Westallgäu ein Gewässer, das landesübergreifend verläuft (Schwarzenbach).</w:t>
      </w:r>
    </w:p>
    <w:p w:rsidR="00E330FE" w:rsidRDefault="00E330FE" w:rsidP="00E330FE">
      <w:pPr>
        <w:pStyle w:val="LTAntwortRessortText"/>
        <w:numPr>
          <w:ilvl w:val="0"/>
          <w:numId w:val="29"/>
        </w:numPr>
        <w:spacing w:before="120"/>
        <w:ind w:left="709" w:hanging="284"/>
      </w:pPr>
      <w:r>
        <w:t>Schutz und Renaturierung von Mooren</w:t>
      </w:r>
      <w:r w:rsidR="0061603D">
        <w:tab/>
      </w:r>
      <w:r w:rsidR="0061603D">
        <w:br/>
        <w:t>Bayern und Baden-Württemberg</w:t>
      </w:r>
      <w:r>
        <w:t xml:space="preserve"> verfolgen beim Schutz und der Renaturierung von Mooren </w:t>
      </w:r>
      <w:r>
        <w:lastRenderedPageBreak/>
        <w:t>ähnliche Ziele, wenn</w:t>
      </w:r>
      <w:r w:rsidR="0061603D">
        <w:t>gleich Bayern</w:t>
      </w:r>
      <w:r>
        <w:t xml:space="preserve"> über deutlich mehr Moorflächen verfügt als</w:t>
      </w:r>
      <w:r w:rsidR="0061603D">
        <w:t xml:space="preserve"> Baden-Württemberg</w:t>
      </w:r>
      <w:r>
        <w:t xml:space="preserve">. Die Kooperation wird durch die Fachtagung </w:t>
      </w:r>
      <w:r w:rsidR="00793F8E">
        <w:t>„</w:t>
      </w:r>
      <w:r>
        <w:t xml:space="preserve">Moorschutz in Süddeutschland </w:t>
      </w:r>
      <w:r w:rsidR="0061603D">
        <w:t>–</w:t>
      </w:r>
      <w:r>
        <w:t xml:space="preserve"> S</w:t>
      </w:r>
      <w:r>
        <w:t>i</w:t>
      </w:r>
      <w:r>
        <w:t>tuation, Schlüsselfaktoren, Zukunft</w:t>
      </w:r>
      <w:r w:rsidR="00793F8E">
        <w:t>“</w:t>
      </w:r>
      <w:r w:rsidR="0061603D">
        <w:t xml:space="preserve"> am 26./27. April </w:t>
      </w:r>
      <w:r>
        <w:t xml:space="preserve">2017 in Biberach mit Beteiligung </w:t>
      </w:r>
      <w:r w:rsidR="0061603D">
        <w:t>der</w:t>
      </w:r>
      <w:r>
        <w:t xml:space="preserve"> Staatsministerin</w:t>
      </w:r>
      <w:r w:rsidR="0061603D">
        <w:t xml:space="preserve"> für Umwelt und Verbraucherschutz, Ulrike</w:t>
      </w:r>
      <w:r>
        <w:t xml:space="preserve"> Scharf</w:t>
      </w:r>
      <w:r w:rsidR="0061603D">
        <w:t>,</w:t>
      </w:r>
      <w:r>
        <w:t xml:space="preserve"> bekräftigt. Auf Fachebene laufen die Arbeiten am gemeinsamen süddeutschen </w:t>
      </w:r>
      <w:r w:rsidR="00793F8E">
        <w:t>„</w:t>
      </w:r>
      <w:r>
        <w:t>Handbuch Moorschutz</w:t>
      </w:r>
      <w:r w:rsidR="00793F8E">
        <w:t>“</w:t>
      </w:r>
      <w:r>
        <w:t xml:space="preserve"> auf Hochtouren. Das Erscheinen ist für Herbst 2017 geplant.</w:t>
      </w:r>
    </w:p>
    <w:p w:rsidR="00E330FE" w:rsidRDefault="00E330FE" w:rsidP="00BB5A24">
      <w:pPr>
        <w:pStyle w:val="LTAntwortRessortText"/>
        <w:numPr>
          <w:ilvl w:val="0"/>
          <w:numId w:val="29"/>
        </w:numPr>
        <w:spacing w:before="120"/>
        <w:ind w:left="709" w:hanging="284"/>
      </w:pPr>
      <w:r>
        <w:t>Wolfs-Management</w:t>
      </w:r>
      <w:r w:rsidR="0061603D">
        <w:tab/>
      </w:r>
      <w:r w:rsidR="0061603D">
        <w:br/>
      </w:r>
      <w:r>
        <w:t xml:space="preserve">Der Bund hat 2016 einen </w:t>
      </w:r>
      <w:r w:rsidR="00793F8E">
        <w:t>„</w:t>
      </w:r>
      <w:r>
        <w:t>Runden Tisch Wolf</w:t>
      </w:r>
      <w:r w:rsidR="00793F8E">
        <w:t>“</w:t>
      </w:r>
      <w:r>
        <w:t xml:space="preserve"> und eine Dokumentations- und Beratungsstelle zum Wolf eingerichtet. Bei der Betei</w:t>
      </w:r>
      <w:r w:rsidR="0061603D">
        <w:t>ligung der Länder kooperieren Bayern und Baden-Württemberg</w:t>
      </w:r>
      <w:r>
        <w:t xml:space="preserve"> eng.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Martin</w:t>
            </w:r>
            <w:r w:rsidRPr="00E330FE">
              <w:rPr>
                <w:b/>
              </w:rPr>
              <w:br/>
              <w:t>Stümpfig</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52" w:name="_Toc477421179"/>
            <w:r>
              <w:instrText>Stümpfig, Martin (BÜNDNIS 90/DIE GRÜNEN)</w:instrText>
            </w:r>
            <w:r>
              <w:br/>
              <w:instrText>Kurzfristige Räumung des Atomkraftwerks Grafenrheinfeld</w:instrText>
            </w:r>
            <w:bookmarkEnd w:id="52"/>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warum wurde das abgeschaltete Atomkraftwerk Grafenrheinfeld am Freitag, den 10. März 2017 als Folge eines fehlenden Funkkontakts zu einer indischen Passagiermaschine</w:t>
            </w:r>
            <w:r w:rsidR="00793F8E">
              <w:t xml:space="preserve"> </w:t>
            </w:r>
            <w:r>
              <w:t>geräumt,</w:t>
            </w:r>
            <w:r w:rsidR="00793F8E">
              <w:t xml:space="preserve"> </w:t>
            </w:r>
            <w:r>
              <w:t>haben die S</w:t>
            </w:r>
            <w:r>
              <w:t>i</w:t>
            </w:r>
            <w:r>
              <w:t>cherheitsbehörden in Deutschland Zweifel an der Integrität des Sicherheitsb</w:t>
            </w:r>
            <w:r>
              <w:t>e</w:t>
            </w:r>
            <w:r>
              <w:t>hälters und des darin befindlichen Abklingbeckens für abgebrannte Brennel</w:t>
            </w:r>
            <w:r>
              <w:t>e</w:t>
            </w:r>
            <w:r>
              <w:t>mente und/oder an der Integrität der Zwischenlagerhalle (Castorhalle) für a</w:t>
            </w:r>
            <w:r>
              <w:t>b</w:t>
            </w:r>
            <w:r>
              <w:t>gebrannte Brennelemente, wurden</w:t>
            </w:r>
            <w:r w:rsidR="00793F8E">
              <w:t xml:space="preserve"> </w:t>
            </w:r>
            <w:r>
              <w:t>außer dem Atomkraftwerk Grafenrheinfeld weitere sicherheitsrelevante Einrichtungen bzw. Unternehmen in Bayern ev</w:t>
            </w:r>
            <w:r>
              <w:t>a</w:t>
            </w:r>
            <w:r>
              <w:t>kuiert?</w:t>
            </w:r>
          </w:p>
          <w:p w:rsidR="00E330FE" w:rsidRDefault="00E330FE" w:rsidP="00E330FE">
            <w:pPr>
              <w:pStyle w:val="LTAnfrageText"/>
            </w:pPr>
          </w:p>
        </w:tc>
      </w:tr>
    </w:tbl>
    <w:p w:rsidR="00E330FE" w:rsidRDefault="00E330FE" w:rsidP="00E330FE">
      <w:pPr>
        <w:pStyle w:val="LTUeberschrAntwortRessort"/>
      </w:pPr>
      <w:r>
        <w:t>Antwort des Staatsministeriums für Umwelt und Verbraucherschutz</w:t>
      </w:r>
    </w:p>
    <w:p w:rsidR="00E330FE" w:rsidRDefault="00E330FE" w:rsidP="00E330FE">
      <w:pPr>
        <w:pStyle w:val="LTAntwortRessortText"/>
      </w:pPr>
      <w:r>
        <w:t xml:space="preserve">Am Freitag, den 10. März 2017 wurde vom Nationalen Lage- und Führungszentrum für Sicherheit im Luftraum wegen des fehlenden Funkkontakts zu einer Passagiermaschine </w:t>
      </w:r>
      <w:r w:rsidR="00982298">
        <w:t xml:space="preserve">ein </w:t>
      </w:r>
      <w:r w:rsidR="00C5580D">
        <w:t>RENEGADE</w:t>
      </w:r>
      <w:r>
        <w:t>-Voralarm gemäß Rahmenplan der Bundesregierung ausgelöst. Alle bayerischen Kernkraftwerke haben daraufhin die jeweils in ihrem Betriebsreglement festgelegten Maßnahmen ergriffen. Dieses Betriebsreglement gilt unabhängig davon, ob sich die Kernkraftwerke im Leistungs- oder Nichtlei</w:t>
      </w:r>
      <w:r>
        <w:t>s</w:t>
      </w:r>
      <w:r>
        <w:t>tungsbetrieb befinden, also auch für das Kernkraftwerk Grafenrheinfeld (KKG). Daher hat auch das KKG die notwendigen Maßnahmen eingeleitet. Zweifel an der Integrität des Sicherheitsbehälters, des Brennelementlagerbeckens oder des Standortzwischenlagers bestehen nicht.</w:t>
      </w:r>
    </w:p>
    <w:p w:rsidR="00B65B07" w:rsidRDefault="00B65B07">
      <w:pPr>
        <w:rPr>
          <w:rFonts w:cs="Arial"/>
          <w:b/>
          <w:sz w:val="22"/>
          <w:szCs w:val="22"/>
        </w:rPr>
      </w:pPr>
      <w:r>
        <w:br w:type="page"/>
      </w:r>
    </w:p>
    <w:p w:rsidR="00E330FE" w:rsidRDefault="00E330FE" w:rsidP="00E330FE">
      <w:pPr>
        <w:pStyle w:val="LTUeberschrRessort"/>
      </w:pPr>
      <w:r>
        <w:lastRenderedPageBreak/>
        <w:t>Geschäftsbereich des Staatsministeriums für Ernährung, Landwirtschaft und Forsten</w:t>
      </w:r>
      <w:r>
        <w:fldChar w:fldCharType="begin"/>
      </w:r>
      <w:r>
        <w:instrText xml:space="preserve"> TC </w:instrText>
      </w:r>
      <w:r w:rsidR="00793F8E">
        <w:instrText>„</w:instrText>
      </w:r>
      <w:bookmarkStart w:id="53" w:name="_Toc477421180"/>
      <w:r>
        <w:instrText>Geschäftsbereich des Staatsministeriums für Ernährung, Landwirtschaft und Forsten</w:instrText>
      </w:r>
      <w:bookmarkEnd w:id="53"/>
      <w:r w:rsidR="00793F8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Horst</w:t>
            </w:r>
            <w:r w:rsidRPr="00E330FE">
              <w:rPr>
                <w:b/>
              </w:rPr>
              <w:br/>
              <w:t>Arnold</w:t>
            </w:r>
            <w:r w:rsidRPr="00E330FE">
              <w:rPr>
                <w:b/>
              </w:rPr>
              <w:br/>
            </w:r>
            <w:r w:rsidRPr="00E330FE">
              <w:t>(SPD)</w:t>
            </w:r>
            <w:r>
              <w:fldChar w:fldCharType="begin"/>
            </w:r>
            <w:r>
              <w:instrText xml:space="preserve"> TC </w:instrText>
            </w:r>
            <w:r w:rsidR="00793F8E">
              <w:instrText>„</w:instrText>
            </w:r>
            <w:bookmarkStart w:id="54" w:name="_Toc477421181"/>
            <w:r>
              <w:instrText>Arnold, Horst (SPD)</w:instrText>
            </w:r>
            <w:r>
              <w:br/>
              <w:instrText>Zukunft der Gemeinsamen Agrarpolitik (GAP) nach 2020</w:instrText>
            </w:r>
            <w:bookmarkEnd w:id="54"/>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welche notwendigen Veränderungen der G</w:t>
            </w:r>
            <w:r>
              <w:t>e</w:t>
            </w:r>
            <w:r>
              <w:t>meinsamen Agrarpolitik (GAP) nach dem Jahr 2020 werden seitens der Staatsregierung gefordert, wie könnte in Zukunft sichergestellt werden, dass Tierhalter sowie soziale Aspekte wie der Arbeitsbedarf der Betriebe stärker in die Berechnung der Zahlungen einfließen und wie kann aus Sicht der Staat</w:t>
            </w:r>
            <w:r>
              <w:t>s</w:t>
            </w:r>
            <w:r>
              <w:t>regierung eine nachhaltige Legitimation der Mittel für die GAP erreicht werden, wenn aktuell schon eine maßvolle Erhöhung der Umschichtung abgelehnt wurde?</w:t>
            </w:r>
          </w:p>
          <w:p w:rsidR="00E330FE" w:rsidRDefault="00E330FE" w:rsidP="00E330FE">
            <w:pPr>
              <w:pStyle w:val="LTAnfrageText"/>
            </w:pPr>
          </w:p>
        </w:tc>
      </w:tr>
    </w:tbl>
    <w:p w:rsidR="00E330FE" w:rsidRDefault="00E330FE" w:rsidP="00B65B07">
      <w:pPr>
        <w:pStyle w:val="LTUeberschrAntwortRessort"/>
        <w:spacing w:before="240"/>
      </w:pPr>
      <w:r>
        <w:t>Antwort des Staatsministeriums für Ernährung, Landwirtschaft und Forsten</w:t>
      </w:r>
    </w:p>
    <w:p w:rsidR="00E330FE" w:rsidRDefault="00E330FE" w:rsidP="00E330FE">
      <w:pPr>
        <w:pStyle w:val="LTAntwortRessortText"/>
      </w:pPr>
      <w:r>
        <w:t>Das wichtigste Signal an den durch die aktuellen Krisen arg in Mitleidenschaft gezogenen Landwir</w:t>
      </w:r>
      <w:r>
        <w:t>t</w:t>
      </w:r>
      <w:r>
        <w:t>schaftssektor ist derzeit Kontinuität und Verlässlichkeit in der Gemeinsamen EU-Agrarpolitik (GAP). Anstatt den Landwirten über zusätzliche Umschichtungen von der ersten in die zweite Säule der GAP weitere Fördermittel und damit Liquidität zu entziehen, muss in der Phase bis 2020 der Abbau überzogener bürokratischer Hemmnisse im Mittelpunkt stehen. Notwendig sind insbesondere pra</w:t>
      </w:r>
      <w:r>
        <w:t>k</w:t>
      </w:r>
      <w:r>
        <w:t>tikablere Regelungen für den sog. aktiven Landwirt, für das Entstehen von Dauergrünland oder für di</w:t>
      </w:r>
      <w:r w:rsidR="001171EA">
        <w:t>e zwischenzeitliche Lagerung z.</w:t>
      </w:r>
      <w:r>
        <w:t xml:space="preserve">B. von Siloballen auf der </w:t>
      </w:r>
      <w:r w:rsidR="001171EA">
        <w:t>landwirtschaftlich genutzten Fläche (</w:t>
      </w:r>
      <w:r>
        <w:t>LF</w:t>
      </w:r>
      <w:r w:rsidR="001171EA">
        <w:t>)</w:t>
      </w:r>
      <w:r>
        <w:t xml:space="preserve">. </w:t>
      </w:r>
    </w:p>
    <w:p w:rsidR="00E330FE" w:rsidRDefault="00E330FE" w:rsidP="00E330FE">
      <w:pPr>
        <w:pStyle w:val="LTAntwortRessortText"/>
      </w:pPr>
      <w:r>
        <w:t>Im Hinblick auf die GAP nach 2020 tritt die Staatsregierung für eine Beibehaltung der bewährten Grundstruktur der GAP, eine deutliche Reduzierung des bürokratischen Aufwandes, einen Ausbau der Lenkungswirkung der EU-Direktzahlungen und mehr Subsidiarität bei der Ausgestaltung der einzelnen Maßnahmen ein, auch im Hinblick auf die Sicherung der Akzeptanz der GAP bei der B</w:t>
      </w:r>
      <w:r>
        <w:t>e</w:t>
      </w:r>
      <w:r>
        <w:t>völkerung. Bei den EU-Direktzahlungen wird sich die Staatsregierung für eine Verstärkung der sog. Umverteilungsprämie zur Stärkung der bäuerlichen Familienbetriebe und für spezifische zusätzli</w:t>
      </w:r>
      <w:r w:rsidR="001171EA">
        <w:t>che Fördermöglichkeiten, wie z.</w:t>
      </w:r>
      <w:r>
        <w:t>B. eine bessere Unterstützung der Tierhaltung etwa über einen Top up für das Dauergrünland einsetzen. Im Bereich der Gemeinsamen Marktordnung bedarf es zusätzl</w:t>
      </w:r>
      <w:r>
        <w:t>i</w:t>
      </w:r>
      <w:r>
        <w:t>cher flexibler Elemente als schnelle und wirksame Reaktionsmöglichkeit bei Agrarmarktkrisen, e</w:t>
      </w:r>
      <w:r>
        <w:t>i</w:t>
      </w:r>
      <w:r>
        <w:t>nen weiteren Ausbau der Marktbeobachtung zu einem echten Frühwarnsyste</w:t>
      </w:r>
      <w:r w:rsidR="001171EA">
        <w:t>m</w:t>
      </w:r>
      <w:r>
        <w:t>, die Entwicklung von wirksamen Kriseninstrumenten sowie die Identifizierung und Ahndung von unfairen Marktpra</w:t>
      </w:r>
      <w:r>
        <w:t>k</w:t>
      </w:r>
      <w:r>
        <w:t xml:space="preserve">tiken.  </w:t>
      </w:r>
    </w:p>
    <w:p w:rsidR="00E330FE" w:rsidRDefault="00E330FE" w:rsidP="00E330FE">
      <w:pPr>
        <w:pStyle w:val="LTAntwortRessortText"/>
      </w:pPr>
      <w:r>
        <w:t>In der zweiten Säule der GAP müssen einzelbetriebliche Risikoinstrumente ausgebaut werden, um zunehmend volatilen Märkten wirkungsvoller begegnen zu können. Die Fördermöglichkeiten von Innovation und Wissenstransfer müssen verbessert, die Modalitäten vereinfacht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00B961CE">
              <w:rPr>
                <w:b/>
              </w:rPr>
              <w:t>Florian</w:t>
            </w:r>
            <w:r w:rsidR="00B961CE">
              <w:rPr>
                <w:b/>
              </w:rPr>
              <w:br/>
              <w:t>von B</w:t>
            </w:r>
            <w:r w:rsidRPr="00E330FE">
              <w:rPr>
                <w:b/>
              </w:rPr>
              <w:t>runn</w:t>
            </w:r>
            <w:r w:rsidRPr="00E330FE">
              <w:rPr>
                <w:b/>
              </w:rPr>
              <w:br/>
            </w:r>
            <w:r w:rsidRPr="00E330FE">
              <w:t>(SPD)</w:t>
            </w:r>
            <w:r>
              <w:fldChar w:fldCharType="begin"/>
            </w:r>
            <w:r>
              <w:instrText xml:space="preserve"> TC </w:instrText>
            </w:r>
            <w:r w:rsidR="00793F8E">
              <w:instrText>„</w:instrText>
            </w:r>
            <w:bookmarkStart w:id="55" w:name="_Toc477421182"/>
            <w:r>
              <w:instrText>Brunn, Florian (SPD)</w:instrText>
            </w:r>
            <w:r>
              <w:br/>
              <w:instrText>Waldflächen und Holzvorräte in Franken</w:instrText>
            </w:r>
            <w:bookmarkEnd w:id="55"/>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B65B07">
            <w:pPr>
              <w:pStyle w:val="LTAnfrageText"/>
            </w:pPr>
            <w:r>
              <w:t>Ich frage die Staatsregierung, wie haben sich die Waldflächen in den drei frä</w:t>
            </w:r>
            <w:r>
              <w:t>n</w:t>
            </w:r>
            <w:r>
              <w:t>kischen Regierungsbezirken größenmäßig in den letzten zehn Jahren entw</w:t>
            </w:r>
            <w:r>
              <w:t>i</w:t>
            </w:r>
            <w:r>
              <w:t>ckelt (getrennt nach Regierungsbezirken und Forstamtsbereichen sowie E</w:t>
            </w:r>
            <w:r>
              <w:t>i</w:t>
            </w:r>
            <w:r>
              <w:t>gentumsverhältnissen), wie haben sich die Holzvorräte im Verantwortungsb</w:t>
            </w:r>
            <w:r>
              <w:t>e</w:t>
            </w:r>
            <w:r>
              <w:t>reich der Bayerischen Staatsforsten (BaySF) in den drei fränkischen Regi</w:t>
            </w:r>
            <w:r>
              <w:t>e</w:t>
            </w:r>
            <w:r>
              <w:t>rungsbezirken in den letzten zehn Jahren entwickelt (getrennt nach Regi</w:t>
            </w:r>
            <w:r>
              <w:t>e</w:t>
            </w:r>
            <w:r>
              <w:t>rungsbezirken und Forstamtsbereichen) und wie viele Rechtler wären auf e</w:t>
            </w:r>
            <w:r>
              <w:t>i</w:t>
            </w:r>
            <w:r>
              <w:t>nem möglichen Gebiet eines Nationalparks Steigerwald bzw. Spessart im Staatswald (BaySF) betroffen (getrennt für Steigerwald und Spessart)?</w:t>
            </w:r>
          </w:p>
        </w:tc>
      </w:tr>
    </w:tbl>
    <w:p w:rsidR="00E330FE" w:rsidRDefault="00E330FE" w:rsidP="00E330FE">
      <w:pPr>
        <w:pStyle w:val="LTUeberschrAntwortRessort"/>
      </w:pPr>
      <w:r>
        <w:lastRenderedPageBreak/>
        <w:t>Antwort des Staatsministeriums für Ernährung, Landwirtschaft und Forsten</w:t>
      </w:r>
    </w:p>
    <w:p w:rsidR="00E330FE" w:rsidRPr="001171EA" w:rsidRDefault="00E330FE" w:rsidP="00E330FE">
      <w:pPr>
        <w:pStyle w:val="LTAntwortRessortText"/>
        <w:rPr>
          <w:u w:val="single"/>
        </w:rPr>
      </w:pPr>
      <w:r w:rsidRPr="001171EA">
        <w:rPr>
          <w:u w:val="single"/>
        </w:rPr>
        <w:t>Entwicklung der Waldfläche in Franken</w:t>
      </w:r>
    </w:p>
    <w:p w:rsidR="00E330FE" w:rsidRDefault="00E330FE" w:rsidP="001171EA">
      <w:pPr>
        <w:pStyle w:val="LTAntwortRessortText"/>
        <w:spacing w:before="120"/>
      </w:pPr>
      <w:r>
        <w:t>Eine detaillierte Er</w:t>
      </w:r>
      <w:r w:rsidR="001171EA">
        <w:t xml:space="preserve">fassung der Waldflächenbilanz, </w:t>
      </w:r>
      <w:r>
        <w:t>getrennt nach Eigentumsverhältnissen und Amtsbereichen der Ämter für Ernährung, Landwirtschaft und Forsten liegt nicht vor. Die Waldfl</w:t>
      </w:r>
      <w:r>
        <w:t>ä</w:t>
      </w:r>
      <w:r>
        <w:t>chenentwicklung in Bayern wird aber nach den Planungsregionen des Landesentwicklungspr</w:t>
      </w:r>
      <w:r>
        <w:t>o</w:t>
      </w:r>
      <w:r>
        <w:t xml:space="preserve">grammes erhoben. </w:t>
      </w:r>
    </w:p>
    <w:p w:rsidR="00E330FE" w:rsidRDefault="00E330FE" w:rsidP="00E330FE">
      <w:pPr>
        <w:pStyle w:val="LTAntwortRessortText"/>
      </w:pPr>
      <w:r>
        <w:t>Ersatzweise werden daher die Zu- und Abnahmen der Waldflächen in den Planungsregionen (Diff</w:t>
      </w:r>
      <w:r>
        <w:t>e</w:t>
      </w:r>
      <w:r>
        <w:t>renz zwischen Erstaufforstungen und Rodungen) für die letzten zehn Jahre in nachstehender T</w:t>
      </w:r>
      <w:r>
        <w:t>a</w:t>
      </w:r>
      <w:r>
        <w:t>belle in Hektar aufgelistet:</w:t>
      </w:r>
    </w:p>
    <w:p w:rsidR="00E330FE" w:rsidRDefault="001171EA" w:rsidP="00E330FE">
      <w:pPr>
        <w:pStyle w:val="LTAntwortRessortText"/>
        <w:rPr>
          <w:b/>
        </w:rPr>
      </w:pPr>
      <w:r w:rsidRPr="001171EA">
        <w:rPr>
          <w:b/>
        </w:rPr>
        <w:t>Waldflächenbilanz in den Regierungsbezirken Unter-, Ober- und Mittelfranken</w:t>
      </w:r>
      <w:r>
        <w:rPr>
          <w:b/>
        </w:rPr>
        <w:t>:</w:t>
      </w:r>
    </w:p>
    <w:p w:rsidR="001171EA" w:rsidRDefault="001171EA" w:rsidP="001171EA">
      <w:pPr>
        <w:pStyle w:val="LTAntwortRessortText"/>
        <w:spacing w:before="0"/>
      </w:pPr>
    </w:p>
    <w:tbl>
      <w:tblPr>
        <w:tblW w:w="94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44"/>
        <w:gridCol w:w="744"/>
        <w:gridCol w:w="744"/>
        <w:gridCol w:w="745"/>
        <w:gridCol w:w="745"/>
        <w:gridCol w:w="745"/>
        <w:gridCol w:w="745"/>
        <w:gridCol w:w="745"/>
        <w:gridCol w:w="745"/>
        <w:gridCol w:w="711"/>
      </w:tblGrid>
      <w:tr w:rsidR="001171EA" w:rsidRPr="001171EA" w:rsidTr="00B65B07">
        <w:tc>
          <w:tcPr>
            <w:tcW w:w="1987"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Planungsregion</w:t>
            </w:r>
          </w:p>
        </w:tc>
        <w:tc>
          <w:tcPr>
            <w:tcW w:w="744"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2006</w:t>
            </w:r>
          </w:p>
        </w:tc>
        <w:tc>
          <w:tcPr>
            <w:tcW w:w="744"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2007</w:t>
            </w:r>
          </w:p>
        </w:tc>
        <w:tc>
          <w:tcPr>
            <w:tcW w:w="744"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2008</w:t>
            </w:r>
          </w:p>
        </w:tc>
        <w:tc>
          <w:tcPr>
            <w:tcW w:w="745"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2009</w:t>
            </w:r>
          </w:p>
        </w:tc>
        <w:tc>
          <w:tcPr>
            <w:tcW w:w="745"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2010</w:t>
            </w:r>
          </w:p>
        </w:tc>
        <w:tc>
          <w:tcPr>
            <w:tcW w:w="745"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2011</w:t>
            </w:r>
          </w:p>
        </w:tc>
        <w:tc>
          <w:tcPr>
            <w:tcW w:w="745"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2012</w:t>
            </w:r>
          </w:p>
        </w:tc>
        <w:tc>
          <w:tcPr>
            <w:tcW w:w="745"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2013</w:t>
            </w:r>
          </w:p>
        </w:tc>
        <w:tc>
          <w:tcPr>
            <w:tcW w:w="745"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2014</w:t>
            </w:r>
          </w:p>
        </w:tc>
        <w:tc>
          <w:tcPr>
            <w:tcW w:w="711" w:type="dxa"/>
            <w:shd w:val="clear" w:color="auto" w:fill="auto"/>
          </w:tcPr>
          <w:p w:rsidR="001171EA" w:rsidRPr="001171EA" w:rsidRDefault="001171EA" w:rsidP="001171EA">
            <w:pPr>
              <w:autoSpaceDE w:val="0"/>
              <w:autoSpaceDN w:val="0"/>
              <w:adjustRightInd w:val="0"/>
              <w:spacing w:line="360" w:lineRule="auto"/>
              <w:jc w:val="center"/>
              <w:rPr>
                <w:rFonts w:ascii="Times New Roman" w:hAnsi="Times New Roman"/>
                <w:b/>
                <w:sz w:val="18"/>
                <w:szCs w:val="18"/>
              </w:rPr>
            </w:pPr>
            <w:r w:rsidRPr="001171EA">
              <w:rPr>
                <w:rFonts w:ascii="Times New Roman" w:hAnsi="Times New Roman"/>
                <w:b/>
                <w:sz w:val="18"/>
                <w:szCs w:val="18"/>
              </w:rPr>
              <w:t>2015</w:t>
            </w:r>
          </w:p>
        </w:tc>
      </w:tr>
      <w:tr w:rsidR="001171EA" w:rsidRPr="001171EA" w:rsidTr="00B65B07">
        <w:tc>
          <w:tcPr>
            <w:tcW w:w="1987" w:type="dxa"/>
            <w:shd w:val="clear" w:color="auto" w:fill="auto"/>
          </w:tcPr>
          <w:p w:rsidR="001171EA" w:rsidRPr="001171EA" w:rsidRDefault="001171EA" w:rsidP="001171EA">
            <w:pPr>
              <w:autoSpaceDE w:val="0"/>
              <w:autoSpaceDN w:val="0"/>
              <w:adjustRightInd w:val="0"/>
              <w:spacing w:before="60" w:line="360" w:lineRule="auto"/>
              <w:rPr>
                <w:rFonts w:ascii="Times New Roman" w:hAnsi="Times New Roman"/>
                <w:sz w:val="18"/>
                <w:szCs w:val="18"/>
              </w:rPr>
            </w:pPr>
            <w:r>
              <w:rPr>
                <w:rFonts w:ascii="Times New Roman" w:hAnsi="Times New Roman"/>
                <w:sz w:val="18"/>
                <w:szCs w:val="18"/>
              </w:rPr>
              <w:t>Bayerischer</w:t>
            </w:r>
            <w:r w:rsidRPr="001171EA">
              <w:rPr>
                <w:rFonts w:ascii="Times New Roman" w:hAnsi="Times New Roman"/>
                <w:sz w:val="18"/>
                <w:szCs w:val="18"/>
              </w:rPr>
              <w:t xml:space="preserve"> Untermain</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+2,2</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-3,0</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-0,3</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+0,4</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+6,0</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+0,9</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+0,7</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+4,3</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-2,9</w:t>
            </w:r>
          </w:p>
        </w:tc>
        <w:tc>
          <w:tcPr>
            <w:tcW w:w="711"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-3,4</w:t>
            </w:r>
          </w:p>
        </w:tc>
      </w:tr>
      <w:tr w:rsidR="001171EA" w:rsidRPr="001171EA" w:rsidTr="00B65B07">
        <w:tc>
          <w:tcPr>
            <w:tcW w:w="1987" w:type="dxa"/>
            <w:shd w:val="clear" w:color="auto" w:fill="auto"/>
          </w:tcPr>
          <w:p w:rsidR="001171EA" w:rsidRPr="001171EA" w:rsidRDefault="001171EA" w:rsidP="001171EA">
            <w:pPr>
              <w:autoSpaceDE w:val="0"/>
              <w:autoSpaceDN w:val="0"/>
              <w:adjustRightInd w:val="0"/>
              <w:spacing w:before="60" w:line="360" w:lineRule="auto"/>
              <w:rPr>
                <w:rFonts w:ascii="Times New Roman" w:hAnsi="Times New Roman"/>
                <w:sz w:val="18"/>
                <w:szCs w:val="18"/>
              </w:rPr>
            </w:pPr>
            <w:r w:rsidRPr="001171EA">
              <w:rPr>
                <w:rFonts w:ascii="Times New Roman" w:hAnsi="Times New Roman"/>
                <w:sz w:val="18"/>
                <w:szCs w:val="18"/>
              </w:rPr>
              <w:t>Würzburg</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+20,6</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-13,3</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-7,3</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+10,8</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+2,3</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+9,8</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+13,5</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+2,4</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+27,5</w:t>
            </w:r>
          </w:p>
        </w:tc>
        <w:tc>
          <w:tcPr>
            <w:tcW w:w="711"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+7,4</w:t>
            </w:r>
          </w:p>
        </w:tc>
      </w:tr>
      <w:tr w:rsidR="001171EA" w:rsidRPr="001171EA" w:rsidTr="00B65B07">
        <w:tc>
          <w:tcPr>
            <w:tcW w:w="1987" w:type="dxa"/>
            <w:shd w:val="clear" w:color="auto" w:fill="auto"/>
          </w:tcPr>
          <w:p w:rsidR="001171EA" w:rsidRPr="001171EA" w:rsidRDefault="001171EA" w:rsidP="001171EA">
            <w:pPr>
              <w:autoSpaceDE w:val="0"/>
              <w:autoSpaceDN w:val="0"/>
              <w:adjustRightInd w:val="0"/>
              <w:spacing w:before="60" w:line="360" w:lineRule="auto"/>
              <w:rPr>
                <w:rFonts w:ascii="Times New Roman" w:hAnsi="Times New Roman"/>
                <w:sz w:val="18"/>
                <w:szCs w:val="18"/>
              </w:rPr>
            </w:pPr>
            <w:r w:rsidRPr="001171EA">
              <w:rPr>
                <w:rFonts w:ascii="Times New Roman" w:hAnsi="Times New Roman"/>
                <w:sz w:val="18"/>
                <w:szCs w:val="18"/>
              </w:rPr>
              <w:t>Main-Rhön</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+5,1</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+81,5</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+7,7</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+10,5</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+4,4</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+7,4</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+19,7</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+5,4</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+10,4</w:t>
            </w:r>
          </w:p>
        </w:tc>
        <w:tc>
          <w:tcPr>
            <w:tcW w:w="711"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+0,4</w:t>
            </w:r>
          </w:p>
        </w:tc>
      </w:tr>
      <w:tr w:rsidR="001171EA" w:rsidRPr="001171EA" w:rsidTr="00B65B07">
        <w:tc>
          <w:tcPr>
            <w:tcW w:w="1987" w:type="dxa"/>
            <w:shd w:val="clear" w:color="auto" w:fill="auto"/>
          </w:tcPr>
          <w:p w:rsidR="001171EA" w:rsidRPr="001171EA" w:rsidRDefault="001171EA" w:rsidP="001171EA">
            <w:pPr>
              <w:autoSpaceDE w:val="0"/>
              <w:autoSpaceDN w:val="0"/>
              <w:adjustRightInd w:val="0"/>
              <w:spacing w:before="60" w:line="360" w:lineRule="auto"/>
              <w:rPr>
                <w:rFonts w:ascii="Times New Roman" w:hAnsi="Times New Roman"/>
                <w:sz w:val="18"/>
                <w:szCs w:val="18"/>
              </w:rPr>
            </w:pPr>
            <w:r w:rsidRPr="001171EA">
              <w:rPr>
                <w:rFonts w:ascii="Times New Roman" w:hAnsi="Times New Roman"/>
                <w:sz w:val="18"/>
                <w:szCs w:val="18"/>
              </w:rPr>
              <w:t>Oberfranken-West</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+3,4</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-32,3</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-18,1</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+22,7</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+28,6</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+18,7</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+22,9</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+23,3</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+18,3</w:t>
            </w:r>
          </w:p>
        </w:tc>
        <w:tc>
          <w:tcPr>
            <w:tcW w:w="711"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-20,3</w:t>
            </w:r>
          </w:p>
        </w:tc>
      </w:tr>
      <w:tr w:rsidR="001171EA" w:rsidRPr="001171EA" w:rsidTr="00B65B07">
        <w:tc>
          <w:tcPr>
            <w:tcW w:w="1987" w:type="dxa"/>
            <w:shd w:val="clear" w:color="auto" w:fill="auto"/>
          </w:tcPr>
          <w:p w:rsidR="001171EA" w:rsidRPr="001171EA" w:rsidRDefault="001171EA" w:rsidP="001171EA">
            <w:pPr>
              <w:autoSpaceDE w:val="0"/>
              <w:autoSpaceDN w:val="0"/>
              <w:adjustRightInd w:val="0"/>
              <w:spacing w:before="60" w:line="360" w:lineRule="auto"/>
              <w:rPr>
                <w:rFonts w:ascii="Times New Roman" w:hAnsi="Times New Roman"/>
                <w:sz w:val="18"/>
                <w:szCs w:val="18"/>
              </w:rPr>
            </w:pPr>
            <w:r w:rsidRPr="001171EA">
              <w:rPr>
                <w:rFonts w:ascii="Times New Roman" w:hAnsi="Times New Roman"/>
                <w:sz w:val="18"/>
                <w:szCs w:val="18"/>
              </w:rPr>
              <w:t>Oberfranken-Ost</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+9,3</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+10,2</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+9,0</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-10,2</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+1,6</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-18,2</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+0,1</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+16,8</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-16,0</w:t>
            </w:r>
          </w:p>
        </w:tc>
        <w:tc>
          <w:tcPr>
            <w:tcW w:w="711"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+14,4</w:t>
            </w:r>
          </w:p>
        </w:tc>
      </w:tr>
      <w:tr w:rsidR="001171EA" w:rsidRPr="001171EA" w:rsidTr="00B65B07">
        <w:tc>
          <w:tcPr>
            <w:tcW w:w="1987" w:type="dxa"/>
            <w:shd w:val="clear" w:color="auto" w:fill="auto"/>
          </w:tcPr>
          <w:p w:rsidR="001171EA" w:rsidRPr="001171EA" w:rsidRDefault="001171EA" w:rsidP="001171EA">
            <w:pPr>
              <w:autoSpaceDE w:val="0"/>
              <w:autoSpaceDN w:val="0"/>
              <w:adjustRightInd w:val="0"/>
              <w:spacing w:before="60" w:line="276" w:lineRule="auto"/>
              <w:rPr>
                <w:rFonts w:ascii="Times New Roman" w:hAnsi="Times New Roman"/>
                <w:sz w:val="18"/>
                <w:szCs w:val="18"/>
              </w:rPr>
            </w:pPr>
            <w:r w:rsidRPr="001171EA">
              <w:rPr>
                <w:rFonts w:ascii="Times New Roman" w:hAnsi="Times New Roman"/>
                <w:sz w:val="18"/>
                <w:szCs w:val="18"/>
              </w:rPr>
              <w:t>Industrieregion Mitte</w:t>
            </w:r>
            <w:r w:rsidRPr="001171EA">
              <w:rPr>
                <w:rFonts w:ascii="Times New Roman" w:hAnsi="Times New Roman"/>
                <w:sz w:val="18"/>
                <w:szCs w:val="18"/>
              </w:rPr>
              <w:t>l</w:t>
            </w:r>
            <w:r w:rsidRPr="001171EA">
              <w:rPr>
                <w:rFonts w:ascii="Times New Roman" w:hAnsi="Times New Roman"/>
                <w:sz w:val="18"/>
                <w:szCs w:val="18"/>
              </w:rPr>
              <w:t>franken</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+23,8</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+41,0</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+37,1</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+21,2</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+24,7</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+9,5</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+18,0</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+19,4</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+32,5</w:t>
            </w:r>
          </w:p>
        </w:tc>
        <w:tc>
          <w:tcPr>
            <w:tcW w:w="711"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+14,4</w:t>
            </w:r>
          </w:p>
        </w:tc>
      </w:tr>
      <w:tr w:rsidR="001171EA" w:rsidRPr="001171EA" w:rsidTr="00B65B07">
        <w:tc>
          <w:tcPr>
            <w:tcW w:w="1987" w:type="dxa"/>
            <w:shd w:val="clear" w:color="auto" w:fill="auto"/>
          </w:tcPr>
          <w:p w:rsidR="001171EA" w:rsidRPr="001171EA" w:rsidRDefault="001171EA" w:rsidP="001171EA">
            <w:pPr>
              <w:autoSpaceDE w:val="0"/>
              <w:autoSpaceDN w:val="0"/>
              <w:adjustRightInd w:val="0"/>
              <w:spacing w:before="60" w:line="360" w:lineRule="auto"/>
              <w:rPr>
                <w:rFonts w:ascii="Times New Roman" w:hAnsi="Times New Roman"/>
                <w:sz w:val="18"/>
                <w:szCs w:val="18"/>
              </w:rPr>
            </w:pPr>
            <w:r w:rsidRPr="001171EA">
              <w:rPr>
                <w:rFonts w:ascii="Times New Roman" w:hAnsi="Times New Roman"/>
                <w:sz w:val="18"/>
                <w:szCs w:val="18"/>
              </w:rPr>
              <w:t>Westmittelfranken</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+3,4</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-23,9</w:t>
            </w:r>
          </w:p>
        </w:tc>
        <w:tc>
          <w:tcPr>
            <w:tcW w:w="744"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+9,3</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+14,9</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-59,6</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-2,7</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+15,0</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-7,1</w:t>
            </w:r>
          </w:p>
        </w:tc>
        <w:tc>
          <w:tcPr>
            <w:tcW w:w="745"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-69,0</w:t>
            </w:r>
          </w:p>
        </w:tc>
        <w:tc>
          <w:tcPr>
            <w:tcW w:w="711" w:type="dxa"/>
            <w:shd w:val="clear" w:color="auto" w:fill="auto"/>
          </w:tcPr>
          <w:p w:rsidR="001171EA" w:rsidRPr="001171EA" w:rsidRDefault="001171EA" w:rsidP="001171EA">
            <w:pPr>
              <w:autoSpaceDE w:val="0"/>
              <w:autoSpaceDN w:val="0"/>
              <w:adjustRightInd w:val="0"/>
              <w:spacing w:before="60" w:line="360" w:lineRule="auto"/>
              <w:jc w:val="right"/>
              <w:rPr>
                <w:rFonts w:ascii="Times New Roman" w:hAnsi="Times New Roman"/>
                <w:sz w:val="18"/>
                <w:szCs w:val="18"/>
              </w:rPr>
            </w:pPr>
            <w:r w:rsidRPr="001171EA">
              <w:rPr>
                <w:rFonts w:ascii="Times New Roman" w:hAnsi="Times New Roman"/>
                <w:sz w:val="18"/>
                <w:szCs w:val="18"/>
              </w:rPr>
              <w:t>+9,1</w:t>
            </w:r>
          </w:p>
        </w:tc>
      </w:tr>
    </w:tbl>
    <w:p w:rsidR="00E330FE" w:rsidRPr="001171EA" w:rsidRDefault="00E330FE" w:rsidP="00E330FE">
      <w:pPr>
        <w:pStyle w:val="LTAntwortRessortText"/>
        <w:rPr>
          <w:u w:val="single"/>
        </w:rPr>
      </w:pPr>
      <w:r w:rsidRPr="001171EA">
        <w:rPr>
          <w:u w:val="single"/>
        </w:rPr>
        <w:t>Entwicklung der Holzvorräte</w:t>
      </w:r>
    </w:p>
    <w:p w:rsidR="00E330FE" w:rsidRDefault="00E330FE" w:rsidP="00B65B07">
      <w:pPr>
        <w:pStyle w:val="LTAntwortRessortText"/>
        <w:spacing w:before="360"/>
      </w:pPr>
      <w:r>
        <w:t>Die Flächenorganisation der BaySF erfolgt unabhängig von den Grenzen der Gebietskörperscha</w:t>
      </w:r>
      <w:r>
        <w:t>f</w:t>
      </w:r>
      <w:r>
        <w:t xml:space="preserve">ten. Eine Flächenzuordnung zu Regierungsbezirken ist daher nicht möglich. </w:t>
      </w:r>
    </w:p>
    <w:p w:rsidR="00E330FE" w:rsidRDefault="00E330FE" w:rsidP="00B65B07">
      <w:pPr>
        <w:pStyle w:val="LTAntwortRessortText"/>
        <w:spacing w:before="360"/>
      </w:pPr>
      <w:r>
        <w:t>Die BaySF</w:t>
      </w:r>
      <w:r w:rsidR="00E01CC5">
        <w:t xml:space="preserve"> </w:t>
      </w:r>
      <w:r>
        <w:t>verfügt über Betriebsinventurdaten, die anlässlich der mittel- und langfristigen Forstb</w:t>
      </w:r>
      <w:r>
        <w:t>e</w:t>
      </w:r>
      <w:r>
        <w:t>triebsplanung (Forsteinrichtung) in den Forstbetrieben erhoben werden. Dabei wird auch der Hol</w:t>
      </w:r>
      <w:r>
        <w:t>z</w:t>
      </w:r>
      <w:r>
        <w:t>vorrat erfasst. Die Forsteinrichtungen der BaySF erfolgen jeweils stichtagsbezogen für die einze</w:t>
      </w:r>
      <w:r>
        <w:t>l</w:t>
      </w:r>
      <w:r>
        <w:t>nen Forstbetriebe grundsätzlich alle zehn Jahre und damit zeitlich rollierend.</w:t>
      </w:r>
    </w:p>
    <w:p w:rsidR="00E330FE" w:rsidRDefault="00E330FE" w:rsidP="00B65B07">
      <w:pPr>
        <w:pStyle w:val="LTAntwortRessortText"/>
        <w:spacing w:before="360"/>
      </w:pPr>
      <w:r>
        <w:t>Etwa vier Forstbetriebe können je Jahr erfasst und beplant werden. Daher sind Start- und Ablau</w:t>
      </w:r>
      <w:r>
        <w:t>f</w:t>
      </w:r>
      <w:r>
        <w:t>zeitpunkt der Forsteinrichtung der Forstbetriebe verschieden. Der gewünschte Vergleich der Vorr</w:t>
      </w:r>
      <w:r>
        <w:t>ä</w:t>
      </w:r>
      <w:r>
        <w:t xml:space="preserve">te von heute und von vor </w:t>
      </w:r>
      <w:r w:rsidR="00B90441">
        <w:t>zehn</w:t>
      </w:r>
      <w:r>
        <w:t xml:space="preserve"> Jahren ist nicht darstellbar, da die Forsteinrichtungen jeweils unte</w:t>
      </w:r>
      <w:r>
        <w:t>r</w:t>
      </w:r>
      <w:r>
        <w:t>schiedliche Stichtage aufweisen. Eine stichtagsbezogene Datenerfassung für die Gesamtfläche der BaySF erfolgt nicht.</w:t>
      </w:r>
    </w:p>
    <w:p w:rsidR="00E330FE" w:rsidRDefault="00E330FE" w:rsidP="00B65B07">
      <w:pPr>
        <w:pStyle w:val="LTAntwortRessortText"/>
        <w:spacing w:before="360"/>
      </w:pPr>
      <w:r>
        <w:t xml:space="preserve">Ersatzweise können die Ergebnisse der </w:t>
      </w:r>
      <w:r w:rsidR="00B90441" w:rsidRPr="00B90441">
        <w:t xml:space="preserve">Bundeswaldinventur </w:t>
      </w:r>
      <w:r w:rsidR="00B90441">
        <w:t>(</w:t>
      </w:r>
      <w:r>
        <w:t>BWI</w:t>
      </w:r>
      <w:r w:rsidR="00B90441">
        <w:t>)</w:t>
      </w:r>
      <w:r>
        <w:t xml:space="preserve"> der Jahre 2002 und 2012 he</w:t>
      </w:r>
      <w:r>
        <w:t>r</w:t>
      </w:r>
      <w:r>
        <w:t>angezogen werden. Diese liegen allerdings nur regierungsbezirksweise und nicht getrennt nach Besitzarten vor. Es wird darauf hingewiesen, dass die statistische Aussagekraft der BWI-Daten bei regierungsbezirksweiser Angabe in der nachstehenden Tabelle gegenüber den bayernweiten We</w:t>
      </w:r>
      <w:r>
        <w:t>r</w:t>
      </w:r>
      <w:r>
        <w:t>ten erheblich geringer ist:</w:t>
      </w:r>
    </w:p>
    <w:p w:rsidR="00B65B07" w:rsidRDefault="00B65B07">
      <w:pPr>
        <w:rPr>
          <w:b/>
        </w:rPr>
      </w:pPr>
      <w:r>
        <w:rPr>
          <w:b/>
        </w:rPr>
        <w:br w:type="page"/>
      </w:r>
    </w:p>
    <w:p w:rsidR="00E330FE" w:rsidRPr="00B90441" w:rsidRDefault="00B90441" w:rsidP="00E330FE">
      <w:pPr>
        <w:pStyle w:val="LTAntwortRessortText"/>
        <w:rPr>
          <w:b/>
        </w:rPr>
      </w:pPr>
      <w:r w:rsidRPr="00B90441">
        <w:rPr>
          <w:b/>
        </w:rPr>
        <w:lastRenderedPageBreak/>
        <w:t>Entwicklung der Holzvorräte in den Regierungsbezirken in Mio. Vorratsfestmeter</w:t>
      </w:r>
    </w:p>
    <w:p w:rsidR="00E330FE" w:rsidRDefault="00E330FE" w:rsidP="00B90441">
      <w:pPr>
        <w:pStyle w:val="LTAntwortRessortText"/>
        <w:spacing w:before="1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gridCol w:w="850"/>
      </w:tblGrid>
      <w:tr w:rsidR="00B90441" w:rsidRPr="00B90441" w:rsidTr="00B90441">
        <w:tc>
          <w:tcPr>
            <w:tcW w:w="2376" w:type="dxa"/>
            <w:shd w:val="clear" w:color="auto" w:fill="auto"/>
          </w:tcPr>
          <w:p w:rsidR="00B90441" w:rsidRPr="00B90441" w:rsidRDefault="00B90441" w:rsidP="00B90441">
            <w:pPr>
              <w:spacing w:line="400" w:lineRule="exact"/>
              <w:jc w:val="center"/>
              <w:rPr>
                <w:rFonts w:ascii="Times New Roman" w:hAnsi="Times New Roman"/>
                <w:b/>
                <w:szCs w:val="20"/>
              </w:rPr>
            </w:pPr>
            <w:r w:rsidRPr="00B90441">
              <w:rPr>
                <w:rFonts w:ascii="Times New Roman" w:hAnsi="Times New Roman"/>
                <w:b/>
                <w:szCs w:val="20"/>
              </w:rPr>
              <w:t>Regierungsbezirk</w:t>
            </w:r>
          </w:p>
        </w:tc>
        <w:tc>
          <w:tcPr>
            <w:tcW w:w="993" w:type="dxa"/>
            <w:shd w:val="clear" w:color="auto" w:fill="auto"/>
          </w:tcPr>
          <w:p w:rsidR="00B90441" w:rsidRPr="00B90441" w:rsidRDefault="00B90441" w:rsidP="00B90441">
            <w:pPr>
              <w:spacing w:line="400" w:lineRule="exact"/>
              <w:jc w:val="center"/>
              <w:rPr>
                <w:rFonts w:ascii="Times New Roman" w:hAnsi="Times New Roman"/>
                <w:b/>
                <w:szCs w:val="20"/>
              </w:rPr>
            </w:pPr>
            <w:r w:rsidRPr="00B90441">
              <w:rPr>
                <w:rFonts w:ascii="Times New Roman" w:hAnsi="Times New Roman"/>
                <w:b/>
                <w:szCs w:val="20"/>
              </w:rPr>
              <w:t>2002</w:t>
            </w:r>
          </w:p>
        </w:tc>
        <w:tc>
          <w:tcPr>
            <w:tcW w:w="850" w:type="dxa"/>
            <w:shd w:val="clear" w:color="auto" w:fill="auto"/>
          </w:tcPr>
          <w:p w:rsidR="00B90441" w:rsidRPr="00B90441" w:rsidRDefault="00B90441" w:rsidP="00B90441">
            <w:pPr>
              <w:spacing w:line="400" w:lineRule="exact"/>
              <w:jc w:val="center"/>
              <w:rPr>
                <w:rFonts w:ascii="Times New Roman" w:hAnsi="Times New Roman"/>
                <w:b/>
                <w:szCs w:val="20"/>
              </w:rPr>
            </w:pPr>
            <w:r w:rsidRPr="00B90441">
              <w:rPr>
                <w:rFonts w:ascii="Times New Roman" w:hAnsi="Times New Roman"/>
                <w:b/>
                <w:szCs w:val="20"/>
              </w:rPr>
              <w:t>2012</w:t>
            </w:r>
          </w:p>
        </w:tc>
      </w:tr>
      <w:tr w:rsidR="00B90441" w:rsidRPr="00B90441" w:rsidTr="00B90441">
        <w:tc>
          <w:tcPr>
            <w:tcW w:w="2376" w:type="dxa"/>
            <w:shd w:val="clear" w:color="auto" w:fill="auto"/>
          </w:tcPr>
          <w:p w:rsidR="00B90441" w:rsidRPr="00B90441" w:rsidRDefault="00B90441" w:rsidP="00B90441">
            <w:pPr>
              <w:spacing w:line="400" w:lineRule="exact"/>
              <w:rPr>
                <w:rFonts w:ascii="Times New Roman" w:hAnsi="Times New Roman"/>
                <w:szCs w:val="20"/>
              </w:rPr>
            </w:pPr>
            <w:r w:rsidRPr="00B90441">
              <w:rPr>
                <w:rFonts w:ascii="Times New Roman" w:hAnsi="Times New Roman"/>
                <w:szCs w:val="20"/>
              </w:rPr>
              <w:t>Oberfranken</w:t>
            </w:r>
          </w:p>
        </w:tc>
        <w:tc>
          <w:tcPr>
            <w:tcW w:w="993" w:type="dxa"/>
            <w:shd w:val="clear" w:color="auto" w:fill="auto"/>
          </w:tcPr>
          <w:p w:rsidR="00B90441" w:rsidRPr="00B90441" w:rsidRDefault="00B90441" w:rsidP="00B90441">
            <w:pPr>
              <w:spacing w:line="400" w:lineRule="exact"/>
              <w:jc w:val="right"/>
              <w:rPr>
                <w:rFonts w:ascii="Times New Roman" w:hAnsi="Times New Roman"/>
                <w:szCs w:val="20"/>
              </w:rPr>
            </w:pPr>
            <w:r w:rsidRPr="00B90441">
              <w:rPr>
                <w:rFonts w:ascii="Times New Roman" w:hAnsi="Times New Roman"/>
                <w:szCs w:val="20"/>
              </w:rPr>
              <w:t>106,8</w:t>
            </w:r>
          </w:p>
        </w:tc>
        <w:tc>
          <w:tcPr>
            <w:tcW w:w="850" w:type="dxa"/>
            <w:shd w:val="clear" w:color="auto" w:fill="auto"/>
          </w:tcPr>
          <w:p w:rsidR="00B90441" w:rsidRPr="00B90441" w:rsidRDefault="00B90441" w:rsidP="00B90441">
            <w:pPr>
              <w:spacing w:line="400" w:lineRule="exact"/>
              <w:jc w:val="right"/>
              <w:rPr>
                <w:rFonts w:ascii="Times New Roman" w:hAnsi="Times New Roman"/>
                <w:szCs w:val="20"/>
              </w:rPr>
            </w:pPr>
            <w:r w:rsidRPr="00B90441">
              <w:rPr>
                <w:rFonts w:ascii="Times New Roman" w:hAnsi="Times New Roman"/>
                <w:szCs w:val="20"/>
              </w:rPr>
              <w:t>107,2</w:t>
            </w:r>
          </w:p>
        </w:tc>
      </w:tr>
      <w:tr w:rsidR="00B90441" w:rsidRPr="00B90441" w:rsidTr="00B90441">
        <w:tc>
          <w:tcPr>
            <w:tcW w:w="2376" w:type="dxa"/>
            <w:shd w:val="clear" w:color="auto" w:fill="auto"/>
          </w:tcPr>
          <w:p w:rsidR="00B90441" w:rsidRPr="00B90441" w:rsidRDefault="00B90441" w:rsidP="00B90441">
            <w:pPr>
              <w:spacing w:line="400" w:lineRule="exact"/>
              <w:rPr>
                <w:rFonts w:ascii="Times New Roman" w:hAnsi="Times New Roman"/>
                <w:szCs w:val="20"/>
              </w:rPr>
            </w:pPr>
            <w:r w:rsidRPr="00B90441">
              <w:rPr>
                <w:rFonts w:ascii="Times New Roman" w:hAnsi="Times New Roman"/>
                <w:szCs w:val="20"/>
              </w:rPr>
              <w:t>Mittelfranken</w:t>
            </w:r>
          </w:p>
        </w:tc>
        <w:tc>
          <w:tcPr>
            <w:tcW w:w="993" w:type="dxa"/>
            <w:shd w:val="clear" w:color="auto" w:fill="auto"/>
          </w:tcPr>
          <w:p w:rsidR="00B90441" w:rsidRPr="00B90441" w:rsidRDefault="00B90441" w:rsidP="00B90441">
            <w:pPr>
              <w:spacing w:line="400" w:lineRule="exact"/>
              <w:jc w:val="right"/>
              <w:rPr>
                <w:rFonts w:ascii="Times New Roman" w:hAnsi="Times New Roman"/>
                <w:szCs w:val="20"/>
              </w:rPr>
            </w:pPr>
            <w:r w:rsidRPr="00B90441">
              <w:rPr>
                <w:rFonts w:ascii="Times New Roman" w:hAnsi="Times New Roman"/>
                <w:szCs w:val="20"/>
              </w:rPr>
              <w:t>93,0</w:t>
            </w:r>
          </w:p>
        </w:tc>
        <w:tc>
          <w:tcPr>
            <w:tcW w:w="850" w:type="dxa"/>
            <w:shd w:val="clear" w:color="auto" w:fill="auto"/>
          </w:tcPr>
          <w:p w:rsidR="00B90441" w:rsidRPr="00B90441" w:rsidRDefault="00B90441" w:rsidP="00B90441">
            <w:pPr>
              <w:spacing w:line="400" w:lineRule="exact"/>
              <w:jc w:val="right"/>
              <w:rPr>
                <w:rFonts w:ascii="Times New Roman" w:hAnsi="Times New Roman"/>
                <w:szCs w:val="20"/>
              </w:rPr>
            </w:pPr>
            <w:r w:rsidRPr="00B90441">
              <w:rPr>
                <w:rFonts w:ascii="Times New Roman" w:hAnsi="Times New Roman"/>
                <w:szCs w:val="20"/>
              </w:rPr>
              <w:t>93,4</w:t>
            </w:r>
          </w:p>
        </w:tc>
      </w:tr>
      <w:tr w:rsidR="00B90441" w:rsidRPr="00B90441" w:rsidTr="00B90441">
        <w:tc>
          <w:tcPr>
            <w:tcW w:w="2376" w:type="dxa"/>
            <w:shd w:val="clear" w:color="auto" w:fill="auto"/>
          </w:tcPr>
          <w:p w:rsidR="00B90441" w:rsidRPr="00B90441" w:rsidRDefault="00B90441" w:rsidP="00B90441">
            <w:pPr>
              <w:spacing w:line="400" w:lineRule="exact"/>
              <w:rPr>
                <w:rFonts w:ascii="Times New Roman" w:hAnsi="Times New Roman"/>
                <w:szCs w:val="20"/>
              </w:rPr>
            </w:pPr>
            <w:r w:rsidRPr="00B90441">
              <w:rPr>
                <w:rFonts w:ascii="Times New Roman" w:hAnsi="Times New Roman"/>
                <w:szCs w:val="20"/>
              </w:rPr>
              <w:t>Unterfranken</w:t>
            </w:r>
          </w:p>
        </w:tc>
        <w:tc>
          <w:tcPr>
            <w:tcW w:w="993" w:type="dxa"/>
            <w:shd w:val="clear" w:color="auto" w:fill="auto"/>
          </w:tcPr>
          <w:p w:rsidR="00B90441" w:rsidRPr="00B90441" w:rsidRDefault="00B90441" w:rsidP="00B90441">
            <w:pPr>
              <w:spacing w:line="400" w:lineRule="exact"/>
              <w:jc w:val="right"/>
              <w:rPr>
                <w:rFonts w:ascii="Times New Roman" w:hAnsi="Times New Roman"/>
                <w:szCs w:val="20"/>
              </w:rPr>
            </w:pPr>
            <w:r w:rsidRPr="00B90441">
              <w:rPr>
                <w:rFonts w:ascii="Times New Roman" w:hAnsi="Times New Roman"/>
                <w:szCs w:val="20"/>
              </w:rPr>
              <w:t>120,6</w:t>
            </w:r>
          </w:p>
        </w:tc>
        <w:tc>
          <w:tcPr>
            <w:tcW w:w="850" w:type="dxa"/>
            <w:shd w:val="clear" w:color="auto" w:fill="auto"/>
          </w:tcPr>
          <w:p w:rsidR="00B90441" w:rsidRPr="00B90441" w:rsidRDefault="00B90441" w:rsidP="00B90441">
            <w:pPr>
              <w:spacing w:line="400" w:lineRule="exact"/>
              <w:jc w:val="right"/>
              <w:rPr>
                <w:rFonts w:ascii="Times New Roman" w:hAnsi="Times New Roman"/>
                <w:szCs w:val="20"/>
              </w:rPr>
            </w:pPr>
            <w:r w:rsidRPr="00B90441">
              <w:rPr>
                <w:rFonts w:ascii="Times New Roman" w:hAnsi="Times New Roman"/>
                <w:szCs w:val="20"/>
              </w:rPr>
              <w:t>124,6</w:t>
            </w:r>
          </w:p>
        </w:tc>
      </w:tr>
    </w:tbl>
    <w:p w:rsidR="00E330FE" w:rsidRPr="00B90441" w:rsidRDefault="00E330FE" w:rsidP="00E330FE">
      <w:pPr>
        <w:pStyle w:val="LTAntwortRessortText"/>
        <w:rPr>
          <w:u w:val="single"/>
        </w:rPr>
      </w:pPr>
      <w:r w:rsidRPr="00B90441">
        <w:rPr>
          <w:u w:val="single"/>
        </w:rPr>
        <w:t>Zahl der Forstberechtigten</w:t>
      </w:r>
    </w:p>
    <w:p w:rsidR="00E330FE" w:rsidRDefault="00E330FE" w:rsidP="00B90441">
      <w:pPr>
        <w:pStyle w:val="LTAntwortRessortText"/>
        <w:spacing w:before="120"/>
      </w:pPr>
      <w:r>
        <w:t>Eine konkrete Beantwortung der Teilfrage ist nicht möglich, weil belastbare und mit einem vertretb</w:t>
      </w:r>
      <w:r>
        <w:t>a</w:t>
      </w:r>
      <w:r>
        <w:t>ren Aufwand zu erhebende Aussagen nur auf Forstbetriebsebene, nicht jedoch für einzelne Teilfl</w:t>
      </w:r>
      <w:r>
        <w:t>ä</w:t>
      </w:r>
      <w:r>
        <w:t>chen getroffen werden können. Im Steigerwald kommt hinzu, dass es nach hiesigem Kenntnisstand derzeit noch keinerlei Vorstellungen hinsichtlich einer möglichen Flächenkulisse für einen Nationa</w:t>
      </w:r>
      <w:r>
        <w:t>l</w:t>
      </w:r>
      <w:r>
        <w:t xml:space="preserve">park gibt. </w:t>
      </w:r>
    </w:p>
    <w:p w:rsidR="00E330FE" w:rsidRDefault="00E330FE" w:rsidP="00E330FE">
      <w:pPr>
        <w:pStyle w:val="LTAntwortRessortText"/>
      </w:pPr>
      <w:r>
        <w:t>Hilfsweise können aber Angaben zu der Anzahl der Forstberechtigten in den Forstbetrieben Ebrach und Rothenbuch gemacht werden.</w:t>
      </w:r>
    </w:p>
    <w:p w:rsidR="00E330FE" w:rsidRDefault="00E330FE" w:rsidP="00E330FE">
      <w:pPr>
        <w:pStyle w:val="LTAntwortRessortText"/>
      </w:pPr>
      <w:r>
        <w:t>Der Forstbetrieb Ebrach (Betriebsgröße: 17.043 ha) deckt im Wesentlichen den im Staatseigentum befindlichen Bereich des Steigerwaldes ab. Die im Spessart diskutierte Flächenkulisse eines mögl</w:t>
      </w:r>
      <w:r>
        <w:t>i</w:t>
      </w:r>
      <w:r>
        <w:t>chen Nationalparks liegt vollständig innerhalb des Forstbetriebs Rothenbuch (Betriebsgröße: 17.282 ha).</w:t>
      </w:r>
    </w:p>
    <w:p w:rsidR="00E330FE" w:rsidRDefault="00E330FE" w:rsidP="00E330FE">
      <w:pPr>
        <w:pStyle w:val="LTAntwortRessortText"/>
      </w:pPr>
      <w:r>
        <w:t>Nach Angabe der BaySF gibt es im Forstbetrieb Ebrach (Steigerwald) ca. 100 Forstberechtigte. Im Wesentlichen handelt es sich dabei um umfangreiche Ansprüche auf Bezug von Brennholz.</w:t>
      </w:r>
    </w:p>
    <w:p w:rsidR="00E330FE" w:rsidRDefault="00E330FE" w:rsidP="00E330FE">
      <w:pPr>
        <w:pStyle w:val="LTAntwortRessortText"/>
      </w:pPr>
      <w:r>
        <w:t>Im Bereich des Forstbetriebs Rothenbuch (Spessart) stellt sich die Forstrechtssituation etwas diff</w:t>
      </w:r>
      <w:r>
        <w:t>e</w:t>
      </w:r>
      <w:r>
        <w:t>renzierter dar:</w:t>
      </w:r>
    </w:p>
    <w:p w:rsidR="00E330FE" w:rsidRDefault="00E330FE" w:rsidP="00B90441">
      <w:pPr>
        <w:pStyle w:val="LTAntwortRessortText"/>
        <w:spacing w:before="120"/>
      </w:pPr>
      <w:r>
        <w:t>Den Schwerpunkt bilden die sog. Spessartforstrechte, bei denen alle Bürger der insgesamt 17 b</w:t>
      </w:r>
      <w:r>
        <w:t>e</w:t>
      </w:r>
      <w:r>
        <w:t>rechtigten Gemeinden bezugsberechtigt sind, soweit ein Bedarf für die Ausübung des Rechts b</w:t>
      </w:r>
      <w:r>
        <w:t>e</w:t>
      </w:r>
      <w:r>
        <w:t>steht. Ein Bedarf besteht, sobald die Möglichkeit zum Verfeuern von Holz gegeben ist. Nach hies</w:t>
      </w:r>
      <w:r>
        <w:t>i</w:t>
      </w:r>
      <w:r>
        <w:t xml:space="preserve">gem Kenntnisstand beträgt die Einwohnerzahl der 17 berechtigten Gemeinden rd. 40.000. </w:t>
      </w:r>
    </w:p>
    <w:p w:rsidR="00E330FE" w:rsidRDefault="00E330FE" w:rsidP="00E330FE">
      <w:pPr>
        <w:pStyle w:val="LTAntwortRessortText"/>
      </w:pPr>
      <w:r>
        <w:t xml:space="preserve">Inhalt der </w:t>
      </w:r>
      <w:r w:rsidR="00793F8E">
        <w:t>„</w:t>
      </w:r>
      <w:r>
        <w:t>Spessartforstrechte</w:t>
      </w:r>
      <w:r w:rsidR="00793F8E">
        <w:t>“</w:t>
      </w:r>
      <w:r>
        <w:t xml:space="preserve"> sind in erster Linie Holzbezugsrechte, daneben auch Weide-, Streu- und Mastrechte, die im Gegensatz zu den Holzbezugsrechten aber heute keine Bedeutung mehr haben.</w:t>
      </w:r>
    </w:p>
    <w:p w:rsidR="00E330FE" w:rsidRDefault="00E330FE" w:rsidP="00E330FE">
      <w:pPr>
        <w:pStyle w:val="LTAntwortRessortText"/>
      </w:pPr>
      <w:r>
        <w:t>Daneben gibt es noch ca. 20 berechtigte Einzelanwesen, die fast ausschließlich holzbezugsberec</w:t>
      </w:r>
      <w:r>
        <w:t>h</w:t>
      </w:r>
      <w:r>
        <w:t>tigt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Dr. Leopold</w:t>
            </w:r>
            <w:r w:rsidRPr="00E330FE">
              <w:rPr>
                <w:b/>
              </w:rPr>
              <w:br/>
              <w:t>Herz</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56" w:name="_Toc477421183"/>
            <w:r>
              <w:instrText>Dr. Herz, Leopold (FREIE WÄHLER)</w:instrText>
            </w:r>
            <w:r>
              <w:br/>
              <w:instrText>Entwicklung der landwirtschaftlichen Betriebe</w:instrText>
            </w:r>
            <w:bookmarkEnd w:id="56"/>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01CC5">
            <w:pPr>
              <w:pStyle w:val="LTAnfrageText"/>
            </w:pPr>
            <w:r>
              <w:t>Ich frage die Staatsregierung, wie hat sich die Anzahl der landwirtschaftlichen Betriebe (aufgegliedert nach Haupt- und Nebenerwerbsbetrieben) von 2.000 bis jetzt im Allgäu verändert (aufgelistet nach Ober-, Unter-, Ostallgäu und Land</w:t>
            </w:r>
            <w:r w:rsidR="00E01CC5">
              <w:softHyphen/>
            </w:r>
            <w:r>
              <w:t xml:space="preserve">kreis Lindau </w:t>
            </w:r>
            <w:r w:rsidR="00E01CC5">
              <w:t>–</w:t>
            </w:r>
            <w:r>
              <w:t xml:space="preserve"> Veränderung pro Jahr) und wie viele landwirtschaftliche Betriebe (aufgegliedert nach Haupt- und Nebenerwerbsbetrieben) gibt es de</w:t>
            </w:r>
            <w:r>
              <w:t>r</w:t>
            </w:r>
            <w:r>
              <w:t>zeit noch im Allgäu (aufgelistet nach Ober-, Unter-, Ostallgäu und Landkreis Lindau) und wie sieht die Staatsregierung die Entwicklung der klein- und mi</w:t>
            </w:r>
            <w:r>
              <w:t>t</w:t>
            </w:r>
            <w:r>
              <w:t>telbäuerlichen Landwirtschaft im Allgäu?</w:t>
            </w:r>
          </w:p>
        </w:tc>
      </w:tr>
    </w:tbl>
    <w:p w:rsidR="00E330FE" w:rsidRDefault="00E330FE" w:rsidP="00E330FE">
      <w:pPr>
        <w:pStyle w:val="LTUeberschrAntwortRessort"/>
      </w:pPr>
      <w:r>
        <w:lastRenderedPageBreak/>
        <w:t>Antwort des Staatsministeriums für Ernährung, Landwirtschaft und Forsten</w:t>
      </w:r>
    </w:p>
    <w:p w:rsidR="00E330FE" w:rsidRDefault="00E330FE" w:rsidP="00E330FE">
      <w:pPr>
        <w:pStyle w:val="LTAntwortRessortText"/>
      </w:pPr>
      <w:r>
        <w:t>Die Entwicklung der Betriebe zeigt nachfolgende Tabelle:</w:t>
      </w:r>
    </w:p>
    <w:p w:rsidR="00E330FE" w:rsidRDefault="0008006F" w:rsidP="00E330FE">
      <w:pPr>
        <w:pStyle w:val="LTAntwortRessortText"/>
      </w:pPr>
      <w:r>
        <w:rPr>
          <w:noProof/>
        </w:rPr>
        <w:drawing>
          <wp:inline distT="0" distB="0" distL="0" distR="0" wp14:anchorId="6E1CC3F5">
            <wp:extent cx="5438140" cy="2295525"/>
            <wp:effectExtent l="0" t="0" r="0" b="9525"/>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8140" cy="2295525"/>
                    </a:xfrm>
                    <a:prstGeom prst="rect">
                      <a:avLst/>
                    </a:prstGeom>
                    <a:noFill/>
                  </pic:spPr>
                </pic:pic>
              </a:graphicData>
            </a:graphic>
          </wp:inline>
        </w:drawing>
      </w:r>
    </w:p>
    <w:p w:rsidR="00E330FE" w:rsidRPr="0008006F" w:rsidRDefault="0008006F" w:rsidP="0008006F">
      <w:pPr>
        <w:pStyle w:val="LTAntwortRessortText"/>
        <w:spacing w:before="60"/>
        <w:rPr>
          <w:sz w:val="16"/>
          <w:szCs w:val="16"/>
        </w:rPr>
      </w:pPr>
      <w:r w:rsidRPr="0008006F">
        <w:rPr>
          <w:sz w:val="16"/>
          <w:szCs w:val="16"/>
        </w:rPr>
        <w:t>(Quelle: InVeKoS)</w:t>
      </w:r>
    </w:p>
    <w:p w:rsidR="00E330FE" w:rsidRDefault="00E330FE" w:rsidP="00E330FE">
      <w:pPr>
        <w:pStyle w:val="LTAntwortRessortText"/>
      </w:pPr>
      <w:r>
        <w:t>Dass es heute noch so viele landwirtschaftliche Betriebe im Allgäu gibt, ist zum einen ein Ausdruck der Kreativität und der unternehmerischen Fähigkeiten der dort ansässigen Betriebsleiterfamilien und ihrer Verbundenheit mit dem Hof. Viele Betriebe haben die guten</w:t>
      </w:r>
      <w:r w:rsidR="0008006F">
        <w:t xml:space="preserve"> Voraussetzungen vor Ort</w:t>
      </w:r>
      <w:r w:rsidR="00E01CC5">
        <w:t>,</w:t>
      </w:r>
      <w:r w:rsidR="0008006F">
        <w:t xml:space="preserve"> wie z.</w:t>
      </w:r>
      <w:r>
        <w:t>B. die gute Infrastruktur und hohe Kaufkraft vor Ort</w:t>
      </w:r>
      <w:r w:rsidR="00E01CC5">
        <w:t>,</w:t>
      </w:r>
      <w:r>
        <w:t xml:space="preserve"> genutzt und neben dem landwirtschaftlichen Kerngeschäft weitere unternehmerische Standbeine auf- und ausgebaut, etwa im Bereich des U</w:t>
      </w:r>
      <w:r>
        <w:t>r</w:t>
      </w:r>
      <w:r>
        <w:t>laubs auf dem Bauernhof, der Erzeugung erneuerbarer Energien oder der Direktvermarktung.</w:t>
      </w:r>
    </w:p>
    <w:p w:rsidR="00E330FE" w:rsidRDefault="00E330FE" w:rsidP="00E330FE">
      <w:pPr>
        <w:pStyle w:val="LTAntwortRessortText"/>
      </w:pPr>
      <w:r>
        <w:t>Auch die bayerische Agrarpolitik mit ihren zielgerichteten Fördermaßnahmen und sonstigen Initiat</w:t>
      </w:r>
      <w:r>
        <w:t>i</w:t>
      </w:r>
      <w:r>
        <w:t xml:space="preserve">ven hat dazu beigetragen, dass der Strukturwandel, insbesondere auch im Allgäu, heute so gering ist wie schon lange nicht mehr. </w:t>
      </w:r>
    </w:p>
    <w:p w:rsidR="00E330FE" w:rsidRDefault="00E330FE" w:rsidP="00E330FE">
      <w:pPr>
        <w:pStyle w:val="LTAntwortRessortText"/>
      </w:pPr>
      <w:r>
        <w:t>Wenn die Betriebsleiter die Chancen auf den Märkten erkennen und zu nutzen verstehen, eigene Ideen zur Weiterentwicklung der Betriebe entwickeln und den Mut haben</w:t>
      </w:r>
      <w:r w:rsidR="00E01CC5">
        <w:t>,</w:t>
      </w:r>
      <w:r>
        <w:t xml:space="preserve"> diese in Angriff zu ne</w:t>
      </w:r>
      <w:r>
        <w:t>h</w:t>
      </w:r>
      <w:r>
        <w:t>men sowie die für ihren Betrieb passenden agrarpolitischen Maßnahmen wahrnehmen, bestehen gute Perspektiven. Ziel des bayerischen Weges in der Agrarpolitik war, ist und bleibt es, allen B</w:t>
      </w:r>
      <w:r>
        <w:t>e</w:t>
      </w:r>
      <w:r>
        <w:t>trieben unabhängig von der Größe und Produktionsausrichtung Perspektiven zu geben.</w:t>
      </w:r>
    </w:p>
    <w:p w:rsidR="00B65B07" w:rsidRDefault="00B65B07" w:rsidP="00E330FE">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Ruth</w:t>
            </w:r>
            <w:r w:rsidRPr="00E330FE">
              <w:rPr>
                <w:b/>
              </w:rPr>
              <w:br/>
              <w:t>Müller</w:t>
            </w:r>
            <w:r w:rsidRPr="00E330FE">
              <w:rPr>
                <w:b/>
              </w:rPr>
              <w:br/>
            </w:r>
            <w:r w:rsidRPr="00E330FE">
              <w:t>(SPD)</w:t>
            </w:r>
            <w:r>
              <w:fldChar w:fldCharType="begin"/>
            </w:r>
            <w:r>
              <w:instrText xml:space="preserve"> TC </w:instrText>
            </w:r>
            <w:r w:rsidR="00793F8E">
              <w:instrText>„</w:instrText>
            </w:r>
            <w:bookmarkStart w:id="57" w:name="_Toc477421184"/>
            <w:r>
              <w:instrText>Müller, Ruth (SPD)</w:instrText>
            </w:r>
            <w:r>
              <w:br/>
              <w:instrText>Maßvolle Umschichtung von Direktzahlungen in die zweite Säule</w:instrText>
            </w:r>
            <w:bookmarkEnd w:id="57"/>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B65B07">
            <w:pPr>
              <w:pStyle w:val="LTAnfrageText"/>
            </w:pPr>
            <w:r>
              <w:t>Ich frage die Staatsregierung, welche monetären Mittel würden im Bereich der Direktzahlungen beim Kompromiss des Bundesrates (Erhöhung der U</w:t>
            </w:r>
            <w:r>
              <w:t>m</w:t>
            </w:r>
            <w:r>
              <w:t>schichtung auf 6 Prozent) in Bayern in die zweite Säule umgeschichtet (bitte Darstellung bayernweit und aufgeschlüsselt nach Regierungsbezirk, auch unter Berücksichtigung der Zuschläge für die ersten Hektare), welche monet</w:t>
            </w:r>
            <w:r>
              <w:t>ä</w:t>
            </w:r>
            <w:r>
              <w:t>ren Mittel würden durch die maßvolle Umschichtung zusätzlich in die zweite Säule nach Bayern fließen (nach dem derzeitigen V</w:t>
            </w:r>
            <w:r w:rsidR="0008006F">
              <w:t xml:space="preserve">erteilungsschlüssel der Mittel </w:t>
            </w:r>
            <w:r>
              <w:t xml:space="preserve">aus der Gemeinschaftsaufgabe </w:t>
            </w:r>
            <w:r w:rsidR="00793F8E">
              <w:t>„</w:t>
            </w:r>
            <w:r>
              <w:t>Verbesserung der Agrarstruktur und des Küstenschutzes</w:t>
            </w:r>
            <w:r w:rsidR="00793F8E">
              <w:t>“</w:t>
            </w:r>
            <w:r>
              <w:t xml:space="preserve"> </w:t>
            </w:r>
            <w:r w:rsidR="0008006F">
              <w:t>–</w:t>
            </w:r>
            <w:r>
              <w:t xml:space="preserve"> GAK) und welche monetären Auswirkungen hätte die erneute Einführung der sogenannten Anreizkomponente im Bereich der Agr</w:t>
            </w:r>
            <w:r>
              <w:t>a</w:t>
            </w:r>
            <w:r>
              <w:t xml:space="preserve">rumweltprogramme (Kulturlandschaftsprogramm </w:t>
            </w:r>
            <w:r w:rsidR="0008006F">
              <w:t>–</w:t>
            </w:r>
            <w:r>
              <w:t xml:space="preserve"> KULAP und Vertragsnatu</w:t>
            </w:r>
            <w:r>
              <w:t>r</w:t>
            </w:r>
            <w:r>
              <w:t>schutzprogramm</w:t>
            </w:r>
            <w:r w:rsidR="00E01CC5">
              <w:t xml:space="preserve"> </w:t>
            </w:r>
            <w:r w:rsidR="0008006F">
              <w:t>–</w:t>
            </w:r>
            <w:r>
              <w:t xml:space="preserve"> VNP)?</w:t>
            </w:r>
          </w:p>
        </w:tc>
      </w:tr>
    </w:tbl>
    <w:p w:rsidR="00E330FE" w:rsidRDefault="00E330FE" w:rsidP="00E330FE">
      <w:pPr>
        <w:pStyle w:val="LTUeberschrAntwortRessort"/>
      </w:pPr>
      <w:r>
        <w:lastRenderedPageBreak/>
        <w:t>Antwort des Staatsministeriums für Ernährung, Landwirtschaft und Forsten</w:t>
      </w:r>
    </w:p>
    <w:p w:rsidR="00E330FE" w:rsidRPr="0008006F" w:rsidRDefault="00E330FE" w:rsidP="00E330FE">
      <w:pPr>
        <w:pStyle w:val="LTAntwortRessortText"/>
        <w:rPr>
          <w:u w:val="single"/>
        </w:rPr>
      </w:pPr>
      <w:r w:rsidRPr="0008006F">
        <w:rPr>
          <w:u w:val="single"/>
        </w:rPr>
        <w:t>Vorbemerkung</w:t>
      </w:r>
      <w:r w:rsidR="0008006F">
        <w:rPr>
          <w:u w:val="single"/>
        </w:rPr>
        <w:t>:</w:t>
      </w:r>
    </w:p>
    <w:p w:rsidR="00E330FE" w:rsidRDefault="00E330FE" w:rsidP="0008006F">
      <w:pPr>
        <w:pStyle w:val="LTAntwortRessortText"/>
        <w:spacing w:before="120"/>
      </w:pPr>
      <w:r>
        <w:t>Am 10. März 2017 hat der Bundesrat mit knapper Mehrheit eine Gesetzesinitiative von Niedersac</w:t>
      </w:r>
      <w:r>
        <w:t>h</w:t>
      </w:r>
      <w:r>
        <w:t>sen und Schleswig-Holstein nach Maßgabe einer Empfehlung des Agrarausschusses angeno</w:t>
      </w:r>
      <w:r>
        <w:t>m</w:t>
      </w:r>
      <w:r>
        <w:t xml:space="preserve">men. Danach sollen in Deutschland über die im Jahr 2013 beschlossenen 4,5 Prozent hinaus ab 2018  6 Prozent der EU-Direktzahlungen aus der ersten Säule in die zweite Säule der </w:t>
      </w:r>
      <w:r w:rsidR="0008006F" w:rsidRPr="0008006F">
        <w:t>Gemeins</w:t>
      </w:r>
      <w:r w:rsidR="0008006F" w:rsidRPr="0008006F">
        <w:t>a</w:t>
      </w:r>
      <w:r w:rsidR="0008006F" w:rsidRPr="0008006F">
        <w:t>me</w:t>
      </w:r>
      <w:r w:rsidR="0008006F">
        <w:t>n</w:t>
      </w:r>
      <w:r w:rsidR="0008006F" w:rsidRPr="0008006F">
        <w:t xml:space="preserve"> Agrarpolitik </w:t>
      </w:r>
      <w:r w:rsidR="0008006F">
        <w:t>(</w:t>
      </w:r>
      <w:r>
        <w:t>GAP</w:t>
      </w:r>
      <w:r w:rsidR="0008006F">
        <w:t>)</w:t>
      </w:r>
      <w:r>
        <w:t xml:space="preserve"> verschoben werden. </w:t>
      </w:r>
    </w:p>
    <w:p w:rsidR="00E330FE" w:rsidRDefault="00E330FE" w:rsidP="00E330FE">
      <w:pPr>
        <w:pStyle w:val="LTAntwortRessortText"/>
      </w:pPr>
      <w:r>
        <w:t>Gemäß der Zielsetzung des Gesetzentwurfs sollen die</w:t>
      </w:r>
      <w:r w:rsidR="0008006F">
        <w:t xml:space="preserve"> umgeschichteten Mittel entspre</w:t>
      </w:r>
      <w:r>
        <w:t>chend ihrem Aufkommen in den Ländern verbleiben. Das würde dem Vorgehen der Länder zum Beschluss der Sonderkonferenz der Agrarminister 2013 entsprechen. Insofern ist hier der Verteilschlüssel der GAK-Mittel nicht relevant. Zudem würden die Abzüge bei den Direktzahlungen bereits in 2018 e</w:t>
      </w:r>
      <w:r>
        <w:t>r</w:t>
      </w:r>
      <w:r>
        <w:t>folgen, während die Mittel in der zweiten Säule erst 2019 und 2020 bereitgestellt werden können.</w:t>
      </w:r>
    </w:p>
    <w:p w:rsidR="00E330FE" w:rsidRPr="0008006F" w:rsidRDefault="00E330FE" w:rsidP="00E330FE">
      <w:pPr>
        <w:pStyle w:val="LTAntwortRessortText"/>
        <w:rPr>
          <w:u w:val="single"/>
        </w:rPr>
      </w:pPr>
      <w:r w:rsidRPr="0008006F">
        <w:rPr>
          <w:u w:val="single"/>
        </w:rPr>
        <w:t>Zur Umschichtung von Direktzahlungen</w:t>
      </w:r>
      <w:r w:rsidR="0008006F">
        <w:rPr>
          <w:u w:val="single"/>
        </w:rPr>
        <w:t>:</w:t>
      </w:r>
    </w:p>
    <w:p w:rsidR="00E330FE" w:rsidRDefault="00E330FE" w:rsidP="0008006F">
      <w:pPr>
        <w:pStyle w:val="LTAntwortRessortText"/>
        <w:spacing w:before="120"/>
      </w:pPr>
      <w:r>
        <w:t>Von der jeweiligen nationalen Obergrenze für Deutschl</w:t>
      </w:r>
      <w:r w:rsidR="0008006F">
        <w:t>and für die Direktzahlungen wer</w:t>
      </w:r>
      <w:r>
        <w:t xml:space="preserve">den bisher schon jeweils 4,5 Prozent in die </w:t>
      </w:r>
      <w:r w:rsidR="0008006F">
        <w:t xml:space="preserve">zweite </w:t>
      </w:r>
      <w:r>
        <w:t>Säule umgeschichtet.</w:t>
      </w:r>
    </w:p>
    <w:p w:rsidR="00E330FE" w:rsidRDefault="00E330FE" w:rsidP="00E330FE">
      <w:pPr>
        <w:pStyle w:val="LTAntwortRessortText"/>
      </w:pPr>
      <w:r>
        <w:t>Die natio</w:t>
      </w:r>
      <w:r w:rsidR="0008006F">
        <w:t>nale Obergrenze für Deutschland</w:t>
      </w:r>
      <w:r>
        <w:t xml:space="preserve"> im Jahr 2018 beträgt für die Direktzahlungen 5.047.458.000 </w:t>
      </w:r>
      <w:r w:rsidR="00793F8E">
        <w:t>Euro</w:t>
      </w:r>
      <w:r>
        <w:t xml:space="preserve">. 1,5 </w:t>
      </w:r>
      <w:r w:rsidR="00793F8E">
        <w:t>Prozent</w:t>
      </w:r>
      <w:r>
        <w:t xml:space="preserve"> davon entsprechen ca. 76 Mio. </w:t>
      </w:r>
      <w:r w:rsidR="00793F8E">
        <w:t>Euro</w:t>
      </w:r>
      <w:r>
        <w:t>. Nachdem der Anteil Bayerns an den gesamten in Deutschland gewährten Direktzahlungen etwa 20 Prozent beträgt (2015: 20,48</w:t>
      </w:r>
      <w:r w:rsidR="007C5B9C">
        <w:t> </w:t>
      </w:r>
      <w:r w:rsidR="00793F8E">
        <w:t>Prozent</w:t>
      </w:r>
      <w:r>
        <w:t xml:space="preserve">) würde Bayern bei den Direktzahlungen ca. 15 Mio. </w:t>
      </w:r>
      <w:r w:rsidR="00793F8E">
        <w:t>Euro</w:t>
      </w:r>
      <w:r>
        <w:t xml:space="preserve"> pro Jahr verlieren.</w:t>
      </w:r>
    </w:p>
    <w:p w:rsidR="00E330FE" w:rsidRDefault="00E330FE" w:rsidP="00E330FE">
      <w:pPr>
        <w:pStyle w:val="LTAntwortRessortText"/>
      </w:pPr>
      <w:r>
        <w:t>Verteilt man diesen Betrag anteilig nach der Höhe der ausbezahlten Direktzahlungen des Antrag</w:t>
      </w:r>
      <w:r>
        <w:t>s</w:t>
      </w:r>
      <w:r>
        <w:t>jahrs 2016, so ergeben sich für die einzelnen Regierungsbezirke folgende Abzüge:</w:t>
      </w:r>
    </w:p>
    <w:p w:rsidR="00E330FE" w:rsidRDefault="00E330FE" w:rsidP="00E330FE">
      <w:pPr>
        <w:pStyle w:val="LTAntwortRessort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316"/>
        <w:gridCol w:w="3293"/>
      </w:tblGrid>
      <w:tr w:rsidR="0008006F" w:rsidRPr="0008006F" w:rsidTr="007C5B9C">
        <w:trPr>
          <w:trHeight w:val="720"/>
        </w:trPr>
        <w:tc>
          <w:tcPr>
            <w:tcW w:w="2620" w:type="dxa"/>
            <w:tcBorders>
              <w:top w:val="single" w:sz="4" w:space="0" w:color="auto"/>
              <w:left w:val="single" w:sz="4" w:space="0" w:color="auto"/>
              <w:bottom w:val="nil"/>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b/>
                <w:bCs/>
                <w:szCs w:val="20"/>
              </w:rPr>
            </w:pPr>
            <w:r w:rsidRPr="0008006F">
              <w:rPr>
                <w:rFonts w:ascii="Times New Roman" w:hAnsi="Times New Roman"/>
                <w:b/>
                <w:bCs/>
                <w:szCs w:val="20"/>
              </w:rPr>
              <w:t>Regierungsbezirk</w:t>
            </w:r>
          </w:p>
        </w:tc>
        <w:tc>
          <w:tcPr>
            <w:tcW w:w="4609" w:type="dxa"/>
            <w:gridSpan w:val="2"/>
            <w:tcBorders>
              <w:top w:val="single" w:sz="4" w:space="0" w:color="auto"/>
              <w:left w:val="single" w:sz="4" w:space="0" w:color="auto"/>
              <w:bottom w:val="nil"/>
              <w:right w:val="single" w:sz="4" w:space="0" w:color="auto"/>
            </w:tcBorders>
            <w:shd w:val="clear" w:color="auto" w:fill="auto"/>
            <w:hideMark/>
          </w:tcPr>
          <w:p w:rsidR="0008006F" w:rsidRPr="0008006F" w:rsidRDefault="0008006F" w:rsidP="007C5B9C">
            <w:pPr>
              <w:spacing w:line="400" w:lineRule="exact"/>
              <w:jc w:val="center"/>
              <w:rPr>
                <w:rFonts w:ascii="Times New Roman" w:hAnsi="Times New Roman"/>
                <w:b/>
                <w:bCs/>
                <w:szCs w:val="20"/>
              </w:rPr>
            </w:pPr>
            <w:r w:rsidRPr="0008006F">
              <w:rPr>
                <w:rFonts w:ascii="Times New Roman" w:hAnsi="Times New Roman"/>
                <w:b/>
                <w:bCs/>
                <w:szCs w:val="20"/>
              </w:rPr>
              <w:t xml:space="preserve">Minderung der </w:t>
            </w:r>
            <w:r w:rsidR="00E01CC5">
              <w:rPr>
                <w:rFonts w:ascii="Times New Roman" w:hAnsi="Times New Roman"/>
                <w:b/>
                <w:bCs/>
                <w:szCs w:val="20"/>
              </w:rPr>
              <w:t>Direktzahlungsprämie</w:t>
            </w:r>
            <w:r w:rsidRPr="0008006F">
              <w:rPr>
                <w:rFonts w:ascii="Times New Roman" w:hAnsi="Times New Roman"/>
                <w:b/>
                <w:bCs/>
                <w:szCs w:val="20"/>
              </w:rPr>
              <w:t xml:space="preserve"> bei erhöhter</w:t>
            </w:r>
            <w:r w:rsidR="007C5B9C">
              <w:rPr>
                <w:rFonts w:ascii="Times New Roman" w:hAnsi="Times New Roman"/>
                <w:b/>
                <w:bCs/>
                <w:szCs w:val="20"/>
              </w:rPr>
              <w:t xml:space="preserve"> </w:t>
            </w:r>
            <w:r w:rsidRPr="0008006F">
              <w:rPr>
                <w:rFonts w:ascii="Times New Roman" w:hAnsi="Times New Roman"/>
                <w:b/>
                <w:bCs/>
                <w:szCs w:val="20"/>
              </w:rPr>
              <w:t>Umschichtung um 1,5 Prozentpunkte</w:t>
            </w:r>
          </w:p>
        </w:tc>
      </w:tr>
      <w:tr w:rsidR="0008006F" w:rsidRPr="0008006F" w:rsidTr="007C5B9C">
        <w:trPr>
          <w:trHeight w:val="375"/>
        </w:trPr>
        <w:tc>
          <w:tcPr>
            <w:tcW w:w="2620" w:type="dxa"/>
            <w:tcBorders>
              <w:top w:val="nil"/>
              <w:left w:val="single" w:sz="4" w:space="0" w:color="auto"/>
              <w:bottom w:val="doub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b/>
                <w:bCs/>
                <w:szCs w:val="20"/>
              </w:rPr>
            </w:pPr>
            <w:r w:rsidRPr="0008006F">
              <w:rPr>
                <w:rFonts w:ascii="Times New Roman" w:hAnsi="Times New Roman"/>
                <w:b/>
                <w:bCs/>
                <w:szCs w:val="20"/>
              </w:rPr>
              <w:t> </w:t>
            </w:r>
          </w:p>
        </w:tc>
        <w:tc>
          <w:tcPr>
            <w:tcW w:w="4609" w:type="dxa"/>
            <w:gridSpan w:val="2"/>
            <w:tcBorders>
              <w:top w:val="nil"/>
              <w:left w:val="single" w:sz="4" w:space="0" w:color="auto"/>
              <w:bottom w:val="double" w:sz="4" w:space="0" w:color="auto"/>
              <w:right w:val="single" w:sz="4" w:space="0" w:color="auto"/>
            </w:tcBorders>
            <w:shd w:val="clear" w:color="auto" w:fill="auto"/>
            <w:hideMark/>
          </w:tcPr>
          <w:p w:rsidR="0008006F" w:rsidRPr="0008006F" w:rsidRDefault="0008006F" w:rsidP="007C5B9C">
            <w:pPr>
              <w:spacing w:line="400" w:lineRule="exact"/>
              <w:jc w:val="center"/>
              <w:rPr>
                <w:rFonts w:ascii="Times New Roman" w:hAnsi="Times New Roman"/>
                <w:szCs w:val="20"/>
              </w:rPr>
            </w:pPr>
            <w:r w:rsidRPr="0008006F">
              <w:rPr>
                <w:rFonts w:ascii="Times New Roman" w:hAnsi="Times New Roman"/>
                <w:szCs w:val="20"/>
              </w:rPr>
              <w:t xml:space="preserve">Beträge in 1 </w:t>
            </w:r>
            <w:r w:rsidR="007C5B9C">
              <w:rPr>
                <w:rFonts w:ascii="Times New Roman" w:hAnsi="Times New Roman"/>
                <w:szCs w:val="20"/>
              </w:rPr>
              <w:t>Mio.</w:t>
            </w:r>
            <w:r w:rsidRPr="0008006F">
              <w:rPr>
                <w:rFonts w:ascii="Times New Roman" w:hAnsi="Times New Roman"/>
                <w:szCs w:val="20"/>
              </w:rPr>
              <w:t xml:space="preserve"> </w:t>
            </w:r>
            <w:r w:rsidR="007C5B9C">
              <w:rPr>
                <w:rFonts w:ascii="Times New Roman" w:hAnsi="Times New Roman"/>
                <w:szCs w:val="20"/>
              </w:rPr>
              <w:t>Euro</w:t>
            </w:r>
          </w:p>
        </w:tc>
      </w:tr>
      <w:tr w:rsidR="0008006F" w:rsidRPr="0008006F" w:rsidTr="007C5B9C">
        <w:trPr>
          <w:trHeight w:val="360"/>
        </w:trPr>
        <w:tc>
          <w:tcPr>
            <w:tcW w:w="2620" w:type="dxa"/>
            <w:tcBorders>
              <w:top w:val="double" w:sz="4" w:space="0" w:color="auto"/>
              <w:left w:val="single" w:sz="4" w:space="0" w:color="auto"/>
              <w:bottom w:val="sing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szCs w:val="20"/>
              </w:rPr>
            </w:pPr>
            <w:r w:rsidRPr="0008006F">
              <w:rPr>
                <w:rFonts w:ascii="Times New Roman" w:hAnsi="Times New Roman"/>
                <w:szCs w:val="20"/>
              </w:rPr>
              <w:t>Schwaben</w:t>
            </w:r>
          </w:p>
        </w:tc>
        <w:tc>
          <w:tcPr>
            <w:tcW w:w="1316" w:type="dxa"/>
            <w:tcBorders>
              <w:top w:val="double" w:sz="4" w:space="0" w:color="auto"/>
              <w:left w:val="single" w:sz="4" w:space="0" w:color="auto"/>
              <w:bottom w:val="single" w:sz="4" w:space="0" w:color="auto"/>
              <w:right w:val="nil"/>
            </w:tcBorders>
            <w:shd w:val="clear" w:color="auto" w:fill="auto"/>
            <w:noWrap/>
            <w:hideMark/>
          </w:tcPr>
          <w:p w:rsidR="0008006F" w:rsidRPr="0008006F" w:rsidRDefault="0008006F" w:rsidP="007C5B9C">
            <w:pPr>
              <w:spacing w:line="400" w:lineRule="exact"/>
              <w:jc w:val="center"/>
              <w:rPr>
                <w:rFonts w:ascii="Times New Roman" w:hAnsi="Times New Roman"/>
                <w:szCs w:val="20"/>
              </w:rPr>
            </w:pPr>
            <w:r w:rsidRPr="0008006F">
              <w:rPr>
                <w:rFonts w:ascii="Times New Roman" w:hAnsi="Times New Roman"/>
                <w:szCs w:val="20"/>
              </w:rPr>
              <w:t>ca.</w:t>
            </w:r>
          </w:p>
        </w:tc>
        <w:tc>
          <w:tcPr>
            <w:tcW w:w="3293" w:type="dxa"/>
            <w:tcBorders>
              <w:top w:val="double" w:sz="4" w:space="0" w:color="auto"/>
              <w:left w:val="nil"/>
              <w:bottom w:val="single" w:sz="4" w:space="0" w:color="auto"/>
              <w:right w:val="single" w:sz="4" w:space="0" w:color="auto"/>
            </w:tcBorders>
            <w:shd w:val="clear" w:color="auto" w:fill="auto"/>
            <w:noWrap/>
            <w:hideMark/>
          </w:tcPr>
          <w:p w:rsidR="0008006F" w:rsidRPr="0008006F" w:rsidRDefault="0008006F" w:rsidP="007C5B9C">
            <w:pPr>
              <w:spacing w:line="400" w:lineRule="exact"/>
              <w:rPr>
                <w:rFonts w:ascii="Times New Roman" w:hAnsi="Times New Roman"/>
                <w:szCs w:val="20"/>
              </w:rPr>
            </w:pPr>
            <w:r w:rsidRPr="0008006F">
              <w:rPr>
                <w:rFonts w:ascii="Times New Roman" w:hAnsi="Times New Roman"/>
                <w:szCs w:val="20"/>
              </w:rPr>
              <w:t>2,5</w:t>
            </w:r>
          </w:p>
        </w:tc>
      </w:tr>
      <w:tr w:rsidR="0008006F" w:rsidRPr="0008006F" w:rsidTr="007C5B9C">
        <w:trPr>
          <w:trHeight w:val="360"/>
        </w:trPr>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szCs w:val="20"/>
              </w:rPr>
            </w:pPr>
            <w:r w:rsidRPr="0008006F">
              <w:rPr>
                <w:rFonts w:ascii="Times New Roman" w:hAnsi="Times New Roman"/>
                <w:szCs w:val="20"/>
              </w:rPr>
              <w:t>Unterfranken</w:t>
            </w:r>
          </w:p>
        </w:tc>
        <w:tc>
          <w:tcPr>
            <w:tcW w:w="1316" w:type="dxa"/>
            <w:tcBorders>
              <w:top w:val="single" w:sz="4" w:space="0" w:color="auto"/>
              <w:left w:val="single" w:sz="4" w:space="0" w:color="auto"/>
              <w:bottom w:val="single" w:sz="4" w:space="0" w:color="auto"/>
              <w:right w:val="nil"/>
            </w:tcBorders>
            <w:shd w:val="clear" w:color="auto" w:fill="auto"/>
            <w:noWrap/>
            <w:hideMark/>
          </w:tcPr>
          <w:p w:rsidR="0008006F" w:rsidRPr="0008006F" w:rsidRDefault="0008006F" w:rsidP="007C5B9C">
            <w:pPr>
              <w:spacing w:line="400" w:lineRule="exact"/>
              <w:jc w:val="center"/>
              <w:rPr>
                <w:rFonts w:ascii="Times New Roman" w:hAnsi="Times New Roman"/>
                <w:szCs w:val="20"/>
              </w:rPr>
            </w:pPr>
            <w:r w:rsidRPr="0008006F">
              <w:rPr>
                <w:rFonts w:ascii="Times New Roman" w:hAnsi="Times New Roman"/>
                <w:szCs w:val="20"/>
              </w:rPr>
              <w:t>ca.</w:t>
            </w:r>
          </w:p>
        </w:tc>
        <w:tc>
          <w:tcPr>
            <w:tcW w:w="3293" w:type="dxa"/>
            <w:tcBorders>
              <w:top w:val="single" w:sz="4" w:space="0" w:color="auto"/>
              <w:left w:val="nil"/>
              <w:bottom w:val="single" w:sz="4" w:space="0" w:color="auto"/>
              <w:right w:val="single" w:sz="4" w:space="0" w:color="auto"/>
            </w:tcBorders>
            <w:shd w:val="clear" w:color="auto" w:fill="auto"/>
            <w:noWrap/>
            <w:hideMark/>
          </w:tcPr>
          <w:p w:rsidR="0008006F" w:rsidRPr="0008006F" w:rsidRDefault="0008006F" w:rsidP="007C5B9C">
            <w:pPr>
              <w:spacing w:line="400" w:lineRule="exact"/>
              <w:rPr>
                <w:rFonts w:ascii="Times New Roman" w:hAnsi="Times New Roman"/>
                <w:szCs w:val="20"/>
              </w:rPr>
            </w:pPr>
            <w:r w:rsidRPr="0008006F">
              <w:rPr>
                <w:rFonts w:ascii="Times New Roman" w:hAnsi="Times New Roman"/>
                <w:szCs w:val="20"/>
              </w:rPr>
              <w:t>1,6</w:t>
            </w:r>
          </w:p>
        </w:tc>
      </w:tr>
      <w:tr w:rsidR="0008006F" w:rsidRPr="0008006F" w:rsidTr="007C5B9C">
        <w:trPr>
          <w:trHeight w:val="360"/>
        </w:trPr>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szCs w:val="20"/>
              </w:rPr>
            </w:pPr>
            <w:r w:rsidRPr="0008006F">
              <w:rPr>
                <w:rFonts w:ascii="Times New Roman" w:hAnsi="Times New Roman"/>
                <w:szCs w:val="20"/>
              </w:rPr>
              <w:t>Mittelfranken</w:t>
            </w:r>
          </w:p>
        </w:tc>
        <w:tc>
          <w:tcPr>
            <w:tcW w:w="1316" w:type="dxa"/>
            <w:tcBorders>
              <w:top w:val="single" w:sz="4" w:space="0" w:color="auto"/>
              <w:left w:val="single" w:sz="4" w:space="0" w:color="auto"/>
              <w:bottom w:val="single" w:sz="4" w:space="0" w:color="auto"/>
              <w:right w:val="nil"/>
            </w:tcBorders>
            <w:shd w:val="clear" w:color="auto" w:fill="auto"/>
            <w:noWrap/>
            <w:hideMark/>
          </w:tcPr>
          <w:p w:rsidR="0008006F" w:rsidRPr="0008006F" w:rsidRDefault="0008006F" w:rsidP="007C5B9C">
            <w:pPr>
              <w:spacing w:line="400" w:lineRule="exact"/>
              <w:jc w:val="center"/>
              <w:rPr>
                <w:rFonts w:ascii="Times New Roman" w:hAnsi="Times New Roman"/>
                <w:szCs w:val="20"/>
              </w:rPr>
            </w:pPr>
            <w:r w:rsidRPr="0008006F">
              <w:rPr>
                <w:rFonts w:ascii="Times New Roman" w:hAnsi="Times New Roman"/>
                <w:szCs w:val="20"/>
              </w:rPr>
              <w:t>ca.</w:t>
            </w:r>
          </w:p>
        </w:tc>
        <w:tc>
          <w:tcPr>
            <w:tcW w:w="3293" w:type="dxa"/>
            <w:tcBorders>
              <w:top w:val="single" w:sz="4" w:space="0" w:color="auto"/>
              <w:left w:val="nil"/>
              <w:bottom w:val="single" w:sz="4" w:space="0" w:color="auto"/>
              <w:right w:val="single" w:sz="4" w:space="0" w:color="auto"/>
            </w:tcBorders>
            <w:shd w:val="clear" w:color="auto" w:fill="auto"/>
            <w:noWrap/>
            <w:hideMark/>
          </w:tcPr>
          <w:p w:rsidR="0008006F" w:rsidRPr="0008006F" w:rsidRDefault="0008006F" w:rsidP="007C5B9C">
            <w:pPr>
              <w:spacing w:line="400" w:lineRule="exact"/>
              <w:rPr>
                <w:rFonts w:ascii="Times New Roman" w:hAnsi="Times New Roman"/>
                <w:szCs w:val="20"/>
              </w:rPr>
            </w:pPr>
            <w:r w:rsidRPr="0008006F">
              <w:rPr>
                <w:rFonts w:ascii="Times New Roman" w:hAnsi="Times New Roman"/>
                <w:szCs w:val="20"/>
              </w:rPr>
              <w:t>1,6</w:t>
            </w:r>
          </w:p>
        </w:tc>
      </w:tr>
      <w:tr w:rsidR="0008006F" w:rsidRPr="0008006F" w:rsidTr="007C5B9C">
        <w:trPr>
          <w:trHeight w:val="360"/>
        </w:trPr>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szCs w:val="20"/>
              </w:rPr>
            </w:pPr>
            <w:r w:rsidRPr="0008006F">
              <w:rPr>
                <w:rFonts w:ascii="Times New Roman" w:hAnsi="Times New Roman"/>
                <w:szCs w:val="20"/>
              </w:rPr>
              <w:t>Oberfranken</w:t>
            </w:r>
          </w:p>
        </w:tc>
        <w:tc>
          <w:tcPr>
            <w:tcW w:w="1316" w:type="dxa"/>
            <w:tcBorders>
              <w:top w:val="single" w:sz="4" w:space="0" w:color="auto"/>
              <w:left w:val="single" w:sz="4" w:space="0" w:color="auto"/>
              <w:bottom w:val="single" w:sz="4" w:space="0" w:color="auto"/>
              <w:right w:val="nil"/>
            </w:tcBorders>
            <w:shd w:val="clear" w:color="auto" w:fill="auto"/>
            <w:noWrap/>
            <w:hideMark/>
          </w:tcPr>
          <w:p w:rsidR="0008006F" w:rsidRPr="0008006F" w:rsidRDefault="0008006F" w:rsidP="007C5B9C">
            <w:pPr>
              <w:spacing w:line="400" w:lineRule="exact"/>
              <w:jc w:val="center"/>
              <w:rPr>
                <w:rFonts w:ascii="Times New Roman" w:hAnsi="Times New Roman"/>
                <w:szCs w:val="20"/>
              </w:rPr>
            </w:pPr>
            <w:r w:rsidRPr="0008006F">
              <w:rPr>
                <w:rFonts w:ascii="Times New Roman" w:hAnsi="Times New Roman"/>
                <w:szCs w:val="20"/>
              </w:rPr>
              <w:t>ca.</w:t>
            </w:r>
          </w:p>
        </w:tc>
        <w:tc>
          <w:tcPr>
            <w:tcW w:w="3293" w:type="dxa"/>
            <w:tcBorders>
              <w:top w:val="single" w:sz="4" w:space="0" w:color="auto"/>
              <w:left w:val="nil"/>
              <w:bottom w:val="single" w:sz="4" w:space="0" w:color="auto"/>
              <w:right w:val="single" w:sz="4" w:space="0" w:color="auto"/>
            </w:tcBorders>
            <w:shd w:val="clear" w:color="auto" w:fill="auto"/>
            <w:noWrap/>
            <w:hideMark/>
          </w:tcPr>
          <w:p w:rsidR="0008006F" w:rsidRPr="0008006F" w:rsidRDefault="0008006F" w:rsidP="007C5B9C">
            <w:pPr>
              <w:spacing w:line="400" w:lineRule="exact"/>
              <w:rPr>
                <w:rFonts w:ascii="Times New Roman" w:hAnsi="Times New Roman"/>
                <w:szCs w:val="20"/>
              </w:rPr>
            </w:pPr>
            <w:r w:rsidRPr="0008006F">
              <w:rPr>
                <w:rFonts w:ascii="Times New Roman" w:hAnsi="Times New Roman"/>
                <w:szCs w:val="20"/>
              </w:rPr>
              <w:t>1,4</w:t>
            </w:r>
          </w:p>
        </w:tc>
      </w:tr>
      <w:tr w:rsidR="0008006F" w:rsidRPr="0008006F" w:rsidTr="007C5B9C">
        <w:trPr>
          <w:trHeight w:val="360"/>
        </w:trPr>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szCs w:val="20"/>
              </w:rPr>
            </w:pPr>
            <w:r w:rsidRPr="0008006F">
              <w:rPr>
                <w:rFonts w:ascii="Times New Roman" w:hAnsi="Times New Roman"/>
                <w:szCs w:val="20"/>
              </w:rPr>
              <w:t>Oberpfalz</w:t>
            </w:r>
          </w:p>
        </w:tc>
        <w:tc>
          <w:tcPr>
            <w:tcW w:w="1316" w:type="dxa"/>
            <w:tcBorders>
              <w:top w:val="single" w:sz="4" w:space="0" w:color="auto"/>
              <w:left w:val="single" w:sz="4" w:space="0" w:color="auto"/>
              <w:bottom w:val="single" w:sz="4" w:space="0" w:color="auto"/>
              <w:right w:val="nil"/>
            </w:tcBorders>
            <w:shd w:val="clear" w:color="auto" w:fill="auto"/>
            <w:noWrap/>
            <w:hideMark/>
          </w:tcPr>
          <w:p w:rsidR="0008006F" w:rsidRPr="0008006F" w:rsidRDefault="0008006F" w:rsidP="007C5B9C">
            <w:pPr>
              <w:spacing w:line="400" w:lineRule="exact"/>
              <w:jc w:val="center"/>
              <w:rPr>
                <w:rFonts w:ascii="Times New Roman" w:hAnsi="Times New Roman"/>
                <w:szCs w:val="20"/>
              </w:rPr>
            </w:pPr>
            <w:r w:rsidRPr="0008006F">
              <w:rPr>
                <w:rFonts w:ascii="Times New Roman" w:hAnsi="Times New Roman"/>
                <w:szCs w:val="20"/>
              </w:rPr>
              <w:t>ca.</w:t>
            </w:r>
          </w:p>
        </w:tc>
        <w:tc>
          <w:tcPr>
            <w:tcW w:w="3293" w:type="dxa"/>
            <w:tcBorders>
              <w:top w:val="single" w:sz="4" w:space="0" w:color="auto"/>
              <w:left w:val="nil"/>
              <w:bottom w:val="single" w:sz="4" w:space="0" w:color="auto"/>
              <w:right w:val="single" w:sz="4" w:space="0" w:color="auto"/>
            </w:tcBorders>
            <w:shd w:val="clear" w:color="auto" w:fill="auto"/>
            <w:noWrap/>
            <w:hideMark/>
          </w:tcPr>
          <w:p w:rsidR="0008006F" w:rsidRPr="0008006F" w:rsidRDefault="0008006F" w:rsidP="007C5B9C">
            <w:pPr>
              <w:spacing w:line="400" w:lineRule="exact"/>
              <w:rPr>
                <w:rFonts w:ascii="Times New Roman" w:hAnsi="Times New Roman"/>
                <w:szCs w:val="20"/>
              </w:rPr>
            </w:pPr>
            <w:r w:rsidRPr="0008006F">
              <w:rPr>
                <w:rFonts w:ascii="Times New Roman" w:hAnsi="Times New Roman"/>
                <w:szCs w:val="20"/>
              </w:rPr>
              <w:t>1,9</w:t>
            </w:r>
          </w:p>
        </w:tc>
      </w:tr>
      <w:tr w:rsidR="0008006F" w:rsidRPr="0008006F" w:rsidTr="007C5B9C">
        <w:trPr>
          <w:trHeight w:val="360"/>
        </w:trPr>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szCs w:val="20"/>
              </w:rPr>
            </w:pPr>
            <w:r w:rsidRPr="0008006F">
              <w:rPr>
                <w:rFonts w:ascii="Times New Roman" w:hAnsi="Times New Roman"/>
                <w:szCs w:val="20"/>
              </w:rPr>
              <w:t>Niederbayern</w:t>
            </w:r>
          </w:p>
        </w:tc>
        <w:tc>
          <w:tcPr>
            <w:tcW w:w="1316" w:type="dxa"/>
            <w:tcBorders>
              <w:top w:val="single" w:sz="4" w:space="0" w:color="auto"/>
              <w:left w:val="single" w:sz="4" w:space="0" w:color="auto"/>
              <w:bottom w:val="single" w:sz="4" w:space="0" w:color="auto"/>
              <w:right w:val="nil"/>
            </w:tcBorders>
            <w:shd w:val="clear" w:color="auto" w:fill="auto"/>
            <w:noWrap/>
            <w:hideMark/>
          </w:tcPr>
          <w:p w:rsidR="0008006F" w:rsidRPr="0008006F" w:rsidRDefault="007C5B9C" w:rsidP="007C5B9C">
            <w:pPr>
              <w:spacing w:line="400" w:lineRule="exact"/>
              <w:jc w:val="center"/>
              <w:rPr>
                <w:rFonts w:ascii="Times New Roman" w:hAnsi="Times New Roman"/>
                <w:szCs w:val="20"/>
              </w:rPr>
            </w:pPr>
            <w:r>
              <w:rPr>
                <w:rFonts w:ascii="Times New Roman" w:hAnsi="Times New Roman"/>
                <w:szCs w:val="20"/>
              </w:rPr>
              <w:t>c</w:t>
            </w:r>
            <w:r w:rsidR="0008006F" w:rsidRPr="0008006F">
              <w:rPr>
                <w:rFonts w:ascii="Times New Roman" w:hAnsi="Times New Roman"/>
                <w:szCs w:val="20"/>
              </w:rPr>
              <w:t>a.</w:t>
            </w:r>
          </w:p>
        </w:tc>
        <w:tc>
          <w:tcPr>
            <w:tcW w:w="3293" w:type="dxa"/>
            <w:tcBorders>
              <w:top w:val="single" w:sz="4" w:space="0" w:color="auto"/>
              <w:left w:val="nil"/>
              <w:bottom w:val="single" w:sz="4" w:space="0" w:color="auto"/>
              <w:right w:val="single" w:sz="4" w:space="0" w:color="auto"/>
            </w:tcBorders>
            <w:shd w:val="clear" w:color="auto" w:fill="auto"/>
            <w:noWrap/>
            <w:hideMark/>
          </w:tcPr>
          <w:p w:rsidR="0008006F" w:rsidRPr="0008006F" w:rsidRDefault="0008006F" w:rsidP="007C5B9C">
            <w:pPr>
              <w:spacing w:line="400" w:lineRule="exact"/>
              <w:rPr>
                <w:rFonts w:ascii="Times New Roman" w:hAnsi="Times New Roman"/>
                <w:szCs w:val="20"/>
              </w:rPr>
            </w:pPr>
            <w:r w:rsidRPr="0008006F">
              <w:rPr>
                <w:rFonts w:ascii="Times New Roman" w:hAnsi="Times New Roman"/>
                <w:szCs w:val="20"/>
              </w:rPr>
              <w:t>2,4</w:t>
            </w:r>
          </w:p>
        </w:tc>
      </w:tr>
      <w:tr w:rsidR="0008006F" w:rsidRPr="0008006F" w:rsidTr="007C5B9C">
        <w:trPr>
          <w:trHeight w:val="360"/>
        </w:trPr>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szCs w:val="20"/>
              </w:rPr>
            </w:pPr>
            <w:r w:rsidRPr="0008006F">
              <w:rPr>
                <w:rFonts w:ascii="Times New Roman" w:hAnsi="Times New Roman"/>
                <w:szCs w:val="20"/>
              </w:rPr>
              <w:t>Oberbayern</w:t>
            </w:r>
          </w:p>
        </w:tc>
        <w:tc>
          <w:tcPr>
            <w:tcW w:w="1316" w:type="dxa"/>
            <w:tcBorders>
              <w:top w:val="single" w:sz="4" w:space="0" w:color="auto"/>
              <w:left w:val="single" w:sz="4" w:space="0" w:color="auto"/>
              <w:bottom w:val="single" w:sz="4" w:space="0" w:color="auto"/>
              <w:right w:val="nil"/>
            </w:tcBorders>
            <w:shd w:val="clear" w:color="auto" w:fill="auto"/>
            <w:noWrap/>
            <w:hideMark/>
          </w:tcPr>
          <w:p w:rsidR="0008006F" w:rsidRPr="0008006F" w:rsidRDefault="0008006F" w:rsidP="007C5B9C">
            <w:pPr>
              <w:spacing w:line="400" w:lineRule="exact"/>
              <w:jc w:val="center"/>
              <w:rPr>
                <w:rFonts w:ascii="Times New Roman" w:hAnsi="Times New Roman"/>
                <w:szCs w:val="20"/>
              </w:rPr>
            </w:pPr>
            <w:r w:rsidRPr="0008006F">
              <w:rPr>
                <w:rFonts w:ascii="Times New Roman" w:hAnsi="Times New Roman"/>
                <w:szCs w:val="20"/>
              </w:rPr>
              <w:t>ca.</w:t>
            </w:r>
          </w:p>
        </w:tc>
        <w:tc>
          <w:tcPr>
            <w:tcW w:w="3293" w:type="dxa"/>
            <w:tcBorders>
              <w:top w:val="single" w:sz="4" w:space="0" w:color="auto"/>
              <w:left w:val="nil"/>
              <w:bottom w:val="single" w:sz="4" w:space="0" w:color="auto"/>
              <w:right w:val="single" w:sz="4" w:space="0" w:color="auto"/>
            </w:tcBorders>
            <w:shd w:val="clear" w:color="auto" w:fill="auto"/>
            <w:noWrap/>
            <w:hideMark/>
          </w:tcPr>
          <w:p w:rsidR="0008006F" w:rsidRPr="0008006F" w:rsidRDefault="0008006F" w:rsidP="007C5B9C">
            <w:pPr>
              <w:spacing w:line="400" w:lineRule="exact"/>
              <w:rPr>
                <w:rFonts w:ascii="Times New Roman" w:hAnsi="Times New Roman"/>
                <w:szCs w:val="20"/>
              </w:rPr>
            </w:pPr>
            <w:r w:rsidRPr="0008006F">
              <w:rPr>
                <w:rFonts w:ascii="Times New Roman" w:hAnsi="Times New Roman"/>
                <w:szCs w:val="20"/>
              </w:rPr>
              <w:t>3,6</w:t>
            </w:r>
          </w:p>
        </w:tc>
      </w:tr>
      <w:tr w:rsidR="0008006F" w:rsidRPr="0008006F" w:rsidTr="007C5B9C">
        <w:trPr>
          <w:trHeight w:val="360"/>
        </w:trPr>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rsidR="0008006F" w:rsidRPr="0008006F" w:rsidRDefault="0008006F" w:rsidP="0008006F">
            <w:pPr>
              <w:spacing w:line="400" w:lineRule="exact"/>
              <w:rPr>
                <w:rFonts w:ascii="Times New Roman" w:hAnsi="Times New Roman"/>
                <w:b/>
                <w:bCs/>
                <w:szCs w:val="20"/>
              </w:rPr>
            </w:pPr>
            <w:r w:rsidRPr="0008006F">
              <w:rPr>
                <w:rFonts w:ascii="Times New Roman" w:hAnsi="Times New Roman"/>
                <w:b/>
                <w:bCs/>
                <w:szCs w:val="20"/>
              </w:rPr>
              <w:t>Bayern</w:t>
            </w:r>
          </w:p>
        </w:tc>
        <w:tc>
          <w:tcPr>
            <w:tcW w:w="1316" w:type="dxa"/>
            <w:tcBorders>
              <w:top w:val="single" w:sz="4" w:space="0" w:color="auto"/>
              <w:left w:val="single" w:sz="4" w:space="0" w:color="auto"/>
              <w:bottom w:val="single" w:sz="4" w:space="0" w:color="auto"/>
              <w:right w:val="nil"/>
            </w:tcBorders>
            <w:shd w:val="clear" w:color="auto" w:fill="auto"/>
            <w:noWrap/>
            <w:hideMark/>
          </w:tcPr>
          <w:p w:rsidR="0008006F" w:rsidRPr="0008006F" w:rsidRDefault="0008006F" w:rsidP="007C5B9C">
            <w:pPr>
              <w:spacing w:line="400" w:lineRule="exact"/>
              <w:jc w:val="center"/>
              <w:rPr>
                <w:rFonts w:ascii="Times New Roman" w:hAnsi="Times New Roman"/>
                <w:szCs w:val="20"/>
              </w:rPr>
            </w:pPr>
            <w:r w:rsidRPr="0008006F">
              <w:rPr>
                <w:rFonts w:ascii="Times New Roman" w:hAnsi="Times New Roman"/>
                <w:szCs w:val="20"/>
              </w:rPr>
              <w:t>ca.</w:t>
            </w:r>
          </w:p>
        </w:tc>
        <w:tc>
          <w:tcPr>
            <w:tcW w:w="3293" w:type="dxa"/>
            <w:tcBorders>
              <w:top w:val="single" w:sz="4" w:space="0" w:color="auto"/>
              <w:left w:val="nil"/>
              <w:bottom w:val="single" w:sz="4" w:space="0" w:color="auto"/>
              <w:right w:val="single" w:sz="4" w:space="0" w:color="auto"/>
            </w:tcBorders>
            <w:shd w:val="clear" w:color="auto" w:fill="auto"/>
            <w:noWrap/>
            <w:hideMark/>
          </w:tcPr>
          <w:p w:rsidR="0008006F" w:rsidRPr="0008006F" w:rsidRDefault="0008006F" w:rsidP="007C5B9C">
            <w:pPr>
              <w:spacing w:line="400" w:lineRule="exact"/>
              <w:rPr>
                <w:rFonts w:ascii="Times New Roman" w:hAnsi="Times New Roman"/>
                <w:b/>
                <w:bCs/>
                <w:szCs w:val="20"/>
              </w:rPr>
            </w:pPr>
            <w:r w:rsidRPr="0008006F">
              <w:rPr>
                <w:rFonts w:ascii="Times New Roman" w:hAnsi="Times New Roman"/>
                <w:b/>
                <w:bCs/>
                <w:szCs w:val="20"/>
              </w:rPr>
              <w:t>15,0</w:t>
            </w:r>
          </w:p>
        </w:tc>
      </w:tr>
    </w:tbl>
    <w:p w:rsidR="00E330FE" w:rsidRDefault="00E330FE" w:rsidP="00E330FE">
      <w:pPr>
        <w:pStyle w:val="LTAntwortRessortText"/>
      </w:pPr>
      <w:r>
        <w:t xml:space="preserve">Alle Bestandsteile der Direktzahlungen, insbesondere auch die Umverteilung zugunsten der ersten Hektare, würden anteilig gekürzt werden. </w:t>
      </w:r>
    </w:p>
    <w:p w:rsidR="00E330FE" w:rsidRPr="007C5B9C" w:rsidRDefault="00E330FE" w:rsidP="00E330FE">
      <w:pPr>
        <w:pStyle w:val="LTAntwortRessortText"/>
        <w:rPr>
          <w:u w:val="single"/>
        </w:rPr>
      </w:pPr>
      <w:r w:rsidRPr="007C5B9C">
        <w:rPr>
          <w:u w:val="single"/>
        </w:rPr>
        <w:t>Zur Anreizkomponente</w:t>
      </w:r>
      <w:r w:rsidR="007C5B9C">
        <w:rPr>
          <w:u w:val="single"/>
        </w:rPr>
        <w:t>:</w:t>
      </w:r>
    </w:p>
    <w:p w:rsidR="00E330FE" w:rsidRDefault="00E330FE" w:rsidP="007C5B9C">
      <w:pPr>
        <w:pStyle w:val="LTAntwortRessortText"/>
        <w:spacing w:before="120"/>
      </w:pPr>
      <w:r>
        <w:t xml:space="preserve">Die EU-Vorgaben verbieten Anreize, da gemäß EU-Verordnung Nr. 1305/2013 </w:t>
      </w:r>
      <w:r w:rsidR="00E01CC5">
        <w:t>Artikel</w:t>
      </w:r>
      <w:r>
        <w:t xml:space="preserve"> 28</w:t>
      </w:r>
      <w:r w:rsidR="00E01CC5">
        <w:t xml:space="preserve"> Absatz</w:t>
      </w:r>
      <w:r>
        <w:t xml:space="preserve"> 6 mit </w:t>
      </w:r>
      <w:r w:rsidR="007C5B9C" w:rsidRPr="007C5B9C">
        <w:t>Agrarumwelt- und Klimamaßnahmen</w:t>
      </w:r>
      <w:r w:rsidR="007C5B9C">
        <w:t xml:space="preserve"> (AUK)</w:t>
      </w:r>
      <w:r>
        <w:t xml:space="preserve"> der </w:t>
      </w:r>
      <w:r w:rsidR="007C5B9C">
        <w:t xml:space="preserve">zweiten </w:t>
      </w:r>
      <w:r>
        <w:t xml:space="preserve">Säule nur </w:t>
      </w:r>
      <w:r w:rsidR="00793F8E">
        <w:t>„</w:t>
      </w:r>
      <w:r>
        <w:t>zusätzliche Kosten und Ei</w:t>
      </w:r>
      <w:r>
        <w:t>n</w:t>
      </w:r>
      <w:r>
        <w:lastRenderedPageBreak/>
        <w:t>kommensverluste</w:t>
      </w:r>
      <w:r w:rsidR="00793F8E">
        <w:t>“</w:t>
      </w:r>
      <w:r>
        <w:t xml:space="preserve"> ausgeglichen werden dürfen. Nur sogenannte Transaktionskosten sind förde</w:t>
      </w:r>
      <w:r>
        <w:t>r</w:t>
      </w:r>
      <w:r>
        <w:t>bar, deren Herleitung einem sehr komplexen Verfahren unterliegt. Eine Wiedereinführung einer pauschalierten Anreizkomponente in Höhe von zum Beispiel bis zu 20 Prozent der Prämienhöhe liegt im Entscheidungsbereich der EU-Kommission</w:t>
      </w:r>
      <w:r w:rsidR="007C5B9C">
        <w:t xml:space="preserve"> (KOM)</w:t>
      </w:r>
      <w:r>
        <w:t>, die sich dabei an internationales Recht, u.a. an die Regeln</w:t>
      </w:r>
      <w:r w:rsidR="00C90D82">
        <w:t xml:space="preserve"> der </w:t>
      </w:r>
      <w:r w:rsidR="00C90D82" w:rsidRPr="00C90D82">
        <w:t>Welthandelsorganisation</w:t>
      </w:r>
      <w:r w:rsidR="00C90D82">
        <w:t xml:space="preserve"> (WTO)</w:t>
      </w:r>
      <w:r>
        <w:t>, zu halten hat. Bisher hat die KOM die Wi</w:t>
      </w:r>
      <w:r>
        <w:t>e</w:t>
      </w:r>
      <w:r>
        <w:t>dereinführung einer pauschalierten Anreizkomponente abgelehnt.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Gisela</w:t>
            </w:r>
            <w:r w:rsidRPr="00E330FE">
              <w:rPr>
                <w:b/>
              </w:rPr>
              <w:br/>
              <w:t>Sengl</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58" w:name="_Toc477421185"/>
            <w:r>
              <w:instrText>Sengl, Gisela (BÜNDNIS 90/DIE GRÜNEN)</w:instrText>
            </w:r>
            <w:r>
              <w:br/>
              <w:instrText>Kriterien für Fleischqualität</w:instrText>
            </w:r>
            <w:bookmarkEnd w:id="58"/>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beurteilt sie die Kriterien Herkunft, Haltung und Schlachtung als Qualitätskriterien für Fleisch, wenn nein, warum nicht und wenn ja, welche Maßnahmen hält die Staatsregierung für geeignet, die Qual</w:t>
            </w:r>
            <w:r>
              <w:t>i</w:t>
            </w:r>
            <w:r>
              <w:t>tät von Fleisch zu sichern und zu verbessern?</w:t>
            </w:r>
          </w:p>
          <w:p w:rsidR="00E330FE" w:rsidRDefault="00E330FE" w:rsidP="00E330FE">
            <w:pPr>
              <w:pStyle w:val="LTAnfrageText"/>
            </w:pPr>
          </w:p>
        </w:tc>
      </w:tr>
    </w:tbl>
    <w:p w:rsidR="00E330FE" w:rsidRDefault="00E330FE" w:rsidP="00B65B07">
      <w:pPr>
        <w:pStyle w:val="LTUeberschrAntwortRessort"/>
        <w:spacing w:before="120"/>
      </w:pPr>
      <w:r>
        <w:t>Antwort des Staatsministeriums für Ernährung, Landwirtschaft und Forsten</w:t>
      </w:r>
    </w:p>
    <w:p w:rsidR="00E330FE" w:rsidRDefault="00E330FE" w:rsidP="00FA5A83">
      <w:pPr>
        <w:pStyle w:val="LTAntwortRessortText"/>
        <w:spacing w:before="120"/>
      </w:pPr>
      <w:r>
        <w:t>Die Qualität von Fleisch wird durch Produkt- und Prozes</w:t>
      </w:r>
      <w:r w:rsidR="00F94D95">
        <w:t>squalitätskriterien definiert. Die</w:t>
      </w:r>
      <w:r>
        <w:t xml:space="preserve"> Kriterien der Produktqualität betreffen insbesondere: </w:t>
      </w:r>
    </w:p>
    <w:p w:rsidR="00E330FE" w:rsidRDefault="00E330FE" w:rsidP="00F94D95">
      <w:pPr>
        <w:pStyle w:val="LTAntwortRessortText"/>
        <w:numPr>
          <w:ilvl w:val="0"/>
          <w:numId w:val="31"/>
        </w:numPr>
        <w:spacing w:before="120"/>
        <w:ind w:left="992" w:hanging="425"/>
      </w:pPr>
      <w:r>
        <w:t>physikalische bzw. physikalisch-chemische Merkmale wie den pH-Wert, die Leitfähigkeit, den Tropfsaftverlust, die Scherkraft (Zahrtheit) und die Farbe</w:t>
      </w:r>
      <w:r w:rsidR="00F94D95">
        <w:t>,</w:t>
      </w:r>
      <w:r>
        <w:t xml:space="preserve"> </w:t>
      </w:r>
    </w:p>
    <w:p w:rsidR="00E330FE" w:rsidRDefault="00E330FE" w:rsidP="00F94D95">
      <w:pPr>
        <w:pStyle w:val="LTAntwortRessortText"/>
        <w:numPr>
          <w:ilvl w:val="0"/>
          <w:numId w:val="31"/>
        </w:numPr>
        <w:spacing w:before="120"/>
        <w:ind w:left="992" w:hanging="425"/>
      </w:pPr>
      <w:r>
        <w:t>chemische Merkmale wie den Fett-, Eiweiß- und Wassergehalt, die Fettkennzahlen und das Fettsäuremuster und</w:t>
      </w:r>
    </w:p>
    <w:p w:rsidR="00E330FE" w:rsidRDefault="00E330FE" w:rsidP="00F94D95">
      <w:pPr>
        <w:pStyle w:val="LTAntwortRessortText"/>
        <w:numPr>
          <w:ilvl w:val="0"/>
          <w:numId w:val="31"/>
        </w:numPr>
        <w:spacing w:before="120"/>
        <w:ind w:left="992" w:hanging="425"/>
      </w:pPr>
      <w:r>
        <w:t>mikrobiologische Merkmale wie Gesamtkeimzahl,</w:t>
      </w:r>
      <w:r w:rsidR="00F94D95">
        <w:t xml:space="preserve"> Enterobacteriaceae, </w:t>
      </w:r>
      <w:r w:rsidR="0034452B">
        <w:t>Salmonellen</w:t>
      </w:r>
      <w:r w:rsidR="00F94D95">
        <w:t>,</w:t>
      </w:r>
    </w:p>
    <w:p w:rsidR="00E330FE" w:rsidRDefault="00E330FE" w:rsidP="00805CBD">
      <w:pPr>
        <w:pStyle w:val="LTAntwortRessortText"/>
        <w:numPr>
          <w:ilvl w:val="0"/>
          <w:numId w:val="31"/>
        </w:numPr>
        <w:spacing w:before="60"/>
        <w:ind w:left="992" w:hanging="425"/>
      </w:pPr>
      <w:r>
        <w:t>sensorische Merkmale wie Marmorierung, Saftigkeit, Aroma und Geschmack</w:t>
      </w:r>
      <w:r w:rsidR="00F94D95">
        <w:t>.</w:t>
      </w:r>
    </w:p>
    <w:p w:rsidR="00E330FE" w:rsidRDefault="00E330FE" w:rsidP="00E330FE">
      <w:pPr>
        <w:pStyle w:val="LTAntwortRessortText"/>
      </w:pPr>
      <w:r>
        <w:t xml:space="preserve">Die Produktqualität wird durch eine Vielzahl von Faktoren beeinflusst. Wesentliche Faktoren sind </w:t>
      </w:r>
    </w:p>
    <w:p w:rsidR="00E330FE" w:rsidRDefault="00F94D95" w:rsidP="00F94D95">
      <w:pPr>
        <w:pStyle w:val="LTAntwortRessortText"/>
        <w:numPr>
          <w:ilvl w:val="0"/>
          <w:numId w:val="31"/>
        </w:numPr>
        <w:spacing w:before="120"/>
        <w:ind w:left="992" w:hanging="425"/>
      </w:pPr>
      <w:r>
        <w:t>genetische Einflüsse</w:t>
      </w:r>
      <w:r w:rsidR="00877540">
        <w:t>,</w:t>
      </w:r>
      <w:r>
        <w:t xml:space="preserve"> wie z.</w:t>
      </w:r>
      <w:r w:rsidR="00E330FE">
        <w:t>B. Rasse und Geschlecht, Kategorie</w:t>
      </w:r>
      <w:r>
        <w:t>,</w:t>
      </w:r>
    </w:p>
    <w:p w:rsidR="00E330FE" w:rsidRDefault="00E330FE" w:rsidP="00805CBD">
      <w:pPr>
        <w:pStyle w:val="LTAntwortRessortText"/>
        <w:numPr>
          <w:ilvl w:val="0"/>
          <w:numId w:val="31"/>
        </w:numPr>
        <w:spacing w:before="60"/>
        <w:ind w:left="992" w:hanging="425"/>
      </w:pPr>
      <w:r>
        <w:t>produkt</w:t>
      </w:r>
      <w:r w:rsidR="00F94D95">
        <w:t>ionstechnische Einflüsse</w:t>
      </w:r>
      <w:r w:rsidR="00E01CC5">
        <w:t>,</w:t>
      </w:r>
      <w:r w:rsidR="00F94D95">
        <w:t xml:space="preserve"> wie z.</w:t>
      </w:r>
      <w:r>
        <w:t>B</w:t>
      </w:r>
      <w:r w:rsidR="00F94D95">
        <w:t>.</w:t>
      </w:r>
      <w:r>
        <w:t xml:space="preserve"> das Schlachtalter, das Mastendgewicht, die Fütt</w:t>
      </w:r>
      <w:r>
        <w:t>e</w:t>
      </w:r>
      <w:r>
        <w:t>rung, die Mastintensität und die Haltung</w:t>
      </w:r>
      <w:r w:rsidR="00F94D95">
        <w:t>,</w:t>
      </w:r>
    </w:p>
    <w:p w:rsidR="00E330FE" w:rsidRDefault="00E330FE" w:rsidP="00F94D95">
      <w:pPr>
        <w:pStyle w:val="LTAntwortRessortText"/>
        <w:numPr>
          <w:ilvl w:val="0"/>
          <w:numId w:val="31"/>
        </w:numPr>
        <w:spacing w:before="120"/>
        <w:ind w:left="992" w:hanging="425"/>
      </w:pPr>
      <w:r>
        <w:t>prämortale Einflüsse</w:t>
      </w:r>
      <w:r w:rsidR="00E01CC5">
        <w:t>,</w:t>
      </w:r>
      <w:r>
        <w:t xml:space="preserve"> wie z.B. Transport, Witterung, Aufstallung bzw. Zutrieb, Nüchterung, Betäu</w:t>
      </w:r>
      <w:r w:rsidR="00F94D95">
        <w:t>bung, Entblutung,</w:t>
      </w:r>
    </w:p>
    <w:p w:rsidR="00E330FE" w:rsidRDefault="00E330FE" w:rsidP="00F94D95">
      <w:pPr>
        <w:pStyle w:val="LTAntwortRessortText"/>
        <w:numPr>
          <w:ilvl w:val="0"/>
          <w:numId w:val="31"/>
        </w:numPr>
        <w:spacing w:before="120"/>
        <w:ind w:left="992" w:hanging="425"/>
      </w:pPr>
      <w:r>
        <w:t>postmortale Einflüsse</w:t>
      </w:r>
      <w:r w:rsidR="00E01CC5">
        <w:t>,</w:t>
      </w:r>
      <w:r>
        <w:t xml:space="preserve"> wie z.B. Brühen, Kühlung, Reifung und Hygiene.</w:t>
      </w:r>
    </w:p>
    <w:p w:rsidR="00E330FE" w:rsidRDefault="00E330FE" w:rsidP="00FA5A83">
      <w:pPr>
        <w:pStyle w:val="LTAntwortRessortText"/>
        <w:spacing w:before="120"/>
      </w:pPr>
      <w:r>
        <w:t>Per se haben die Kriterien der Prozessqualität wie die Herkunft und Haltung eines Tieres in der R</w:t>
      </w:r>
      <w:r>
        <w:t>e</w:t>
      </w:r>
      <w:r>
        <w:t>gel nur einen stark mittelbaren Einfluss auf die oben erläuterten Kriterien der Produktqualität. Gleichwohl kann die Prozessqualität in Abhängigkeit von spezifischen Verbrauchererwartungen von Kaufrelevanz sein. Durch Zertifizierungssysteme der Prozesse kann diese sichergestellt werden (z.B. Bio, La</w:t>
      </w:r>
      <w:r w:rsidR="00F94D95">
        <w:t xml:space="preserve">bel des Tierschutzbundes, </w:t>
      </w:r>
      <w:r w:rsidR="00F94D95" w:rsidRPr="00F94D95">
        <w:t xml:space="preserve">Verband Lebensmittel ohne Gentechnik e.V. </w:t>
      </w:r>
      <w:r w:rsidR="00E01CC5">
        <w:t>VLOG</w:t>
      </w:r>
      <w:r w:rsidR="00E01CC5" w:rsidRPr="00E01CC5">
        <w:rPr>
          <w:vertAlign w:val="superscript"/>
        </w:rPr>
        <w:t>1</w:t>
      </w:r>
      <w:r w:rsidR="00F94D95">
        <w:t xml:space="preserve"> – </w:t>
      </w:r>
      <w:r>
        <w:t>GVO</w:t>
      </w:r>
      <w:r w:rsidR="00E01CC5" w:rsidRPr="00E01CC5">
        <w:rPr>
          <w:vertAlign w:val="superscript"/>
        </w:rPr>
        <w:t>2</w:t>
      </w:r>
      <w:r w:rsidR="00F94D95">
        <w:t xml:space="preserve">-freie Fütterung). </w:t>
      </w:r>
    </w:p>
    <w:p w:rsidR="00E330FE" w:rsidRDefault="00E330FE" w:rsidP="00FA5A83">
      <w:pPr>
        <w:pStyle w:val="LTAntwortRessortText"/>
        <w:spacing w:before="120"/>
      </w:pPr>
      <w:r>
        <w:t>Dagegen kann eine von den rechtlichen Vorgaben abweichende Behandlung der Tiere vor der Schlachtung, z.B. d</w:t>
      </w:r>
      <w:r w:rsidR="00F94D95">
        <w:t xml:space="preserve">urch Stress beim Transport, </w:t>
      </w:r>
      <w:r>
        <w:t>beim Treib</w:t>
      </w:r>
      <w:r w:rsidR="00F94D95">
        <w:t>en oder bei der Schlachtung z.</w:t>
      </w:r>
      <w:r>
        <w:t>B. eine unzureichende Betäubung oder Entblutung, maßgebliche Auswirkungen auf die Produktqualität h</w:t>
      </w:r>
      <w:r>
        <w:t>a</w:t>
      </w:r>
      <w:r>
        <w:t>ben.</w:t>
      </w:r>
    </w:p>
    <w:p w:rsidR="00E330FE" w:rsidRDefault="00E330FE" w:rsidP="00FA5A83">
      <w:pPr>
        <w:pStyle w:val="LTAntwortRessortText"/>
        <w:spacing w:before="120"/>
      </w:pPr>
      <w:r>
        <w:t>Die Einhaltung der rechtlichen Vorgab</w:t>
      </w:r>
      <w:r w:rsidR="00F94D95">
        <w:t>en wird durch</w:t>
      </w:r>
      <w:r>
        <w:t xml:space="preserve"> die amtlichen Untersuchungen sowie risikoor</w:t>
      </w:r>
      <w:r>
        <w:t>i</w:t>
      </w:r>
      <w:r>
        <w:t>entierte Kontrollen und Probenahmen überwacht. Damit stehen geeignete Maßnahmen zur Verf</w:t>
      </w:r>
      <w:r>
        <w:t>ü</w:t>
      </w:r>
      <w:r>
        <w:t>gung</w:t>
      </w:r>
      <w:r w:rsidR="00E01CC5">
        <w:t>,</w:t>
      </w:r>
      <w:r>
        <w:t xml:space="preserve"> um die Qualität von Fleisch zu sichern.</w:t>
      </w:r>
    </w:p>
    <w:p w:rsidR="00E01CC5" w:rsidRPr="00E01CC5" w:rsidRDefault="00E01CC5" w:rsidP="00FA5A83">
      <w:pPr>
        <w:pStyle w:val="LTAntwortRessortText"/>
        <w:spacing w:before="120"/>
        <w:rPr>
          <w:sz w:val="16"/>
          <w:szCs w:val="16"/>
        </w:rPr>
      </w:pPr>
      <w:r w:rsidRPr="00E01CC5">
        <w:rPr>
          <w:vertAlign w:val="superscript"/>
        </w:rPr>
        <w:t>1</w:t>
      </w:r>
      <w:r>
        <w:t xml:space="preserve"> </w:t>
      </w:r>
      <w:r w:rsidRPr="00E01CC5">
        <w:rPr>
          <w:sz w:val="16"/>
          <w:szCs w:val="16"/>
        </w:rPr>
        <w:t>VLOG = Verband Lebensmittel ohne Gentechnik</w:t>
      </w:r>
    </w:p>
    <w:p w:rsidR="00E01CC5" w:rsidRPr="00E01CC5" w:rsidRDefault="00E01CC5" w:rsidP="00E01CC5">
      <w:pPr>
        <w:pStyle w:val="LTAntwortRessortText"/>
        <w:spacing w:before="0"/>
        <w:rPr>
          <w:sz w:val="16"/>
          <w:szCs w:val="16"/>
        </w:rPr>
      </w:pPr>
      <w:r w:rsidRPr="00E01CC5">
        <w:rPr>
          <w:vertAlign w:val="superscript"/>
        </w:rPr>
        <w:t>2</w:t>
      </w:r>
      <w:r>
        <w:t xml:space="preserve"> </w:t>
      </w:r>
      <w:r w:rsidRPr="00E01CC5">
        <w:rPr>
          <w:sz w:val="16"/>
          <w:szCs w:val="16"/>
        </w:rPr>
        <w:t>GVO = gentechnisch veränderte Organismen</w:t>
      </w:r>
    </w:p>
    <w:p w:rsidR="00E330FE" w:rsidRDefault="00E330FE" w:rsidP="00E330FE">
      <w:pPr>
        <w:pStyle w:val="LTUeberschrRessort"/>
      </w:pPr>
      <w:r>
        <w:lastRenderedPageBreak/>
        <w:t>Geschäftsbereich des Staatsministeriums für Arbeit und Soziales, Familie und Integr</w:t>
      </w:r>
      <w:r>
        <w:t>a</w:t>
      </w:r>
      <w:r>
        <w:t>tion</w:t>
      </w:r>
      <w:r>
        <w:fldChar w:fldCharType="begin"/>
      </w:r>
      <w:r>
        <w:instrText xml:space="preserve"> TC </w:instrText>
      </w:r>
      <w:r w:rsidR="00793F8E">
        <w:instrText>„</w:instrText>
      </w:r>
      <w:bookmarkStart w:id="59" w:name="_Toc477421186"/>
      <w:r>
        <w:instrText>Geschäftsbereich des Staatsministeriums für Arbeit und Soziales, Familie und Integration</w:instrText>
      </w:r>
      <w:bookmarkEnd w:id="59"/>
      <w:r w:rsidR="00793F8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Prof. (Univ. L</w:t>
            </w:r>
            <w:r w:rsidRPr="00E330FE">
              <w:rPr>
                <w:b/>
              </w:rPr>
              <w:t>i</w:t>
            </w:r>
            <w:r w:rsidRPr="00E330FE">
              <w:rPr>
                <w:b/>
              </w:rPr>
              <w:t>ma) Dr. Peter</w:t>
            </w:r>
            <w:r w:rsidRPr="00E330FE">
              <w:rPr>
                <w:b/>
              </w:rPr>
              <w:br/>
              <w:t>Bauer</w:t>
            </w:r>
            <w:r w:rsidRPr="00E330FE">
              <w:rPr>
                <w:b/>
              </w:rPr>
              <w:br/>
            </w:r>
            <w:r w:rsidRPr="00E330FE">
              <w:t>(FREIE WÄ</w:t>
            </w:r>
            <w:r w:rsidRPr="00E330FE">
              <w:t>H</w:t>
            </w:r>
            <w:r w:rsidRPr="00E330FE">
              <w:t>LER)</w:t>
            </w:r>
            <w:r>
              <w:fldChar w:fldCharType="begin"/>
            </w:r>
            <w:r>
              <w:instrText xml:space="preserve"> TC </w:instrText>
            </w:r>
            <w:r w:rsidR="00793F8E">
              <w:instrText>„</w:instrText>
            </w:r>
            <w:bookmarkStart w:id="60" w:name="_Toc477421187"/>
            <w:r>
              <w:instrText>Prof. (Univ. Lima) Dr. Bauer, Peter (FREIE WÄHLER)</w:instrText>
            </w:r>
            <w:r>
              <w:br/>
              <w:instrText>Berücksichtigung von Staatenlosen im Bayerischen Integrationsgesetz</w:instrText>
            </w:r>
            <w:bookmarkEnd w:id="60"/>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sind in dem im Dezember 2016 von der Regi</w:t>
            </w:r>
            <w:r>
              <w:t>e</w:t>
            </w:r>
            <w:r>
              <w:t>rungsmehrheit beschlossenen Bayerischen Integrationsgesetz die Interessen und Bedürfnisse von Staatenlosen berücksichtigt, wie können Staatenlose ihre Ansprüche auf Integration umsetzen und wie viele Staatenlose gibt es aktuell in Bayern?</w:t>
            </w:r>
          </w:p>
          <w:p w:rsidR="00E330FE" w:rsidRDefault="00E330FE" w:rsidP="00E330FE">
            <w:pPr>
              <w:pStyle w:val="LTAnfrageText"/>
            </w:pPr>
          </w:p>
        </w:tc>
      </w:tr>
    </w:tbl>
    <w:p w:rsidR="00E330FE" w:rsidRDefault="00E330FE" w:rsidP="00E330FE">
      <w:pPr>
        <w:pStyle w:val="LTUeberschrAntwortRessort"/>
      </w:pPr>
      <w:r>
        <w:t>Antwort des Staatsministeriums für Arbeit und Soziales, Familie und Integration</w:t>
      </w:r>
    </w:p>
    <w:p w:rsidR="00E330FE" w:rsidRDefault="00877540" w:rsidP="00E330FE">
      <w:pPr>
        <w:pStyle w:val="LTAntwortRessortText"/>
      </w:pPr>
      <w:r>
        <w:t xml:space="preserve">Da Staatenlose nicht </w:t>
      </w:r>
      <w:r w:rsidR="00E330FE">
        <w:t xml:space="preserve">deutsche Staatsangehörige </w:t>
      </w:r>
      <w:r w:rsidR="00F94D95">
        <w:t>sind, sind sie grund</w:t>
      </w:r>
      <w:r w:rsidR="00E330FE">
        <w:t xml:space="preserve">sätzlich Ausländer im Sinne von § 2 Abs. 1 </w:t>
      </w:r>
      <w:r w:rsidR="00F94D95">
        <w:t>des Aufenthaltsgesetzes (</w:t>
      </w:r>
      <w:r w:rsidR="00E330FE">
        <w:t>AufenthG</w:t>
      </w:r>
      <w:r w:rsidR="00F94D95">
        <w:t>) und können da</w:t>
      </w:r>
      <w:r w:rsidR="00E330FE">
        <w:t xml:space="preserve">mit Art. 2 </w:t>
      </w:r>
      <w:r w:rsidR="00F94D95">
        <w:t>des Bayerischen Inte</w:t>
      </w:r>
      <w:r w:rsidR="00F94D95">
        <w:t>g</w:t>
      </w:r>
      <w:r w:rsidR="00F94D95">
        <w:t>rationsgesetzes (</w:t>
      </w:r>
      <w:r w:rsidR="00E330FE">
        <w:t>BayIntG</w:t>
      </w:r>
      <w:r>
        <w:t>)</w:t>
      </w:r>
      <w:r w:rsidR="00E330FE">
        <w:t xml:space="preserve"> unterliegen, wenn die dort genannten zusätzlichen Voraussetzungen e</w:t>
      </w:r>
      <w:r w:rsidR="00E330FE">
        <w:t>r</w:t>
      </w:r>
      <w:r w:rsidR="00E330FE">
        <w:t>füllt sind.</w:t>
      </w:r>
    </w:p>
    <w:p w:rsidR="00E330FE" w:rsidRDefault="00E330FE" w:rsidP="00E330FE">
      <w:pPr>
        <w:pStyle w:val="LTAntwortRessortText"/>
      </w:pPr>
      <w:r>
        <w:t>Die Zahl der Staatenlosen in Bayern</w:t>
      </w:r>
      <w:r w:rsidR="00F94D95">
        <w:t xml:space="preserve"> liegt gemäß Ausländerzentralre</w:t>
      </w:r>
      <w:r>
        <w:t>gister bei 3.3</w:t>
      </w:r>
      <w:r w:rsidR="00F94D95">
        <w:t xml:space="preserve">04 Personen (zum Stichtag 31. Dezember </w:t>
      </w:r>
      <w:r>
        <w:t>2016).</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Verena</w:t>
            </w:r>
            <w:r w:rsidRPr="00E330FE">
              <w:rPr>
                <w:b/>
              </w:rPr>
              <w:br/>
              <w:t>Osgyan</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61" w:name="_Toc477421188"/>
            <w:r>
              <w:instrText>Osgyan, Verena (BÜNDNIS 90/DIE GRÜNEN)</w:instrText>
            </w:r>
            <w:r>
              <w:br/>
              <w:instrText>Aktueller Stand des Gender Pay Gap in Bayern</w:instrText>
            </w:r>
            <w:bookmarkEnd w:id="61"/>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rsidRPr="00793F8E">
              <w:rPr>
                <w:lang w:val="en-US"/>
              </w:rPr>
              <w:t xml:space="preserve">Anlässlich des Equal Pay Day am 18. </w:t>
            </w:r>
            <w:r>
              <w:t>März 2017 frage ich die Staatsregi</w:t>
            </w:r>
            <w:r>
              <w:t>e</w:t>
            </w:r>
            <w:r>
              <w:t>rung, wie hoch der aktuelle bereinigte und nicht-bereinigte Verdienstunte</w:t>
            </w:r>
            <w:r>
              <w:t>r</w:t>
            </w:r>
            <w:r>
              <w:t xml:space="preserve">schied zwischen Frauen und Männern (Gender Pay Gap) in Bayern und </w:t>
            </w:r>
            <w:r w:rsidR="00F94D95">
              <w:t>–</w:t>
            </w:r>
            <w:r>
              <w:t xml:space="preserve"> falls bekannt </w:t>
            </w:r>
            <w:r w:rsidR="00F94D95">
              <w:t>–</w:t>
            </w:r>
            <w:r>
              <w:t xml:space="preserve"> im  gesamten Bundesgebiet ist?</w:t>
            </w:r>
          </w:p>
          <w:p w:rsidR="00E330FE" w:rsidRDefault="00E330FE" w:rsidP="00E330FE">
            <w:pPr>
              <w:pStyle w:val="LTAnfrageText"/>
            </w:pPr>
          </w:p>
        </w:tc>
      </w:tr>
    </w:tbl>
    <w:p w:rsidR="00E330FE" w:rsidRDefault="00E330FE" w:rsidP="00E330FE">
      <w:pPr>
        <w:pStyle w:val="LTUeberschrAntwortRessort"/>
      </w:pPr>
      <w:r>
        <w:t>Antwort des Staatsministeriums für Arbeit und Soziales, Familie und Integration</w:t>
      </w:r>
    </w:p>
    <w:p w:rsidR="00E330FE" w:rsidRDefault="00E330FE" w:rsidP="00E330FE">
      <w:pPr>
        <w:pStyle w:val="LTAntwortRessortText"/>
      </w:pPr>
      <w:r>
        <w:t>Der unbereinigte Gender Pay Gap lag ausweislich der Pressemitteilung des Statistischen Bunde</w:t>
      </w:r>
      <w:r>
        <w:t>s</w:t>
      </w:r>
      <w:r>
        <w:t xml:space="preserve">amtes vom 14. März 2017 (094/17) im Jahr 2016 in Deutschland bei 21 </w:t>
      </w:r>
      <w:r w:rsidR="00793F8E">
        <w:t>Prozent</w:t>
      </w:r>
      <w:r>
        <w:t xml:space="preserve">, der bereinigte Gender Pay Gap lag 2014 bundesweit bei </w:t>
      </w:r>
      <w:r w:rsidR="00F94D95">
        <w:t>sechs</w:t>
      </w:r>
      <w:r>
        <w:t xml:space="preserve"> </w:t>
      </w:r>
      <w:r w:rsidR="00793F8E">
        <w:t>Prozent</w:t>
      </w:r>
      <w:r>
        <w:t xml:space="preserve"> (eine aktuellere Berechnung des bereini</w:t>
      </w:r>
      <w:r>
        <w:t>g</w:t>
      </w:r>
      <w:r>
        <w:t xml:space="preserve">ten Gender Pay Gap ist nicht möglich, da die zugrundeliegende Verdienststrukturerhebung nur alle </w:t>
      </w:r>
      <w:r w:rsidR="00F94D95">
        <w:t>vier</w:t>
      </w:r>
      <w:r w:rsidR="0034452B">
        <w:t xml:space="preserve"> </w:t>
      </w:r>
      <w:r>
        <w:t>Jahre erfolgt).</w:t>
      </w:r>
    </w:p>
    <w:p w:rsidR="00E330FE" w:rsidRDefault="00E330FE" w:rsidP="00E330FE">
      <w:pPr>
        <w:pStyle w:val="LTAntwortRessortText"/>
      </w:pPr>
      <w:r>
        <w:t>Wie das Statistische Bundesamt weiter m</w:t>
      </w:r>
      <w:r w:rsidR="00F94D95">
        <w:t>itteilt, lassen sich fast Dreiv</w:t>
      </w:r>
      <w:r>
        <w:t>iertel des unbereinigten Ge</w:t>
      </w:r>
      <w:r>
        <w:t>n</w:t>
      </w:r>
      <w:r>
        <w:t>der Pay Gap auf strukturelle Unterschiede zurückführen: Die wichtigsten Gründe für die Differenzen der durchschnittlichen Bruttostundenverdienste waren Unterschiede in den Branchen und Berufen, in denen Frauen und Männer tätig sind, sowie ungleich verteilte Arbeitsplatzanforderungen hinsich</w:t>
      </w:r>
      <w:r>
        <w:t>t</w:t>
      </w:r>
      <w:r>
        <w:t>lich Führung und Qualifikation. Darüber hinaus sind Frauen häufiger als Männer teilzeit- oder g</w:t>
      </w:r>
      <w:r>
        <w:t>e</w:t>
      </w:r>
      <w:r>
        <w:t>ringfügig beschäftigt.</w:t>
      </w:r>
    </w:p>
    <w:p w:rsidR="00E330FE" w:rsidRDefault="00E330FE" w:rsidP="00E330FE">
      <w:pPr>
        <w:pStyle w:val="LTAntwortRessortText"/>
      </w:pPr>
      <w:r>
        <w:t>Für die einzelnen Bundesländer und damit auch für Bayern liegen keine entsprechend aktuellen Daten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lastRenderedPageBreak/>
              <w:t>Abgeordneter</w:t>
            </w:r>
            <w:r w:rsidRPr="00E330FE">
              <w:br/>
            </w:r>
            <w:r w:rsidRPr="00E330FE">
              <w:rPr>
                <w:b/>
              </w:rPr>
              <w:t>Franz</w:t>
            </w:r>
            <w:r w:rsidRPr="00E330FE">
              <w:rPr>
                <w:b/>
              </w:rPr>
              <w:br/>
              <w:t>Schindler</w:t>
            </w:r>
            <w:r w:rsidRPr="00E330FE">
              <w:rPr>
                <w:b/>
              </w:rPr>
              <w:br/>
            </w:r>
            <w:r w:rsidRPr="00E330FE">
              <w:t>(SPD)</w:t>
            </w:r>
            <w:r>
              <w:fldChar w:fldCharType="begin"/>
            </w:r>
            <w:r>
              <w:instrText xml:space="preserve"> TC </w:instrText>
            </w:r>
            <w:r w:rsidR="00793F8E">
              <w:instrText>„</w:instrText>
            </w:r>
            <w:bookmarkStart w:id="62" w:name="_Toc477421189"/>
            <w:r>
              <w:instrText>Schindler, Franz (SPD)</w:instrText>
            </w:r>
            <w:r>
              <w:br/>
              <w:instrText>Teilverlagerung des Landesjugendamtes nach Schwandorf</w:instrText>
            </w:r>
            <w:bookmarkEnd w:id="62"/>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Da über den Stand der Umsetzung der Ankündigung, Teile des Landesj</w:t>
            </w:r>
            <w:r>
              <w:t>u</w:t>
            </w:r>
            <w:r>
              <w:t xml:space="preserve">gendamts nach Schwandorf zu verlagern, verschiedene Meldungen kursieren und in der Presse über einen </w:t>
            </w:r>
            <w:r w:rsidR="00793F8E">
              <w:t>„</w:t>
            </w:r>
            <w:r>
              <w:t>Eiertanz um das Landesjugendamt</w:t>
            </w:r>
            <w:r w:rsidR="00793F8E">
              <w:t>“</w:t>
            </w:r>
            <w:r>
              <w:t xml:space="preserve"> gesprochen wird, frage ich die Staatsregierung, ob die Sondierung des Mietmarktes in Schwandorf abgeschlossen ist und falls ja, mit welchem Ergebnis und ob die Absicht besteht, für das neue Amt auf dem von der Stadt angebotenen Grun</w:t>
            </w:r>
            <w:r>
              <w:t>d</w:t>
            </w:r>
            <w:r>
              <w:t>stück ein eigenes Gebäude für die Unterbringung des Landesjugendamtes zu errichten ?</w:t>
            </w:r>
          </w:p>
          <w:p w:rsidR="00E330FE" w:rsidRDefault="00E330FE" w:rsidP="00E330FE">
            <w:pPr>
              <w:pStyle w:val="LTAnfrageText"/>
            </w:pPr>
          </w:p>
        </w:tc>
      </w:tr>
    </w:tbl>
    <w:p w:rsidR="00E330FE" w:rsidRDefault="00E330FE" w:rsidP="00E330FE">
      <w:pPr>
        <w:pStyle w:val="LTUeberschrAntwortRessort"/>
      </w:pPr>
      <w:r>
        <w:t>Antwort des Staatsministeriums für Arbeit und Soziales, Familie und Integration</w:t>
      </w:r>
    </w:p>
    <w:p w:rsidR="00E330FE" w:rsidRDefault="00E330FE" w:rsidP="00E330FE">
      <w:pPr>
        <w:pStyle w:val="LTAntwortRessortText"/>
      </w:pPr>
      <w:r>
        <w:t>Die Teilverlagerung der Produktgruppe II/ Bayerisches Landesjugendamt des Zentrums Bayern Familie und Soziales (ZBFS) mit 20 Beschäftigten nach Schwandorf wurde im Rahmen der He</w:t>
      </w:r>
      <w:r>
        <w:t>i</w:t>
      </w:r>
      <w:r>
        <w:t xml:space="preserve">matstrategie am 4. März 2015 und am 1. März 2016 vom Ministerrat beschlossen (Konzept </w:t>
      </w:r>
      <w:r w:rsidR="00793F8E">
        <w:t>„</w:t>
      </w:r>
      <w:r>
        <w:t>Regi</w:t>
      </w:r>
      <w:r>
        <w:t>o</w:t>
      </w:r>
      <w:r>
        <w:t xml:space="preserve">nalisierung von Verwaltung </w:t>
      </w:r>
      <w:r w:rsidR="00321D98">
        <w:t>–</w:t>
      </w:r>
      <w:r>
        <w:t xml:space="preserve"> Behördenverlagerungen 2015).</w:t>
      </w:r>
    </w:p>
    <w:p w:rsidR="00E330FE" w:rsidRDefault="00321D98" w:rsidP="00E330FE">
      <w:pPr>
        <w:pStyle w:val="LTAntwortRessortText"/>
      </w:pPr>
      <w:r>
        <w:t>Das Staatsministerium für Arbeit und Soziales, Familie und Integration (StMAS)</w:t>
      </w:r>
      <w:r w:rsidR="00E330FE">
        <w:t xml:space="preserve"> betreibt diese Ve</w:t>
      </w:r>
      <w:r w:rsidR="00E330FE">
        <w:t>r</w:t>
      </w:r>
      <w:r w:rsidR="00E330FE">
        <w:t>lagerung in enger Abstimmung mit dem ZBFS aktiv.</w:t>
      </w:r>
    </w:p>
    <w:p w:rsidR="00E330FE" w:rsidRDefault="00E330FE" w:rsidP="00E330FE">
      <w:pPr>
        <w:pStyle w:val="LTAntwortRessortText"/>
      </w:pPr>
      <w:r>
        <w:t>Bezüglich des Immobilienmanagements steht das StMAS in Kontakt mit der dafür zuständigen I</w:t>
      </w:r>
      <w:r>
        <w:t>m</w:t>
      </w:r>
      <w:r>
        <w:t>mobilien Freistaat Bayern (IMBY), der ein entsprechender Flächennutzungsplan vorliegt. Die für das StMAS für eine endgültige Entscheidung notwendig</w:t>
      </w:r>
      <w:r w:rsidR="00321D98">
        <w:t>e Unterbringungsempfehlung vons</w:t>
      </w:r>
      <w:r>
        <w:t>eiten der IMBY steht noch aus.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Arif</w:t>
            </w:r>
            <w:r w:rsidRPr="00E330FE">
              <w:rPr>
                <w:b/>
              </w:rPr>
              <w:br/>
            </w:r>
            <w:r w:rsidR="00B961CE">
              <w:rPr>
                <w:b/>
              </w:rPr>
              <w:t>Taşdelen</w:t>
            </w:r>
            <w:r w:rsidRPr="00E330FE">
              <w:rPr>
                <w:b/>
              </w:rPr>
              <w:br/>
            </w:r>
            <w:r w:rsidRPr="00E330FE">
              <w:t>(SPD)</w:t>
            </w:r>
            <w:r>
              <w:fldChar w:fldCharType="begin"/>
            </w:r>
            <w:r>
              <w:instrText xml:space="preserve"> TC </w:instrText>
            </w:r>
            <w:r w:rsidR="00793F8E">
              <w:instrText>„</w:instrText>
            </w:r>
            <w:bookmarkStart w:id="63" w:name="_Toc477421190"/>
            <w:r>
              <w:instrText>Tasdelen, Arif (SPD)</w:instrText>
            </w:r>
            <w:r>
              <w:br/>
              <w:instrText>Verwaltungsvorschriften zum Bayerischen Integrationsgesetz</w:instrText>
            </w:r>
            <w:bookmarkEnd w:id="63"/>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wann ist mit einer Bekanntmachung von allg</w:t>
            </w:r>
            <w:r>
              <w:t>e</w:t>
            </w:r>
            <w:r>
              <w:t>meinen Verwaltungsvorschriften zum Bayerischen Integrationsgesetz</w:t>
            </w:r>
            <w:r w:rsidR="00A74D71">
              <w:t xml:space="preserve"> </w:t>
            </w:r>
            <w:r>
              <w:t>vom 13.</w:t>
            </w:r>
            <w:r w:rsidR="00A74D71">
              <w:t> </w:t>
            </w:r>
            <w:r>
              <w:t>Dezember 2016 zu rechnen, welches Staatsministerium erlässt die Verwa</w:t>
            </w:r>
            <w:r>
              <w:t>l</w:t>
            </w:r>
            <w:r>
              <w:t>tungsvorschriften zum Bayerischen Integrationsgesetz und mit welchen and</w:t>
            </w:r>
            <w:r>
              <w:t>e</w:t>
            </w:r>
            <w:r>
              <w:t>ren Staatsministerien hat sich das zuständige Staatsministerium ins Bene</w:t>
            </w:r>
            <w:r>
              <w:t>h</w:t>
            </w:r>
            <w:r>
              <w:t>men oder Einvernehmen zu setzen?</w:t>
            </w:r>
          </w:p>
          <w:p w:rsidR="00E330FE" w:rsidRDefault="00E330FE" w:rsidP="00E330FE">
            <w:pPr>
              <w:pStyle w:val="LTAnfrageText"/>
            </w:pPr>
          </w:p>
        </w:tc>
      </w:tr>
    </w:tbl>
    <w:p w:rsidR="00E330FE" w:rsidRDefault="00E330FE" w:rsidP="00E330FE">
      <w:pPr>
        <w:pStyle w:val="LTUeberschrAntwortRessort"/>
      </w:pPr>
      <w:r>
        <w:t>Antwort des Staatsministeriums für Arbeit und Soziales, Familie und Integration</w:t>
      </w:r>
    </w:p>
    <w:p w:rsidR="00E330FE" w:rsidRDefault="00E330FE" w:rsidP="00E330FE">
      <w:pPr>
        <w:pStyle w:val="LTAntwortRessortText"/>
      </w:pPr>
      <w:r>
        <w:t>Allgemeine Verwaltungsvorschriften</w:t>
      </w:r>
      <w:r w:rsidR="00A74D71">
        <w:t xml:space="preserve"> zum Bayerischen Integrationsge</w:t>
      </w:r>
      <w:r>
        <w:t xml:space="preserve">setz (BayIntG) im Sinne von umfassenden Verwaltungsvorschriften für alle im BayIntG enthaltenen Artikel sind </w:t>
      </w:r>
      <w:r w:rsidR="00A74D71">
        <w:t>nicht erforderlich. Die im Einz</w:t>
      </w:r>
      <w:r>
        <w:t>elnen zuständigen Staatsminister</w:t>
      </w:r>
      <w:r w:rsidR="00877540">
        <w:t>ien werden im Bedarfsfall eigen</w:t>
      </w:r>
      <w:r>
        <w:t xml:space="preserve">ständig tätig werden und ggfs. Verwaltungsvorschriften etc. erlassen. Beispielhaft ist Nr. 9.2 der Verwaltungsvorschriften zum Bayerischen Maßregelvollzugsgesetz (VVBayMRVG) zu nennen, welche am </w:t>
      </w:r>
      <w:r w:rsidR="00A74D71">
        <w:t>1. Februar 20</w:t>
      </w:r>
      <w:r>
        <w:t>17 in Kraft getreten ist.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lastRenderedPageBreak/>
              <w:t>Abgeordnete</w:t>
            </w:r>
            <w:r w:rsidRPr="00E330FE">
              <w:br/>
            </w:r>
            <w:r w:rsidRPr="00E330FE">
              <w:rPr>
                <w:b/>
              </w:rPr>
              <w:t>Angelika</w:t>
            </w:r>
            <w:r w:rsidRPr="00E330FE">
              <w:rPr>
                <w:b/>
              </w:rPr>
              <w:br/>
              <w:t>Weikert</w:t>
            </w:r>
            <w:r w:rsidRPr="00E330FE">
              <w:rPr>
                <w:b/>
              </w:rPr>
              <w:br/>
            </w:r>
            <w:r w:rsidRPr="00E330FE">
              <w:t>(SPD)</w:t>
            </w:r>
            <w:r>
              <w:fldChar w:fldCharType="begin"/>
            </w:r>
            <w:r>
              <w:instrText xml:space="preserve"> TC </w:instrText>
            </w:r>
            <w:r w:rsidR="00793F8E">
              <w:instrText>„</w:instrText>
            </w:r>
            <w:bookmarkStart w:id="64" w:name="_Toc477421191"/>
            <w:r>
              <w:instrText>Weikert, Angelika (SPD)</w:instrText>
            </w:r>
            <w:r>
              <w:br/>
              <w:instrText>Auszahlungstermin für Fördergelder durch das Zentrum Bayern Familie und Soziales</w:instrText>
            </w:r>
            <w:bookmarkEnd w:id="64"/>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Vor dem Hintergrund, dass die Auszahlung von Fördergeldern durch das Zen</w:t>
            </w:r>
            <w:r>
              <w:t>t</w:t>
            </w:r>
            <w:r>
              <w:t>rum Bayern Familie und Soziales an die Anbieter niedrigschwelliger Ber</w:t>
            </w:r>
            <w:r>
              <w:t>a</w:t>
            </w:r>
            <w:r>
              <w:t>tungsangebote oft erst im Herbst bzw. zum Jahresende erfolgt, wodurch sich viele Fachstellen in ihrer Existenz bedroht sehen, frage ich die Staatsregi</w:t>
            </w:r>
            <w:r>
              <w:t>e</w:t>
            </w:r>
            <w:r>
              <w:t>rung, welche konkreten Maßnahmen die Staatsregierung ergreift, damit die Fördergelder deutlich früher ausgezahlt werden, welchen konkreten Termin für die Auszahlung der Fördergelder die Staatsregierung anstrebt und wie die beschleunigte Auszahlung der Fördergelder noch für 2017 sichergestellt we</w:t>
            </w:r>
            <w:r>
              <w:t>r</w:t>
            </w:r>
            <w:r>
              <w:t>den kann?</w:t>
            </w:r>
          </w:p>
          <w:p w:rsidR="00E330FE" w:rsidRDefault="00E330FE" w:rsidP="00E330FE">
            <w:pPr>
              <w:pStyle w:val="LTAnfrageText"/>
            </w:pPr>
          </w:p>
        </w:tc>
      </w:tr>
    </w:tbl>
    <w:p w:rsidR="00E330FE" w:rsidRDefault="00E330FE" w:rsidP="00E330FE">
      <w:pPr>
        <w:pStyle w:val="LTUeberschrAntwortRessort"/>
      </w:pPr>
      <w:r>
        <w:t>Antwort des Staatsministeriums für Arbeit und Soziales, Familie und Integration</w:t>
      </w:r>
    </w:p>
    <w:p w:rsidR="00E330FE" w:rsidRDefault="00E330FE" w:rsidP="00E330FE">
      <w:pPr>
        <w:pStyle w:val="LTAntwortRessortText"/>
      </w:pPr>
      <w:r>
        <w:t xml:space="preserve">Die Förderung von niedrigschwelligen Betreuungsangeboten nach § 45c </w:t>
      </w:r>
      <w:r w:rsidR="00A74D71">
        <w:t>des Sozialgesetzbuches (</w:t>
      </w:r>
      <w:r>
        <w:t>SGB</w:t>
      </w:r>
      <w:r w:rsidR="00A74D71">
        <w:t>) Elftes Buch</w:t>
      </w:r>
      <w:r>
        <w:t xml:space="preserve"> </w:t>
      </w:r>
      <w:r w:rsidR="00A74D71">
        <w:t>(</w:t>
      </w:r>
      <w:r>
        <w:t>XI</w:t>
      </w:r>
      <w:r w:rsidR="00A74D71">
        <w:t>) und §§ 83-</w:t>
      </w:r>
      <w:r>
        <w:t xml:space="preserve">87 </w:t>
      </w:r>
      <w:r w:rsidR="00A74D71">
        <w:t xml:space="preserve">der </w:t>
      </w:r>
      <w:r w:rsidR="00A74D71" w:rsidRPr="00A74D71">
        <w:t xml:space="preserve">Ausführung der Sozialgesetze </w:t>
      </w:r>
      <w:r w:rsidR="00A74D71">
        <w:t>(</w:t>
      </w:r>
      <w:r>
        <w:t>AVSG</w:t>
      </w:r>
      <w:r w:rsidR="00A74D71">
        <w:t>)</w:t>
      </w:r>
      <w:r>
        <w:t xml:space="preserve"> vollzieht das Zen</w:t>
      </w:r>
      <w:r>
        <w:t>t</w:t>
      </w:r>
      <w:r>
        <w:t>rum Bayern Familie und Soziales (ZBFS) seit Ende 2014 im Auftrag des Staatsministeriums für G</w:t>
      </w:r>
      <w:r>
        <w:t>e</w:t>
      </w:r>
      <w:r>
        <w:t>sundheit un</w:t>
      </w:r>
      <w:r w:rsidR="00A74D71">
        <w:t>d Pflege (StMGP), davor im Auf</w:t>
      </w:r>
      <w:r>
        <w:t>trag des Staatsministeriums</w:t>
      </w:r>
      <w:r w:rsidR="00A74D71">
        <w:t xml:space="preserve"> für Arbeit und Soziales, Fami</w:t>
      </w:r>
      <w:r>
        <w:t>lie und Integration (StMAS).</w:t>
      </w:r>
    </w:p>
    <w:p w:rsidR="00E330FE" w:rsidRDefault="00E330FE" w:rsidP="00E330FE">
      <w:pPr>
        <w:pStyle w:val="LTAntwortRessortText"/>
      </w:pPr>
      <w:r>
        <w:t>Bei dieser Förderung sowie bei weiteren Förderungen aus dem Pflegebereich kam es vorüberg</w:t>
      </w:r>
      <w:r>
        <w:t>e</w:t>
      </w:r>
      <w:r>
        <w:t>hend zu Verzögerungen in der Bearbeitung.</w:t>
      </w:r>
    </w:p>
    <w:p w:rsidR="00E330FE" w:rsidRDefault="00E330FE" w:rsidP="00E330FE">
      <w:pPr>
        <w:pStyle w:val="LTAntwortRessortText"/>
      </w:pPr>
      <w:r>
        <w:t>Der Grund dafür war, dass das StMGP auf Veranlassung des Bayerischen Obersten Rechnungsh</w:t>
      </w:r>
      <w:r>
        <w:t>o</w:t>
      </w:r>
      <w:r>
        <w:t>fes (BayORH) den Ablauf des Förderverfahrens Anfang 2015 grundlegend geändert hat. A</w:t>
      </w:r>
      <w:r>
        <w:t>b</w:t>
      </w:r>
      <w:r w:rsidR="00A74D71">
        <w:t>schlagszahlun</w:t>
      </w:r>
      <w:r>
        <w:t>gen vor Bescheiderteilung wurden nicht mehr ausgereicht.</w:t>
      </w:r>
    </w:p>
    <w:p w:rsidR="00E330FE" w:rsidRDefault="00E330FE" w:rsidP="00E330FE">
      <w:pPr>
        <w:pStyle w:val="LTAntwortRessortText"/>
      </w:pPr>
      <w:r>
        <w:t>Diese Problematik wurde aber erkannt und ist behoben:</w:t>
      </w:r>
    </w:p>
    <w:p w:rsidR="00E330FE" w:rsidRDefault="00E330FE" w:rsidP="00E330FE">
      <w:pPr>
        <w:pStyle w:val="LTAntwortRessortText"/>
      </w:pPr>
      <w:r>
        <w:t>Um den Verwaltungsaufwand wieder zu verringern und zugleich den Anliegen des BayORH gerecht zu werden, haben ZBFS und StMGP 2015 einen Vorschlag zur Änderung der Förderrichtlinie era</w:t>
      </w:r>
      <w:r>
        <w:t>r</w:t>
      </w:r>
      <w:r>
        <w:t>beitet, der vom BayORH gebilligt und Anfang 2016 auch umgesetzt wurde.</w:t>
      </w:r>
    </w:p>
    <w:p w:rsidR="00E330FE" w:rsidRDefault="00E330FE" w:rsidP="00E330FE">
      <w:pPr>
        <w:pStyle w:val="LTAntwortRessortText"/>
      </w:pPr>
      <w:r>
        <w:t>Nunmehr dürfen vorläufige Bescheide auf der Basis des zuletzt geprüften Verwendungsnachweises erlassen werden.</w:t>
      </w:r>
    </w:p>
    <w:p w:rsidR="00E330FE" w:rsidRDefault="00E330FE" w:rsidP="00E330FE">
      <w:pPr>
        <w:pStyle w:val="LTAntwortRessortText"/>
      </w:pPr>
      <w:r>
        <w:t>In der Praxis wird sich diese Änderung aber im Wesentlichen erst im Jahr 2017 auswirken. Es wird davon ausgegangen, dass ca. Mitte des Jahres 2017 wieder die früheren Bearbeitungszeiten e</w:t>
      </w:r>
      <w:r>
        <w:t>r</w:t>
      </w:r>
      <w:r>
        <w:t>reicht werden.</w:t>
      </w:r>
    </w:p>
    <w:p w:rsidR="00B65B07" w:rsidRDefault="00B65B07">
      <w:pPr>
        <w:rPr>
          <w:rFonts w:cs="Arial"/>
          <w:b/>
          <w:sz w:val="22"/>
          <w:szCs w:val="22"/>
        </w:rPr>
      </w:pPr>
      <w:r>
        <w:br w:type="page"/>
      </w:r>
    </w:p>
    <w:p w:rsidR="00E330FE" w:rsidRDefault="00E330FE" w:rsidP="00E330FE">
      <w:pPr>
        <w:pStyle w:val="LTUeberschrRessort"/>
      </w:pPr>
      <w:r>
        <w:lastRenderedPageBreak/>
        <w:t>Geschäftsbereich des Staatsministeriums für Gesundheit und Pflege</w:t>
      </w:r>
      <w:r>
        <w:fldChar w:fldCharType="begin"/>
      </w:r>
      <w:r>
        <w:instrText xml:space="preserve"> TC </w:instrText>
      </w:r>
      <w:r w:rsidR="00793F8E">
        <w:instrText>„</w:instrText>
      </w:r>
      <w:bookmarkStart w:id="65" w:name="_Toc477421192"/>
      <w:r>
        <w:instrText>Geschäftsbereich des Staatsministeriums für Gesundheit und Pflege</w:instrText>
      </w:r>
      <w:bookmarkEnd w:id="65"/>
      <w:r w:rsidR="00793F8E">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Inge</w:t>
            </w:r>
            <w:r w:rsidRPr="00E330FE">
              <w:rPr>
                <w:b/>
              </w:rPr>
              <w:br/>
              <w:t>Aures</w:t>
            </w:r>
            <w:r w:rsidRPr="00E330FE">
              <w:rPr>
                <w:b/>
              </w:rPr>
              <w:br/>
            </w:r>
            <w:r w:rsidRPr="00E330FE">
              <w:t>(SPD)</w:t>
            </w:r>
            <w:r>
              <w:fldChar w:fldCharType="begin"/>
            </w:r>
            <w:r>
              <w:instrText xml:space="preserve"> TC </w:instrText>
            </w:r>
            <w:r w:rsidR="00793F8E">
              <w:instrText>„</w:instrText>
            </w:r>
            <w:bookmarkStart w:id="66" w:name="_Toc477421193"/>
            <w:r>
              <w:instrText>Aures, Inge (SPD)</w:instrText>
            </w:r>
            <w:r>
              <w:br/>
              <w:instrText>Hilfe für Entbindungsstationen</w:instrText>
            </w:r>
            <w:bookmarkEnd w:id="66"/>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Da mittlerweile wohl mehrere Entbindungsstationen in Bayern (z.B. das G</w:t>
            </w:r>
            <w:r>
              <w:t>e</w:t>
            </w:r>
            <w:r>
              <w:t>burtshaus Bamberg) vor der Schließung stehen, frage ich die Staatsregierung, um welche Entbindungsstationen es sich handelt und ob es seitens der Staat</w:t>
            </w:r>
            <w:r>
              <w:t>s</w:t>
            </w:r>
            <w:r>
              <w:t>regierung Fördermittel gibt, damit die Hebammenversorgung in Bayern au</w:t>
            </w:r>
            <w:r>
              <w:t>f</w:t>
            </w:r>
            <w:r>
              <w:t>recht erhalten bleibt?</w:t>
            </w:r>
          </w:p>
          <w:p w:rsidR="00E330FE" w:rsidRDefault="00E330FE" w:rsidP="00E330FE">
            <w:pPr>
              <w:pStyle w:val="LTAnfrageText"/>
            </w:pPr>
          </w:p>
        </w:tc>
      </w:tr>
    </w:tbl>
    <w:p w:rsidR="00E330FE" w:rsidRDefault="00E330FE" w:rsidP="00541985">
      <w:pPr>
        <w:pStyle w:val="LTUeberschrAntwortRessort"/>
        <w:spacing w:before="720"/>
      </w:pPr>
      <w:r>
        <w:t>Antwort des Staatsministeriums für Gesundheit und Pflege</w:t>
      </w:r>
    </w:p>
    <w:p w:rsidR="00E330FE" w:rsidRDefault="00E330FE" w:rsidP="00541985">
      <w:pPr>
        <w:pStyle w:val="LTAntwortRessortText"/>
        <w:spacing w:before="360"/>
      </w:pPr>
      <w:r>
        <w:t xml:space="preserve">Zur akutstationären Versorgung in der Fachrichtung Gynäkologie und Geburtshilfe ist dem </w:t>
      </w:r>
      <w:r w:rsidR="00877540">
        <w:t>Staat</w:t>
      </w:r>
      <w:r w:rsidR="00877540">
        <w:t>s</w:t>
      </w:r>
      <w:r w:rsidR="00877540">
        <w:t>ministerium für Gesundheit und Pflege (StMGP)</w:t>
      </w:r>
      <w:r>
        <w:t xml:space="preserve"> eine Geburtshilfeabteilung bekannt, die derzeit vor der Schließung steht. Dabei handelt es sich um die Geburtshilfeabteilung an der Asklepios Stadtkl</w:t>
      </w:r>
      <w:r>
        <w:t>i</w:t>
      </w:r>
      <w:r>
        <w:t>nik Bad Tölz, die zum Ende des Monats vorübergehend schließen soll. Hier arbeiten allerdings die Verantwortlichen vor Ort an einer Lösung, damit der Betrieb der Abteilung wieder aufgenommen werden kann.</w:t>
      </w:r>
    </w:p>
    <w:p w:rsidR="00E330FE" w:rsidRDefault="00E330FE" w:rsidP="00541985">
      <w:pPr>
        <w:pStyle w:val="LTAntwortRessortText"/>
        <w:spacing w:before="360"/>
      </w:pPr>
      <w:r>
        <w:t>Bei Geburtshäusern handelt es sich um von Hebammen betriebene selbständige und außerklin</w:t>
      </w:r>
      <w:r>
        <w:t>i</w:t>
      </w:r>
      <w:r>
        <w:t xml:space="preserve">sche Einrichtungen zur Betreuung von Geburten, die außerhalb der Zuständigkeit des </w:t>
      </w:r>
      <w:r w:rsidR="00877540">
        <w:t>StMGP</w:t>
      </w:r>
      <w:r>
        <w:t xml:space="preserve"> li</w:t>
      </w:r>
      <w:r>
        <w:t>e</w:t>
      </w:r>
      <w:r>
        <w:t xml:space="preserve">gen. Deshalb liegen dem </w:t>
      </w:r>
      <w:r w:rsidR="00877540">
        <w:t>StMGP</w:t>
      </w:r>
      <w:r w:rsidR="003C4FFD">
        <w:t xml:space="preserve"> </w:t>
      </w:r>
      <w:r>
        <w:t>hierzu auch keine Informationen vor.</w:t>
      </w:r>
    </w:p>
    <w:p w:rsidR="00E330FE" w:rsidRDefault="00E330FE" w:rsidP="00541985">
      <w:pPr>
        <w:pStyle w:val="LTAntwortRessortText"/>
        <w:spacing w:before="360"/>
      </w:pPr>
      <w:r>
        <w:t>Gemäß Art. 51 Abs. 3 Satz 1 Nr. 1 der Landkreisordnung für den Freistaat Bayern ist es Aufgabe der Landkreise bzw. kreisfreien Städte (eigener Wirkungskreis), die erforderliche Hebammenhilfe der Bevölkerung sicherzustellen. Fördermittel der Staatsregierung zur Aufrechterhaltung der He</w:t>
      </w:r>
      <w:r>
        <w:t>b</w:t>
      </w:r>
      <w:r>
        <w:t>ammenversorgung sich derzeit nicht vorgesehen.</w:t>
      </w:r>
    </w:p>
    <w:p w:rsidR="00541985" w:rsidRDefault="00541985" w:rsidP="00541985">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Susann</w:t>
            </w:r>
            <w:r w:rsidRPr="00E330FE">
              <w:rPr>
                <w:b/>
              </w:rPr>
              <w:br/>
              <w:t>Biedefeld</w:t>
            </w:r>
            <w:r w:rsidRPr="00E330FE">
              <w:rPr>
                <w:b/>
              </w:rPr>
              <w:br/>
            </w:r>
            <w:r w:rsidRPr="00E330FE">
              <w:t>(SPD)</w:t>
            </w:r>
            <w:r>
              <w:fldChar w:fldCharType="begin"/>
            </w:r>
            <w:r>
              <w:instrText xml:space="preserve"> TC </w:instrText>
            </w:r>
            <w:r w:rsidR="00793F8E">
              <w:instrText>„</w:instrText>
            </w:r>
            <w:bookmarkStart w:id="67" w:name="_Toc477421194"/>
            <w:r>
              <w:instrText>Biedefeld, Susann (SPD)</w:instrText>
            </w:r>
            <w:r>
              <w:br/>
              <w:instrText>Erhalt des Bezirksklinikums Obermain</w:instrText>
            </w:r>
            <w:bookmarkEnd w:id="67"/>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ist ihre Position zur beabsichtigten Auslag</w:t>
            </w:r>
            <w:r>
              <w:t>e</w:t>
            </w:r>
            <w:r>
              <w:t>rung der Orthopädie und Toraxchirurgie des Bezirksklinikums Obermain in Kutzenberg (Landkreis Lichtenfels) durch den Bezirk Oberfranken, welche konkreten Voraussetzungen müssen erfüllt werden, um beide chirurgischen Abteilungen zur Wirtschaftlichkeit zu führen (Erhalt der beiden Abteilungen am Standort Kutzenberg), und wie beurteilt die Staatsregierung das bisherige Verfahren (nichtöffentliches Gutachten, nichtöffentliche Sitzungen, keine ko</w:t>
            </w:r>
            <w:r>
              <w:t>n</w:t>
            </w:r>
            <w:r>
              <w:t>krete Prüfung von Alternativen, Entscheidungsdruck innerhalb von wenigen Tage etc.)?</w:t>
            </w:r>
          </w:p>
          <w:p w:rsidR="00E330FE" w:rsidRDefault="00E330FE" w:rsidP="00E330FE">
            <w:pPr>
              <w:pStyle w:val="LTAnfrageText"/>
            </w:pPr>
          </w:p>
        </w:tc>
      </w:tr>
    </w:tbl>
    <w:p w:rsidR="00E330FE" w:rsidRDefault="00E330FE" w:rsidP="00E330FE">
      <w:pPr>
        <w:pStyle w:val="LTUeberschrAntwortRessort"/>
      </w:pPr>
      <w:r>
        <w:lastRenderedPageBreak/>
        <w:t>Antwort des Staatsministeriums für Gesundheit und Pflege</w:t>
      </w:r>
    </w:p>
    <w:p w:rsidR="00E330FE" w:rsidRDefault="00E330FE" w:rsidP="00E330FE">
      <w:pPr>
        <w:pStyle w:val="LTAntwortRessortText"/>
      </w:pPr>
      <w:r>
        <w:t>Bei den vom Bezirk aktuell diskutierten Strukturveränderungen am Bezirksklinikum Obermain ha</w:t>
      </w:r>
      <w:r>
        <w:t>n</w:t>
      </w:r>
      <w:r>
        <w:t xml:space="preserve">delt es sich derzeit um eine rein trägerinterne Meinungsbildung, die deshalb auch nicht mit dem </w:t>
      </w:r>
      <w:r w:rsidR="003C4FFD">
        <w:t>Staatsministerium für Gesundheit und Pflege (StMGP)</w:t>
      </w:r>
      <w:r>
        <w:t xml:space="preserve"> abgestimmt wurde. Die Beurteilung der Sachlage aus Sicht des </w:t>
      </w:r>
      <w:r w:rsidR="003C4FFD">
        <w:t>StMGP</w:t>
      </w:r>
      <w:r>
        <w:t xml:space="preserve"> kann deshalb nur auf Grundlage der hier vorliegenden Informati</w:t>
      </w:r>
      <w:r>
        <w:t>o</w:t>
      </w:r>
      <w:r>
        <w:t>nen erfolgen.</w:t>
      </w:r>
    </w:p>
    <w:p w:rsidR="00E330FE" w:rsidRDefault="003C4FFD" w:rsidP="00E330FE">
      <w:pPr>
        <w:pStyle w:val="LTAntwortRessortText"/>
      </w:pPr>
      <w:r>
        <w:t xml:space="preserve">Der Träger </w:t>
      </w:r>
      <w:r w:rsidR="00E330FE">
        <w:t>der Bezirkskliniken Obermain plant offe</w:t>
      </w:r>
      <w:r>
        <w:t xml:space="preserve">nsichtlich, </w:t>
      </w:r>
      <w:r w:rsidR="00E330FE">
        <w:t>die beiden in Kutzenberg vorgehalt</w:t>
      </w:r>
      <w:r w:rsidR="00E330FE">
        <w:t>e</w:t>
      </w:r>
      <w:r w:rsidR="00E330FE">
        <w:t xml:space="preserve">nen operativen Fächer </w:t>
      </w:r>
      <w:r>
        <w:t>–</w:t>
      </w:r>
      <w:r w:rsidR="00E330FE">
        <w:t xml:space="preserve"> die Thoraxchirurgie und die Orthopädie </w:t>
      </w:r>
      <w:r>
        <w:t>–</w:t>
      </w:r>
      <w:r w:rsidR="00E330FE">
        <w:t xml:space="preserve"> von der Bezirksklinik weg zu ve</w:t>
      </w:r>
      <w:r w:rsidR="00E330FE">
        <w:t>r</w:t>
      </w:r>
      <w:r w:rsidR="00E330FE">
        <w:t>lagern. Der mögliche Verzicht auf die beiden in Kutzenberg vorgehaltenen operativen Fächer steht allein in der Entscheidung des Bezirks, da der Bezirk in diesem Bereich keinen gesetzlichen S</w:t>
      </w:r>
      <w:r w:rsidR="00E330FE">
        <w:t>i</w:t>
      </w:r>
      <w:r w:rsidR="00E330FE">
        <w:t xml:space="preserve">cherstellungsauftrag hat. Eine solche Entscheidung kann deshalb vom </w:t>
      </w:r>
      <w:r>
        <w:t>StMGP</w:t>
      </w:r>
      <w:r w:rsidR="00E330FE">
        <w:t xml:space="preserve"> weder beeinflusst, noch könnte sie beanstandet werden. Nach den </w:t>
      </w:r>
      <w:r w:rsidR="00877540">
        <w:t>dem StMGP</w:t>
      </w:r>
      <w:r w:rsidR="00E330FE">
        <w:t xml:space="preserve"> vorliegenden Informationen soll a</w:t>
      </w:r>
      <w:r w:rsidR="00E330FE">
        <w:t>u</w:t>
      </w:r>
      <w:r w:rsidR="00E330FE">
        <w:t>ßerdem die Versorgung im Bereich der Psychiatrie, der Psychosomatik sowie der Kinder- und J</w:t>
      </w:r>
      <w:r w:rsidR="00E330FE">
        <w:t>u</w:t>
      </w:r>
      <w:r w:rsidR="00E330FE">
        <w:t>gendpsychiatrie am Standort Kutzenberg erhalten bleiben. Das gleiche gilt für die Lungen- und Bronchialheilkunde sowie die Rheumatologie.</w:t>
      </w:r>
    </w:p>
    <w:p w:rsidR="00E330FE" w:rsidRDefault="00E330FE" w:rsidP="00E330FE">
      <w:pPr>
        <w:pStyle w:val="LTAntwortRessortText"/>
      </w:pPr>
      <w:r>
        <w:t>Welche konkreten Voraussetzungen erfüllt werden müssten, um beide chirurgische Abteilungen zur Wirtschaftlichkeit zu führen, kann nur der Träger selbst beurteilen, da dies in jedem Krankenhaus von einer Vielzahl von unterschiedlichen Faktoren abhängt und nicht pauschal für alle Kliniken b</w:t>
      </w:r>
      <w:r>
        <w:t>e</w:t>
      </w:r>
      <w:r>
        <w:t>antwortet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Abgeordneter</w:t>
            </w:r>
            <w:r w:rsidRPr="00E330FE">
              <w:br/>
            </w:r>
            <w:r w:rsidRPr="00E330FE">
              <w:rPr>
                <w:b/>
              </w:rPr>
              <w:t>Ulrich</w:t>
            </w:r>
            <w:r w:rsidRPr="00E330FE">
              <w:rPr>
                <w:b/>
              </w:rPr>
              <w:br/>
              <w:t>Leiner</w:t>
            </w:r>
            <w:r w:rsidRPr="00E330FE">
              <w:rPr>
                <w:b/>
              </w:rPr>
              <w:br/>
            </w:r>
            <w:r w:rsidRPr="00E330FE">
              <w:t>(BÜNDNIS 90/DIE GR</w:t>
            </w:r>
            <w:r w:rsidRPr="00E330FE">
              <w:t>Ü</w:t>
            </w:r>
            <w:r w:rsidRPr="00E330FE">
              <w:t>NEN)</w:t>
            </w:r>
            <w:r>
              <w:fldChar w:fldCharType="begin"/>
            </w:r>
            <w:r>
              <w:instrText xml:space="preserve"> TC </w:instrText>
            </w:r>
            <w:r w:rsidR="00793F8E">
              <w:instrText>„</w:instrText>
            </w:r>
            <w:bookmarkStart w:id="68" w:name="_Toc477421195"/>
            <w:r>
              <w:instrText>Leiner, Ulrich (BÜNDNIS 90/DIE GRÜNEN)</w:instrText>
            </w:r>
            <w:r>
              <w:br/>
              <w:instrText>Entwicklung der Kurzzeitpflegeplätze</w:instrText>
            </w:r>
            <w:bookmarkEnd w:id="68"/>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Ich frage die Staatsregierung, wie hat sich die Zahl der Pflegeplätze au</w:t>
            </w:r>
            <w:r>
              <w:t>s</w:t>
            </w:r>
            <w:r>
              <w:t>schließlich für vertraglich abgesicherte Kurzeitpflege in Bayern in den letzten fünf Jahre entwickelt, wie hat sich die Anzahl der eingestreuten Kurzzeitpfl</w:t>
            </w:r>
            <w:r>
              <w:t>e</w:t>
            </w:r>
            <w:r>
              <w:t>geplätze in Bayern in dieser Zeit entwickelt und wie hat sich die Gesamtzahl der Kurzzeitpflegeplätze insgesamt in Bayern die letzten fünf Jahre entwickelt (bitte aufgeschlüsselt nach Regierungsbezirken)?</w:t>
            </w:r>
          </w:p>
          <w:p w:rsidR="00E330FE" w:rsidRDefault="00E330FE" w:rsidP="00E330FE">
            <w:pPr>
              <w:pStyle w:val="LTAnfrageText"/>
            </w:pPr>
          </w:p>
        </w:tc>
      </w:tr>
    </w:tbl>
    <w:p w:rsidR="00E330FE" w:rsidRDefault="00E330FE" w:rsidP="00E330FE">
      <w:pPr>
        <w:pStyle w:val="LTUeberschrAntwortRessort"/>
      </w:pPr>
      <w:r>
        <w:t>Antwort des Staatsministeriums für Gesundheit und Pflege</w:t>
      </w:r>
    </w:p>
    <w:p w:rsidR="00E330FE" w:rsidRDefault="00E330FE" w:rsidP="00E330FE">
      <w:pPr>
        <w:pStyle w:val="LTAntwortRessortText"/>
      </w:pPr>
      <w:r>
        <w:t>Nach einer aktuell durch die Arbeitsgemeinschaft der Pflegekassenverbände gefertigten Auswe</w:t>
      </w:r>
      <w:r>
        <w:t>r</w:t>
      </w:r>
      <w:r>
        <w:t>tung stellt sich die Entwicklung der Anzahl an Kurzzeitpflegeplätzen zum Stand 13. März 2017 wie in der beigefügten Übersicht dar</w:t>
      </w:r>
      <w:r w:rsidR="003C4FFD">
        <w:t>*</w:t>
      </w:r>
      <w:r>
        <w:t>. Die Begriffe in der Übersicht bedeuten:</w:t>
      </w:r>
    </w:p>
    <w:p w:rsidR="00E330FE" w:rsidRDefault="00793F8E" w:rsidP="00E330FE">
      <w:pPr>
        <w:pStyle w:val="LTAntwortRessortText"/>
      </w:pPr>
      <w:r>
        <w:t>„</w:t>
      </w:r>
      <w:r w:rsidR="00E330FE">
        <w:t>Kurzzeitpflege</w:t>
      </w:r>
      <w:r>
        <w:t>“</w:t>
      </w:r>
      <w:r w:rsidR="00E330FE">
        <w:t>: die Anzahl an solitären Einrichtungen; die Anzahl an Betten in solitären Einric</w:t>
      </w:r>
      <w:r w:rsidR="00E330FE">
        <w:t>h</w:t>
      </w:r>
      <w:r w:rsidR="00E330FE">
        <w:t>tungen ist</w:t>
      </w:r>
      <w:r w:rsidR="003C4FFD">
        <w:t xml:space="preserve"> nur bayernweit verfügbar; 13. März </w:t>
      </w:r>
      <w:r w:rsidR="00E330FE">
        <w:t>2017: 171, 13.</w:t>
      </w:r>
      <w:r w:rsidR="003C4FFD">
        <w:t xml:space="preserve"> März </w:t>
      </w:r>
      <w:r w:rsidR="00E330FE">
        <w:t>2012: 329.</w:t>
      </w:r>
    </w:p>
    <w:p w:rsidR="00E330FE" w:rsidRDefault="00793F8E" w:rsidP="00E330FE">
      <w:pPr>
        <w:pStyle w:val="LTAntwortRessortText"/>
      </w:pPr>
      <w:r>
        <w:t>„</w:t>
      </w:r>
      <w:r w:rsidR="00E330FE">
        <w:t>vollstat. mit Bedarfsbetten Kurzzeitpflege</w:t>
      </w:r>
      <w:r>
        <w:t>“</w:t>
      </w:r>
      <w:r w:rsidR="00E330FE">
        <w:t>: die vollstationäre Einrichtung bietet die eingestreute Kurzzeitpflege an, was bedeutet, freie Plätze können bedarfsweise für die Kurzzeitpflege genutzt werden.</w:t>
      </w:r>
    </w:p>
    <w:p w:rsidR="00E330FE" w:rsidRDefault="00793F8E" w:rsidP="00E330FE">
      <w:pPr>
        <w:pStyle w:val="LTAntwortRessortText"/>
      </w:pPr>
      <w:r>
        <w:t>„</w:t>
      </w:r>
      <w:r w:rsidR="00E330FE">
        <w:t>vollstat. mi</w:t>
      </w:r>
      <w:r w:rsidR="003C4FFD">
        <w:t>t festen Kurzzeitpflegebetten/</w:t>
      </w:r>
      <w:r w:rsidR="00E330FE">
        <w:t>Heime</w:t>
      </w:r>
      <w:r>
        <w:t>“</w:t>
      </w:r>
      <w:r w:rsidR="00E330FE">
        <w:t>: die Anzahl der vollstationären Einrichtungen im Regierungsbezirk, welche eine Anzahl von Kurzzeitpflegeplätzen dauerhaft vorhält.</w:t>
      </w:r>
    </w:p>
    <w:p w:rsidR="00E330FE" w:rsidRDefault="00793F8E" w:rsidP="00E330FE">
      <w:pPr>
        <w:pStyle w:val="LTAntwortRessortText"/>
      </w:pPr>
      <w:r>
        <w:t>„</w:t>
      </w:r>
      <w:r w:rsidR="00E330FE">
        <w:t>vollstat. mit festen Kurzzeitp</w:t>
      </w:r>
      <w:r w:rsidR="003C4FFD">
        <w:t>flegebetten/</w:t>
      </w:r>
      <w:r w:rsidR="00E330FE">
        <w:t>Bettenzahl</w:t>
      </w:r>
      <w:r>
        <w:t>“</w:t>
      </w:r>
      <w:r w:rsidR="00E330FE">
        <w:t>: die dazugehörige Platzzahl der Kurzzeitpflege im Regierungsbezirk; erklärt am Beispiel des Bezirks Unterfranken</w:t>
      </w:r>
      <w:r w:rsidR="00877540">
        <w:t>,</w:t>
      </w:r>
      <w:r w:rsidR="00E330FE">
        <w:t xml:space="preserve"> bedeutet dies:15 vollstationäre Einrichtungen halten 51 Plätze für die Kurzzeitpflege vor.</w:t>
      </w:r>
    </w:p>
    <w:p w:rsidR="00E330FE" w:rsidRDefault="00E330FE" w:rsidP="00541985">
      <w:pPr>
        <w:pStyle w:val="LTAntwortRessortText"/>
        <w:spacing w:before="360"/>
      </w:pPr>
      <w:r>
        <w:lastRenderedPageBreak/>
        <w:t>Der Übersicht ist zu entnehmen, dass im Vergleichszeitraum ein bayernweiter Rückgang an verfü</w:t>
      </w:r>
      <w:r>
        <w:t>g</w:t>
      </w:r>
      <w:r>
        <w:t>baren Kurzzeitpflegeplätzen zu verzeichnen ist. Der Staatsregierung ist wichtig, dass Angebote für häuslich Pflegende in ausreichender Anzahl zur Verfügung stehen</w:t>
      </w:r>
      <w:r w:rsidR="00877540">
        <w:t>.</w:t>
      </w:r>
      <w:r>
        <w:t xml:space="preserve"> </w:t>
      </w:r>
      <w:r w:rsidR="00877540">
        <w:t>Sie</w:t>
      </w:r>
      <w:r>
        <w:t xml:space="preserve"> sieht die nach Art. 72 </w:t>
      </w:r>
      <w:r w:rsidR="003C4FFD">
        <w:t xml:space="preserve">des </w:t>
      </w:r>
      <w:r w:rsidR="003C4FFD" w:rsidRPr="003C4FFD">
        <w:t>Gesetz</w:t>
      </w:r>
      <w:r w:rsidR="003C4FFD">
        <w:t>es</w:t>
      </w:r>
      <w:r w:rsidR="003C4FFD" w:rsidRPr="003C4FFD">
        <w:t xml:space="preserve"> zur Ausführung der Sozialgesetze </w:t>
      </w:r>
      <w:r w:rsidR="003C4FFD">
        <w:t>(</w:t>
      </w:r>
      <w:r>
        <w:t>AGSG</w:t>
      </w:r>
      <w:r w:rsidR="003C4FFD">
        <w:t>)</w:t>
      </w:r>
      <w:r>
        <w:t xml:space="preserve"> rechtlich als Aufgabenträger zuständigen Landkreise und kreisfreien Städte in der Verantwortung, auf eine rechtzeitige und ausreichende Versorgung hinzuwirken. Die Staatsregierung verkennt aber nicht, dass finanzielle und strukturelle Planungen für die</w:t>
      </w:r>
      <w:r w:rsidR="003C4FFD">
        <w:t xml:space="preserve"> </w:t>
      </w:r>
      <w:r>
        <w:t>Kurzzeitpflege allein der Selbstverwaltungshoheit der Anbieter obliegen. Diesb</w:t>
      </w:r>
      <w:r>
        <w:t>e</w:t>
      </w:r>
      <w:r>
        <w:t>züglich steht sie im Austausch mit den Selbstverwaltungspartnern und ermuntert diese, konstruktive Lösungen im Hinblick auf eine Erhöhung der Platzzahlen zu finden.</w:t>
      </w:r>
    </w:p>
    <w:p w:rsidR="00E330FE" w:rsidRDefault="00E330FE" w:rsidP="00541985">
      <w:pPr>
        <w:pStyle w:val="LTAntwortRessortText"/>
        <w:spacing w:before="360"/>
      </w:pPr>
      <w:r>
        <w:t xml:space="preserve">Eine zeitlich begrenzte stationäre Kurzzeitpflege kann für Entlastung im häuslichen Pflegealltag sorgen. Eine Vielzahl von </w:t>
      </w:r>
      <w:r w:rsidR="003C4FFD">
        <w:t>–</w:t>
      </w:r>
      <w:r>
        <w:t xml:space="preserve"> auch plötzlich auftretenden </w:t>
      </w:r>
      <w:r w:rsidR="003C4FFD">
        <w:t>–</w:t>
      </w:r>
      <w:r>
        <w:t xml:space="preserve"> Gründen, eine Kurzzeitpflege in Anspruch zu nehmen, macht eine Platzvorhaltung unter Umständen aber nicht konkret planbar für Anbieter derartiger Plätze und kann, auch aufgrund saisonaler Nachfrageschwankungen, zu Leerständen während bestimmter Zeiträume führen.</w:t>
      </w:r>
    </w:p>
    <w:p w:rsidR="00E330FE" w:rsidRDefault="00E330FE" w:rsidP="00541985">
      <w:pPr>
        <w:pStyle w:val="LTAntwortRessortText"/>
        <w:spacing w:before="360"/>
      </w:pPr>
      <w:r>
        <w:t>Damit verbundene finanzielle Unwägbarkeiten für die Anbieter sind im Leistungsrecht der Pfleg</w:t>
      </w:r>
      <w:r>
        <w:t>e</w:t>
      </w:r>
      <w:r>
        <w:t>versicherung begründet, denn diese erbringt keine Kosten für zeitweise nicht genutzte Kurzzeitpfl</w:t>
      </w:r>
      <w:r>
        <w:t>e</w:t>
      </w:r>
      <w:r>
        <w:t>geplätze. Die Pflegekasse übernimmt die pflegebedingten Aufwendungen einschließlich der Au</w:t>
      </w:r>
      <w:r>
        <w:t>f</w:t>
      </w:r>
      <w:r>
        <w:t>wendungen für Betreuung sowie die Aufwendungen für Leistungen der medizinischen Behan</w:t>
      </w:r>
      <w:r>
        <w:t>d</w:t>
      </w:r>
      <w:r>
        <w:t xml:space="preserve">lungspflege </w:t>
      </w:r>
      <w:r w:rsidR="003C4FFD">
        <w:t>–</w:t>
      </w:r>
      <w:r>
        <w:t xml:space="preserve"> nicht jedoch die </w:t>
      </w:r>
      <w:r w:rsidR="00793F8E">
        <w:t>„</w:t>
      </w:r>
      <w:r>
        <w:t>Hotelkosten</w:t>
      </w:r>
      <w:r w:rsidR="00793F8E">
        <w:t>“</w:t>
      </w:r>
      <w:r>
        <w:t xml:space="preserve"> für Unterkunft und Verpflegung</w:t>
      </w:r>
      <w:r w:rsidR="003C4FFD">
        <w:t xml:space="preserve"> –</w:t>
      </w:r>
      <w:r>
        <w:t xml:space="preserve"> bis zu einem G</w:t>
      </w:r>
      <w:r>
        <w:t>e</w:t>
      </w:r>
      <w:r>
        <w:t>samtbetrag von 1.612 Euro pro Kalenderjahr. Diese Leistungen erbringt die Pflegeversicherung j</w:t>
      </w:r>
      <w:r>
        <w:t>e</w:t>
      </w:r>
      <w:r>
        <w:t>doch nur für Pflegebedürftige, wenn und solange sie Kurzzeitpflege tatsächlich in Anspruch ne</w:t>
      </w:r>
      <w:r>
        <w:t>h</w:t>
      </w:r>
      <w:r>
        <w:t>men. Für nicht besetzte Kurzzeitpflegeplätze übernimmt die Pflegeversicherung dagegen keine Kosten.</w:t>
      </w:r>
    </w:p>
    <w:p w:rsidR="00E330FE" w:rsidRDefault="00E330FE" w:rsidP="00541985">
      <w:pPr>
        <w:pStyle w:val="LTAntwortRessortText"/>
        <w:spacing w:before="360"/>
      </w:pPr>
      <w:r>
        <w:t>Da es sich beim Recht der sozialen Pflegeversicherung um Bundesrecht handelt, kann an dieser Regelung auf Landesebene keine Änderung herbeigeführt werden. Es wäre Sache des Bundesg</w:t>
      </w:r>
      <w:r>
        <w:t>e</w:t>
      </w:r>
      <w:r>
        <w:t xml:space="preserve">setzgebers, gegebenenfalls </w:t>
      </w:r>
      <w:r w:rsidR="003C4FFD">
        <w:t>–</w:t>
      </w:r>
      <w:r>
        <w:t xml:space="preserve"> falls hierfür aus politischer Sicht eine Notwendigkeit gesehen wird </w:t>
      </w:r>
      <w:r w:rsidR="003C4FFD">
        <w:t>–</w:t>
      </w:r>
      <w:r>
        <w:t xml:space="preserve"> </w:t>
      </w:r>
      <w:r w:rsidR="003C4FFD">
        <w:t xml:space="preserve">eine Regelung zu treffen, die es </w:t>
      </w:r>
      <w:r>
        <w:t xml:space="preserve">den </w:t>
      </w:r>
      <w:r w:rsidR="003C4FFD">
        <w:t xml:space="preserve">Anbietern </w:t>
      </w:r>
      <w:r>
        <w:t>e</w:t>
      </w:r>
      <w:r w:rsidR="003C4FFD">
        <w:t xml:space="preserve">rmöglichen könnte, </w:t>
      </w:r>
      <w:r>
        <w:t>auch</w:t>
      </w:r>
      <w:r w:rsidR="003C4FFD">
        <w:t xml:space="preserve"> </w:t>
      </w:r>
      <w:r w:rsidR="00793F8E">
        <w:t>„</w:t>
      </w:r>
      <w:r>
        <w:t>Vorhaltekosten</w:t>
      </w:r>
      <w:r w:rsidR="00793F8E">
        <w:t>“</w:t>
      </w:r>
      <w:r>
        <w:t xml:space="preserve"> für zweitweise nicht genutzte Kurzzeitpflegeplätze über die Pflegeversicherung (oder evtl. auch aus anderweitigen Quellen) zu refinanzieren.</w:t>
      </w:r>
    </w:p>
    <w:p w:rsidR="00E330FE" w:rsidRDefault="003C4FFD" w:rsidP="00E330FE">
      <w:pPr>
        <w:pStyle w:val="LTAntwortRessortText"/>
        <w:rPr>
          <w:sz w:val="24"/>
          <w:vertAlign w:val="superscript"/>
        </w:rPr>
      </w:pPr>
      <w:r w:rsidRPr="003C4FFD">
        <w:rPr>
          <w:sz w:val="24"/>
          <w:vertAlign w:val="superscript"/>
        </w:rPr>
        <w:t xml:space="preserve">*) Von einem Abdruck wurde abgesehen. Die Übersicht ist als pdf-Dokument </w:t>
      </w:r>
      <w:hyperlink r:id="rId22" w:history="1">
        <w:r w:rsidRPr="009F62C7">
          <w:rPr>
            <w:rStyle w:val="Hyperlink"/>
            <w:sz w:val="24"/>
            <w:vertAlign w:val="superscript"/>
          </w:rPr>
          <w:t xml:space="preserve">hier </w:t>
        </w:r>
      </w:hyperlink>
      <w:r w:rsidRPr="003C4FFD">
        <w:rPr>
          <w:sz w:val="24"/>
          <w:vertAlign w:val="superscript"/>
        </w:rPr>
        <w:t xml:space="preserve">einsehbar. </w:t>
      </w:r>
    </w:p>
    <w:p w:rsidR="00541985" w:rsidRPr="003C4FFD" w:rsidRDefault="00541985" w:rsidP="00E330FE">
      <w:pPr>
        <w:pStyle w:val="LTAntwortRessortText"/>
        <w:rPr>
          <w:sz w:val="24"/>
          <w:vertAlign w:val="superscript"/>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E330FE" w:rsidTr="00E330FE">
        <w:tc>
          <w:tcPr>
            <w:tcW w:w="2050" w:type="dxa"/>
            <w:shd w:val="clear" w:color="auto" w:fill="auto"/>
          </w:tcPr>
          <w:p w:rsidR="00E330FE" w:rsidRPr="00E330FE" w:rsidRDefault="00E330FE" w:rsidP="00E330FE">
            <w:pPr>
              <w:pStyle w:val="LTNumAnfrageIni1"/>
            </w:pPr>
            <w:r w:rsidRPr="00E330FE">
              <w:t>Abgeordnete</w:t>
            </w:r>
            <w:r w:rsidRPr="00E330FE">
              <w:br/>
            </w:r>
            <w:r w:rsidRPr="00E330FE">
              <w:rPr>
                <w:b/>
              </w:rPr>
              <w:t>Kathrin</w:t>
            </w:r>
            <w:r w:rsidRPr="00E330FE">
              <w:rPr>
                <w:b/>
              </w:rPr>
              <w:br/>
              <w:t>Sonnenholzner</w:t>
            </w:r>
            <w:r w:rsidRPr="00E330FE">
              <w:rPr>
                <w:b/>
              </w:rPr>
              <w:br/>
            </w:r>
            <w:r w:rsidRPr="00E330FE">
              <w:t>(SPD)</w:t>
            </w:r>
            <w:r>
              <w:fldChar w:fldCharType="begin"/>
            </w:r>
            <w:r>
              <w:instrText xml:space="preserve"> TC </w:instrText>
            </w:r>
            <w:r w:rsidR="00793F8E">
              <w:instrText>„</w:instrText>
            </w:r>
            <w:bookmarkStart w:id="69" w:name="_Toc477421196"/>
            <w:r>
              <w:instrText>Sonnenholzner, Kathrin (SPD)</w:instrText>
            </w:r>
            <w:r>
              <w:br/>
              <w:instrText>Projekt zur sozialpädagogische Begleitung in der Altenpflegeausbildung</w:instrText>
            </w:r>
            <w:bookmarkEnd w:id="69"/>
            <w:r>
              <w:instrText xml:space="preserve"> </w:instrText>
            </w:r>
            <w:r w:rsidR="00793F8E">
              <w:instrText>„</w:instrText>
            </w:r>
            <w:r>
              <w:instrText xml:space="preserve"> \l 2 </w:instrText>
            </w:r>
            <w:r>
              <w:fldChar w:fldCharType="end"/>
            </w:r>
          </w:p>
        </w:tc>
        <w:tc>
          <w:tcPr>
            <w:tcW w:w="7200" w:type="dxa"/>
            <w:shd w:val="clear" w:color="auto" w:fill="auto"/>
          </w:tcPr>
          <w:p w:rsidR="00E330FE" w:rsidRDefault="00E330FE" w:rsidP="00E330FE">
            <w:pPr>
              <w:pStyle w:val="LTAnfrageText"/>
            </w:pPr>
            <w:r>
              <w:t>Nachdem die Staatsministerin für Gesundheit und Pflege, Melanie Huml, am 18. August 2015 laut Pressemitteilung ein Projekt für sozialpädagogische B</w:t>
            </w:r>
            <w:r>
              <w:t>e</w:t>
            </w:r>
            <w:r>
              <w:t>gleitung in der Altenpflegeausbildung startete, frage ich die Staatsregierung, welche Erfahrungen es mit diesem Projekt gibt und ob an eine flächendecke</w:t>
            </w:r>
            <w:r>
              <w:t>n</w:t>
            </w:r>
            <w:r>
              <w:t>de Etablierung dieser Betreuung gedacht ist?</w:t>
            </w:r>
          </w:p>
          <w:p w:rsidR="00E330FE" w:rsidRDefault="00E330FE" w:rsidP="00E330FE">
            <w:pPr>
              <w:pStyle w:val="LTAnfrageText"/>
            </w:pPr>
          </w:p>
        </w:tc>
      </w:tr>
    </w:tbl>
    <w:p w:rsidR="00541985" w:rsidRDefault="00541985" w:rsidP="00E330FE">
      <w:pPr>
        <w:pStyle w:val="LTUeberschrAntwortRessort"/>
      </w:pPr>
    </w:p>
    <w:p w:rsidR="00541985" w:rsidRDefault="00541985">
      <w:pPr>
        <w:rPr>
          <w:b/>
          <w:szCs w:val="22"/>
        </w:rPr>
      </w:pPr>
      <w:r>
        <w:br w:type="page"/>
      </w:r>
    </w:p>
    <w:p w:rsidR="00E330FE" w:rsidRDefault="00E330FE" w:rsidP="00E330FE">
      <w:pPr>
        <w:pStyle w:val="LTUeberschrAntwortRessort"/>
      </w:pPr>
      <w:r>
        <w:lastRenderedPageBreak/>
        <w:t>Antwort des Staatsministeriums für Gesundheit und Pflege</w:t>
      </w:r>
    </w:p>
    <w:p w:rsidR="00E330FE" w:rsidRDefault="00E330FE" w:rsidP="00541985">
      <w:pPr>
        <w:pStyle w:val="LTAntwortRessortText"/>
        <w:spacing w:before="360"/>
      </w:pPr>
      <w:r>
        <w:t>Im Rahmen des Europäischen Sozialfonds werden sechs Projekte zur Verringerung von Ausbi</w:t>
      </w:r>
      <w:r>
        <w:t>l</w:t>
      </w:r>
      <w:r>
        <w:t>dungsab</w:t>
      </w:r>
      <w:r w:rsidR="00877540">
        <w:t>brüchen in der Altenpflege als s</w:t>
      </w:r>
      <w:r>
        <w:t>oziale Innovation über zwei Schuljahre (2015/2016 und 2016/2017) gefördert, das Staatsministerium für Gesundheit und Pflege übernimmt die Kofinanzi</w:t>
      </w:r>
      <w:r>
        <w:t>e</w:t>
      </w:r>
      <w:r>
        <w:t>rung.</w:t>
      </w:r>
    </w:p>
    <w:p w:rsidR="00E330FE" w:rsidRDefault="00E330FE" w:rsidP="00541985">
      <w:pPr>
        <w:pStyle w:val="LTAntwortRessortText"/>
        <w:spacing w:before="360"/>
      </w:pPr>
      <w:r>
        <w:t>In den Projekten werden angehende Altenpflegerinnen und Altenpfleger sowie Altenpflegehelferi</w:t>
      </w:r>
      <w:r>
        <w:t>n</w:t>
      </w:r>
      <w:r>
        <w:t>nen und Altenpflegehelfer an den Berufsfachschulen für Altenpflege begleitet. Die Projektträger h</w:t>
      </w:r>
      <w:r>
        <w:t>a</w:t>
      </w:r>
      <w:r>
        <w:t>ben nach einem Jahr Zwischenberichte vorgelegt.</w:t>
      </w:r>
    </w:p>
    <w:p w:rsidR="00E330FE" w:rsidRDefault="00E330FE" w:rsidP="00541985">
      <w:pPr>
        <w:pStyle w:val="LTAntwortRessortText"/>
        <w:spacing w:before="360"/>
      </w:pPr>
      <w:r>
        <w:t xml:space="preserve">Bislang liegt die Abbrecherquote in den Projekten bei 14 </w:t>
      </w:r>
      <w:r w:rsidR="00793F8E">
        <w:t>Prozent</w:t>
      </w:r>
      <w:r>
        <w:t>. Zu beachten ist allerdings, dass zum Zeitpunkt der Betrachtung viele Teilnehmerinnen und Teilnehmer ihre Ausbildung noch nicht vollständig abgeschlossen haben, so dass eine belastbare Bewertung über den Erfolg der Förd</w:t>
      </w:r>
      <w:r>
        <w:t>e</w:t>
      </w:r>
      <w:r>
        <w:t>rung derzeit noch nicht möglich ist.</w:t>
      </w:r>
    </w:p>
    <w:p w:rsidR="00E330FE" w:rsidRDefault="00E330FE" w:rsidP="00541985">
      <w:pPr>
        <w:pStyle w:val="LTAntwortRessortText"/>
        <w:spacing w:before="360"/>
      </w:pPr>
      <w:r>
        <w:t>Festzustellen ist bereits jetzt, dass im Rahmen des Projekts der Bedarf an sozialpädagogischer B</w:t>
      </w:r>
      <w:r>
        <w:t>e</w:t>
      </w:r>
      <w:r>
        <w:t>gleitung bei den angehenden Altenpflegehelferinnen und -helfern höher erscheint als bei den Au</w:t>
      </w:r>
      <w:r>
        <w:t>s</w:t>
      </w:r>
      <w:r>
        <w:t>zubildenden zur Altenpflegefachkraft.</w:t>
      </w:r>
    </w:p>
    <w:p w:rsidR="00E330FE" w:rsidRDefault="00E330FE" w:rsidP="00541985">
      <w:pPr>
        <w:pStyle w:val="LTAntwortRessortText"/>
        <w:spacing w:before="360"/>
      </w:pPr>
      <w:r>
        <w:t>Eine abschließende Bewertung wird nach zweijähriger Laufzeit erfolgen.</w:t>
      </w:r>
    </w:p>
    <w:p w:rsidR="00E330FE" w:rsidRDefault="00E330FE" w:rsidP="00E330FE">
      <w:pPr>
        <w:pStyle w:val="LTUeberschrRessort"/>
      </w:pPr>
    </w:p>
    <w:sectPr w:rsidR="00E330FE" w:rsidSect="001579D6">
      <w:headerReference w:type="even" r:id="rId23"/>
      <w:headerReference w:type="default" r:id="rId24"/>
      <w:footerReference w:type="default" r:id="rId25"/>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E7" w:rsidRDefault="000317E7">
      <w:r>
        <w:separator/>
      </w:r>
    </w:p>
  </w:endnote>
  <w:endnote w:type="continuationSeparator" w:id="0">
    <w:p w:rsidR="000317E7" w:rsidRDefault="0003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Pr="009C32BE" w:rsidRDefault="000317E7"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Default="000317E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Pr="00311533" w:rsidRDefault="000317E7"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E7" w:rsidRDefault="000317E7">
      <w:r>
        <w:separator/>
      </w:r>
    </w:p>
  </w:footnote>
  <w:footnote w:type="continuationSeparator" w:id="0">
    <w:p w:rsidR="000317E7" w:rsidRDefault="0003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Default="000317E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5C3DB8">
      <w:fldChar w:fldCharType="begin"/>
    </w:r>
    <w:r w:rsidR="005C3DB8">
      <w:instrText xml:space="preserve"> DOCVARIABLE  "Wp" \* MERGEFORMAT </w:instrText>
    </w:r>
    <w:r w:rsidR="005C3DB8">
      <w:fldChar w:fldCharType="separate"/>
    </w:r>
    <w:r w:rsidR="004D19E0">
      <w:t>17</w:t>
    </w:r>
    <w:r w:rsidR="005C3DB8">
      <w:fldChar w:fldCharType="end"/>
    </w:r>
    <w:r w:rsidRPr="00CA6785">
      <w:t>/</w:t>
    </w:r>
    <w:r>
      <w:rPr>
        <w:b/>
      </w:rPr>
      <w:fldChar w:fldCharType="begin"/>
    </w:r>
    <w:r>
      <w:rPr>
        <w:b/>
      </w:rPr>
      <w:instrText xml:space="preserve"> DOCVARIABLE  "Drsnr" \* MERGEFORMAT </w:instrText>
    </w:r>
    <w:r>
      <w:rPr>
        <w:b/>
      </w:rPr>
      <w:fldChar w:fldCharType="separate"/>
    </w:r>
    <w:r w:rsidR="004D19E0">
      <w:rPr>
        <w:b/>
      </w:rPr>
      <w:t>16027</w:t>
    </w:r>
    <w:r>
      <w:rPr>
        <w:b/>
      </w:rPr>
      <w:fldChar w:fldCharType="end"/>
    </w:r>
    <w:r>
      <w:tab/>
    </w:r>
    <w:r>
      <w:tab/>
    </w:r>
    <w:r w:rsidRPr="009A2D8C">
      <w:t>Bayerischer Landtag</w:t>
    </w:r>
    <w:r>
      <w:t xml:space="preserve"> -</w:t>
    </w:r>
    <w:r w:rsidR="005C3DB8">
      <w:fldChar w:fldCharType="begin"/>
    </w:r>
    <w:r w:rsidR="005C3DB8">
      <w:instrText xml:space="preserve"> DOCVARIABLE  "Wp" \* MERGEFORMAT </w:instrText>
    </w:r>
    <w:r w:rsidR="005C3DB8">
      <w:fldChar w:fldCharType="separate"/>
    </w:r>
    <w:r w:rsidR="004D19E0">
      <w:t>17</w:t>
    </w:r>
    <w:r w:rsidR="005C3DB8">
      <w:fldChar w:fldCharType="end"/>
    </w:r>
    <w:r>
      <w:t>. Wahlperiode</w:t>
    </w:r>
  </w:p>
  <w:p w:rsidR="000317E7" w:rsidRDefault="000317E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Default="000317E7"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5C3DB8">
      <w:fldChar w:fldCharType="begin"/>
    </w:r>
    <w:r w:rsidR="005C3DB8">
      <w:instrText xml:space="preserve"> DOCVARIABLE  "Wp" \* MERGEFORMAT </w:instrText>
    </w:r>
    <w:r w:rsidR="005C3DB8">
      <w:fldChar w:fldCharType="separate"/>
    </w:r>
    <w:r w:rsidR="004D19E0">
      <w:t>17</w:t>
    </w:r>
    <w:r w:rsidR="005C3DB8">
      <w:fldChar w:fldCharType="end"/>
    </w:r>
    <w:r>
      <w:t>. Wahlperiode</w:t>
    </w:r>
    <w:r>
      <w:tab/>
    </w:r>
    <w:r>
      <w:tab/>
    </w:r>
    <w:r w:rsidRPr="009A2D8C">
      <w:rPr>
        <w:b/>
      </w:rPr>
      <w:t>Drucksache</w:t>
    </w:r>
    <w:r>
      <w:rPr>
        <w:b/>
      </w:rPr>
      <w:t xml:space="preserve"> </w:t>
    </w:r>
    <w:r w:rsidR="005C3DB8">
      <w:fldChar w:fldCharType="begin"/>
    </w:r>
    <w:r w:rsidR="005C3DB8">
      <w:instrText xml:space="preserve"> DOCVARIABLE  "Wp" \* MERGEFORMAT </w:instrText>
    </w:r>
    <w:r w:rsidR="005C3DB8">
      <w:fldChar w:fldCharType="separate"/>
    </w:r>
    <w:r w:rsidR="004D19E0">
      <w:t>17</w:t>
    </w:r>
    <w:r w:rsidR="005C3DB8">
      <w:fldChar w:fldCharType="end"/>
    </w:r>
    <w:r w:rsidRPr="00CA6785">
      <w:t>/</w:t>
    </w:r>
    <w:r>
      <w:rPr>
        <w:b/>
      </w:rPr>
      <w:fldChar w:fldCharType="begin"/>
    </w:r>
    <w:r>
      <w:rPr>
        <w:b/>
      </w:rPr>
      <w:instrText xml:space="preserve"> DOCVARIABLE  "Drsnr" \* MERGEFORMAT </w:instrText>
    </w:r>
    <w:r>
      <w:rPr>
        <w:b/>
      </w:rPr>
      <w:fldChar w:fldCharType="separate"/>
    </w:r>
    <w:r w:rsidR="004D19E0">
      <w:rPr>
        <w:b/>
      </w:rPr>
      <w:t>16027</w:t>
    </w:r>
    <w:r>
      <w:rPr>
        <w:b/>
      </w:rPr>
      <w:fldChar w:fldCharType="end"/>
    </w:r>
  </w:p>
  <w:p w:rsidR="000317E7" w:rsidRPr="00C127DA" w:rsidRDefault="000317E7"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Default="000317E7"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477D44" w:rsidRPr="00477D44">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477D44">
      <w:rPr>
        <w:sz w:val="22"/>
        <w:szCs w:val="22"/>
      </w:rPr>
      <w:t>16.03.2017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477D44" w:rsidRPr="00477D44">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477D44" w:rsidRPr="00477D44">
      <w:rPr>
        <w:b/>
        <w:bCs/>
        <w:sz w:val="42"/>
        <w:szCs w:val="42"/>
      </w:rPr>
      <w:t>16027</w:t>
    </w:r>
    <w:r w:rsidRPr="00853926">
      <w:rPr>
        <w:b/>
        <w:sz w:val="42"/>
        <w:szCs w:val="42"/>
      </w:rPr>
      <w:fldChar w:fldCharType="end"/>
    </w:r>
  </w:p>
  <w:p w:rsidR="000317E7" w:rsidRPr="00812558" w:rsidRDefault="000317E7"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Default="000317E7"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D19E0">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D19E0">
      <w:rPr>
        <w:b/>
        <w:szCs w:val="20"/>
      </w:rPr>
      <w:t>16027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D19E0">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D19E0">
      <w:rPr>
        <w:rStyle w:val="Seitenzahl"/>
        <w:noProof/>
        <w:szCs w:val="20"/>
      </w:rPr>
      <w:t>V</w:t>
    </w:r>
    <w:r w:rsidRPr="00DE5B17">
      <w:rPr>
        <w:rStyle w:val="Seitenzahl"/>
        <w:szCs w:val="20"/>
      </w:rPr>
      <w:fldChar w:fldCharType="end"/>
    </w:r>
  </w:p>
  <w:p w:rsidR="000317E7" w:rsidRPr="00861320" w:rsidRDefault="000317E7"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Pr="00A44F63" w:rsidRDefault="000317E7"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D19E0">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D19E0">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D19E0">
      <w:rPr>
        <w:b/>
        <w:szCs w:val="20"/>
      </w:rPr>
      <w:t>16027</w:t>
    </w:r>
    <w:r w:rsidRPr="00A44F63">
      <w:rPr>
        <w:b/>
        <w:szCs w:val="20"/>
      </w:rPr>
      <w:fldChar w:fldCharType="end"/>
    </w:r>
  </w:p>
  <w:p w:rsidR="000317E7" w:rsidRPr="004B2185" w:rsidRDefault="000317E7"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Pr="00A44F63" w:rsidRDefault="000317E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D19E0">
      <w:rPr>
        <w:rStyle w:val="Seitenzahl"/>
        <w:noProof/>
        <w:szCs w:val="20"/>
      </w:rPr>
      <w:t>52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D19E0">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D19E0">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D19E0">
      <w:rPr>
        <w:b/>
        <w:szCs w:val="20"/>
      </w:rPr>
      <w:t>16027</w:t>
    </w:r>
    <w:r w:rsidRPr="00A44F63">
      <w:rPr>
        <w:b/>
        <w:szCs w:val="20"/>
      </w:rPr>
      <w:fldChar w:fldCharType="end"/>
    </w:r>
  </w:p>
  <w:p w:rsidR="000317E7" w:rsidRPr="00861320" w:rsidRDefault="000317E7"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E7" w:rsidRPr="00DE5B17" w:rsidRDefault="000317E7"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4D19E0">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4D19E0">
      <w:rPr>
        <w:b/>
        <w:szCs w:val="20"/>
      </w:rPr>
      <w:t>16027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4D19E0">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4D19E0">
      <w:rPr>
        <w:rStyle w:val="Seitenzahl"/>
        <w:noProof/>
        <w:szCs w:val="20"/>
      </w:rPr>
      <w:t>52</w:t>
    </w:r>
    <w:r w:rsidRPr="00DE5B17">
      <w:rPr>
        <w:rStyle w:val="Seitenzahl"/>
        <w:szCs w:val="20"/>
      </w:rPr>
      <w:fldChar w:fldCharType="end"/>
    </w:r>
  </w:p>
  <w:p w:rsidR="000317E7" w:rsidRPr="00601929" w:rsidRDefault="000317E7"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02B048BD"/>
    <w:multiLevelType w:val="hybridMultilevel"/>
    <w:tmpl w:val="79AEAF16"/>
    <w:lvl w:ilvl="0" w:tplc="37841854">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1">
    <w:nsid w:val="18A35F9A"/>
    <w:multiLevelType w:val="hybridMultilevel"/>
    <w:tmpl w:val="B630FEB2"/>
    <w:lvl w:ilvl="0" w:tplc="37841854">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2">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F7686A"/>
    <w:multiLevelType w:val="hybridMultilevel"/>
    <w:tmpl w:val="F252C388"/>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29C3943"/>
    <w:multiLevelType w:val="hybridMultilevel"/>
    <w:tmpl w:val="F1EA3F56"/>
    <w:lvl w:ilvl="0" w:tplc="6AE2F98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1">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57472E2"/>
    <w:multiLevelType w:val="hybridMultilevel"/>
    <w:tmpl w:val="19064E00"/>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C9138DD"/>
    <w:multiLevelType w:val="hybridMultilevel"/>
    <w:tmpl w:val="5D620876"/>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nsid w:val="70925988"/>
    <w:multiLevelType w:val="hybridMultilevel"/>
    <w:tmpl w:val="125CB7C0"/>
    <w:lvl w:ilvl="0" w:tplc="37841854">
      <w:start w:val="1"/>
      <w:numFmt w:val="bullet"/>
      <w:lvlText w:val=""/>
      <w:lvlJc w:val="left"/>
      <w:pPr>
        <w:ind w:left="1780" w:hanging="360"/>
      </w:pPr>
      <w:rPr>
        <w:rFonts w:ascii="Symbol" w:hAnsi="Symbol"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7">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B7178B1"/>
    <w:multiLevelType w:val="hybridMultilevel"/>
    <w:tmpl w:val="1BB8A1E4"/>
    <w:lvl w:ilvl="0" w:tplc="37841854">
      <w:start w:val="1"/>
      <w:numFmt w:val="bullet"/>
      <w:lvlText w:val=""/>
      <w:lvlJc w:val="left"/>
      <w:pPr>
        <w:ind w:left="1060" w:hanging="360"/>
      </w:pPr>
      <w:rPr>
        <w:rFonts w:ascii="Symbol" w:hAnsi="Symbol" w:hint="default"/>
      </w:rPr>
    </w:lvl>
    <w:lvl w:ilvl="1" w:tplc="40CAF0F0">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27"/>
  </w:num>
  <w:num w:numId="2">
    <w:abstractNumId w:val="14"/>
  </w:num>
  <w:num w:numId="3">
    <w:abstractNumId w:val="19"/>
  </w:num>
  <w:num w:numId="4">
    <w:abstractNumId w:val="23"/>
  </w:num>
  <w:num w:numId="5">
    <w:abstractNumId w:val="21"/>
  </w:num>
  <w:num w:numId="6">
    <w:abstractNumId w:val="18"/>
  </w:num>
  <w:num w:numId="7">
    <w:abstractNumId w:val="12"/>
  </w:num>
  <w:num w:numId="8">
    <w:abstractNumId w:val="13"/>
  </w:num>
  <w:num w:numId="9">
    <w:abstractNumId w:val="24"/>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20"/>
  </w:num>
  <w:num w:numId="26">
    <w:abstractNumId w:val="15"/>
  </w:num>
  <w:num w:numId="27">
    <w:abstractNumId w:val="26"/>
  </w:num>
  <w:num w:numId="28">
    <w:abstractNumId w:val="22"/>
  </w:num>
  <w:num w:numId="29">
    <w:abstractNumId w:val="11"/>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KBYbnFvo5VhqSa9s1e8TFLKC0Ro=" w:salt="Dr5gYO+o+BeQGW3ZvCkPNA=="/>
  <w:defaultTabStop w:val="709"/>
  <w:autoHyphenation/>
  <w:hyphenationZone w:val="425"/>
  <w:evenAndOddHeader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6027"/>
    <w:docVar w:name="Eingangsdatum" w:val="16.03.2017"/>
    <w:docVar w:name="Wochendatum" w:val="13. März 2017"/>
    <w:docVar w:name="Wp" w:val="17"/>
  </w:docVars>
  <w:rsids>
    <w:rsidRoot w:val="00E330FE"/>
    <w:rsid w:val="000016F1"/>
    <w:rsid w:val="00002517"/>
    <w:rsid w:val="00006292"/>
    <w:rsid w:val="000317E7"/>
    <w:rsid w:val="000371B5"/>
    <w:rsid w:val="00043B70"/>
    <w:rsid w:val="00051C24"/>
    <w:rsid w:val="000614E0"/>
    <w:rsid w:val="00061EB3"/>
    <w:rsid w:val="000779F7"/>
    <w:rsid w:val="0008006F"/>
    <w:rsid w:val="00083D54"/>
    <w:rsid w:val="000B764D"/>
    <w:rsid w:val="000C480A"/>
    <w:rsid w:val="000C71A5"/>
    <w:rsid w:val="000C72A9"/>
    <w:rsid w:val="000C7D5A"/>
    <w:rsid w:val="000E4D3E"/>
    <w:rsid w:val="000E73CC"/>
    <w:rsid w:val="000F109F"/>
    <w:rsid w:val="00103516"/>
    <w:rsid w:val="00104452"/>
    <w:rsid w:val="001132BE"/>
    <w:rsid w:val="0011501C"/>
    <w:rsid w:val="001171EA"/>
    <w:rsid w:val="00135D97"/>
    <w:rsid w:val="00136D38"/>
    <w:rsid w:val="0015184F"/>
    <w:rsid w:val="00154F5F"/>
    <w:rsid w:val="001576CA"/>
    <w:rsid w:val="001579D6"/>
    <w:rsid w:val="00163927"/>
    <w:rsid w:val="001676F2"/>
    <w:rsid w:val="00171CDA"/>
    <w:rsid w:val="001E3461"/>
    <w:rsid w:val="001F240A"/>
    <w:rsid w:val="00215CAA"/>
    <w:rsid w:val="00226E30"/>
    <w:rsid w:val="00231278"/>
    <w:rsid w:val="0023365B"/>
    <w:rsid w:val="002375B2"/>
    <w:rsid w:val="00246DE7"/>
    <w:rsid w:val="002722FA"/>
    <w:rsid w:val="00283D88"/>
    <w:rsid w:val="0028470E"/>
    <w:rsid w:val="00284AA1"/>
    <w:rsid w:val="002B27E5"/>
    <w:rsid w:val="002D53C0"/>
    <w:rsid w:val="002D5E77"/>
    <w:rsid w:val="00311533"/>
    <w:rsid w:val="0031185F"/>
    <w:rsid w:val="00321D98"/>
    <w:rsid w:val="003220C1"/>
    <w:rsid w:val="003317ED"/>
    <w:rsid w:val="003343E3"/>
    <w:rsid w:val="0034452B"/>
    <w:rsid w:val="00353838"/>
    <w:rsid w:val="00354E4E"/>
    <w:rsid w:val="00355465"/>
    <w:rsid w:val="003571B7"/>
    <w:rsid w:val="0036081C"/>
    <w:rsid w:val="00373FDD"/>
    <w:rsid w:val="00382ABF"/>
    <w:rsid w:val="00384BCC"/>
    <w:rsid w:val="003865DE"/>
    <w:rsid w:val="00390B65"/>
    <w:rsid w:val="003A0B46"/>
    <w:rsid w:val="003A6DDF"/>
    <w:rsid w:val="003B10EA"/>
    <w:rsid w:val="003B21D3"/>
    <w:rsid w:val="003B4646"/>
    <w:rsid w:val="003B7D59"/>
    <w:rsid w:val="003C4151"/>
    <w:rsid w:val="003C4FFD"/>
    <w:rsid w:val="003E107C"/>
    <w:rsid w:val="003E2DEE"/>
    <w:rsid w:val="003E36C6"/>
    <w:rsid w:val="003E7E4B"/>
    <w:rsid w:val="003F467B"/>
    <w:rsid w:val="0040268B"/>
    <w:rsid w:val="004104B6"/>
    <w:rsid w:val="004114A5"/>
    <w:rsid w:val="004148C6"/>
    <w:rsid w:val="00417122"/>
    <w:rsid w:val="00431F16"/>
    <w:rsid w:val="0045402F"/>
    <w:rsid w:val="00460021"/>
    <w:rsid w:val="00465F83"/>
    <w:rsid w:val="00476B56"/>
    <w:rsid w:val="00477D44"/>
    <w:rsid w:val="00494E22"/>
    <w:rsid w:val="004A0B31"/>
    <w:rsid w:val="004B184E"/>
    <w:rsid w:val="004B5A87"/>
    <w:rsid w:val="004C1BA3"/>
    <w:rsid w:val="004D19E0"/>
    <w:rsid w:val="004D3437"/>
    <w:rsid w:val="004D4829"/>
    <w:rsid w:val="004E1031"/>
    <w:rsid w:val="004F2494"/>
    <w:rsid w:val="004F2D22"/>
    <w:rsid w:val="00501E54"/>
    <w:rsid w:val="00503F3C"/>
    <w:rsid w:val="005040C2"/>
    <w:rsid w:val="0053309B"/>
    <w:rsid w:val="00541985"/>
    <w:rsid w:val="00544156"/>
    <w:rsid w:val="005517B2"/>
    <w:rsid w:val="00554589"/>
    <w:rsid w:val="0057046C"/>
    <w:rsid w:val="0057092E"/>
    <w:rsid w:val="0057191B"/>
    <w:rsid w:val="00572482"/>
    <w:rsid w:val="005833DD"/>
    <w:rsid w:val="005834A1"/>
    <w:rsid w:val="00585D58"/>
    <w:rsid w:val="00593818"/>
    <w:rsid w:val="005973B7"/>
    <w:rsid w:val="005A0EEC"/>
    <w:rsid w:val="005A79EC"/>
    <w:rsid w:val="005C3DB8"/>
    <w:rsid w:val="005C5701"/>
    <w:rsid w:val="005D0F29"/>
    <w:rsid w:val="005D3C42"/>
    <w:rsid w:val="005D68C6"/>
    <w:rsid w:val="005F371F"/>
    <w:rsid w:val="00601929"/>
    <w:rsid w:val="006076A5"/>
    <w:rsid w:val="00610EFD"/>
    <w:rsid w:val="00613798"/>
    <w:rsid w:val="0061603D"/>
    <w:rsid w:val="0062036D"/>
    <w:rsid w:val="00620B1D"/>
    <w:rsid w:val="006254F5"/>
    <w:rsid w:val="00651968"/>
    <w:rsid w:val="00653E6D"/>
    <w:rsid w:val="00677806"/>
    <w:rsid w:val="006860A0"/>
    <w:rsid w:val="0069325A"/>
    <w:rsid w:val="006B1709"/>
    <w:rsid w:val="006C4DB6"/>
    <w:rsid w:val="006C5C31"/>
    <w:rsid w:val="006D2E83"/>
    <w:rsid w:val="006E0274"/>
    <w:rsid w:val="006E25C7"/>
    <w:rsid w:val="006E5B9D"/>
    <w:rsid w:val="006F0AB3"/>
    <w:rsid w:val="006F17E5"/>
    <w:rsid w:val="007061D4"/>
    <w:rsid w:val="00714C18"/>
    <w:rsid w:val="00717184"/>
    <w:rsid w:val="00734F3E"/>
    <w:rsid w:val="00740A54"/>
    <w:rsid w:val="0075012C"/>
    <w:rsid w:val="0075769E"/>
    <w:rsid w:val="00761779"/>
    <w:rsid w:val="007633A7"/>
    <w:rsid w:val="007649D6"/>
    <w:rsid w:val="00764C64"/>
    <w:rsid w:val="0077709E"/>
    <w:rsid w:val="00781FB1"/>
    <w:rsid w:val="007868AE"/>
    <w:rsid w:val="00793F8E"/>
    <w:rsid w:val="007B6BDE"/>
    <w:rsid w:val="007C5B9C"/>
    <w:rsid w:val="00805CBD"/>
    <w:rsid w:val="008062A0"/>
    <w:rsid w:val="008117D2"/>
    <w:rsid w:val="00816C6F"/>
    <w:rsid w:val="00844005"/>
    <w:rsid w:val="00846D02"/>
    <w:rsid w:val="008540E3"/>
    <w:rsid w:val="008541CA"/>
    <w:rsid w:val="00855754"/>
    <w:rsid w:val="008606C1"/>
    <w:rsid w:val="00863A28"/>
    <w:rsid w:val="00877540"/>
    <w:rsid w:val="00880170"/>
    <w:rsid w:val="008803A9"/>
    <w:rsid w:val="00881163"/>
    <w:rsid w:val="008930C0"/>
    <w:rsid w:val="00897172"/>
    <w:rsid w:val="008A671A"/>
    <w:rsid w:val="008C6176"/>
    <w:rsid w:val="008D2301"/>
    <w:rsid w:val="008E2258"/>
    <w:rsid w:val="008E3C99"/>
    <w:rsid w:val="008E7B3B"/>
    <w:rsid w:val="00910DD1"/>
    <w:rsid w:val="0091136E"/>
    <w:rsid w:val="00911F24"/>
    <w:rsid w:val="009149D4"/>
    <w:rsid w:val="009229F8"/>
    <w:rsid w:val="009234BF"/>
    <w:rsid w:val="0092602C"/>
    <w:rsid w:val="009310B8"/>
    <w:rsid w:val="00932D27"/>
    <w:rsid w:val="00947ECA"/>
    <w:rsid w:val="00952247"/>
    <w:rsid w:val="0095379B"/>
    <w:rsid w:val="00962732"/>
    <w:rsid w:val="00966E35"/>
    <w:rsid w:val="00977682"/>
    <w:rsid w:val="00982298"/>
    <w:rsid w:val="009924CE"/>
    <w:rsid w:val="00995D8F"/>
    <w:rsid w:val="009A2D8C"/>
    <w:rsid w:val="009A5A06"/>
    <w:rsid w:val="009B3DA8"/>
    <w:rsid w:val="009B7205"/>
    <w:rsid w:val="009C1AC7"/>
    <w:rsid w:val="009C32BE"/>
    <w:rsid w:val="009C6FB8"/>
    <w:rsid w:val="009D5962"/>
    <w:rsid w:val="009E41B6"/>
    <w:rsid w:val="009E6DDB"/>
    <w:rsid w:val="009F62C7"/>
    <w:rsid w:val="009F6B94"/>
    <w:rsid w:val="00A17038"/>
    <w:rsid w:val="00A2276D"/>
    <w:rsid w:val="00A25D7C"/>
    <w:rsid w:val="00A265DC"/>
    <w:rsid w:val="00A3195E"/>
    <w:rsid w:val="00A3336A"/>
    <w:rsid w:val="00A36E1C"/>
    <w:rsid w:val="00A42EAA"/>
    <w:rsid w:val="00A44F63"/>
    <w:rsid w:val="00A47020"/>
    <w:rsid w:val="00A5482B"/>
    <w:rsid w:val="00A55628"/>
    <w:rsid w:val="00A603C5"/>
    <w:rsid w:val="00A67599"/>
    <w:rsid w:val="00A74D71"/>
    <w:rsid w:val="00A76D72"/>
    <w:rsid w:val="00A84172"/>
    <w:rsid w:val="00AA3478"/>
    <w:rsid w:val="00AA7233"/>
    <w:rsid w:val="00AC4FC6"/>
    <w:rsid w:val="00AE1029"/>
    <w:rsid w:val="00AE108F"/>
    <w:rsid w:val="00AE3839"/>
    <w:rsid w:val="00B246BA"/>
    <w:rsid w:val="00B33477"/>
    <w:rsid w:val="00B3698E"/>
    <w:rsid w:val="00B45132"/>
    <w:rsid w:val="00B5384F"/>
    <w:rsid w:val="00B57DE6"/>
    <w:rsid w:val="00B650AC"/>
    <w:rsid w:val="00B65B07"/>
    <w:rsid w:val="00B753A4"/>
    <w:rsid w:val="00B82BE0"/>
    <w:rsid w:val="00B8649F"/>
    <w:rsid w:val="00B902FE"/>
    <w:rsid w:val="00B90441"/>
    <w:rsid w:val="00B91015"/>
    <w:rsid w:val="00B9456C"/>
    <w:rsid w:val="00B961CE"/>
    <w:rsid w:val="00BA7AAC"/>
    <w:rsid w:val="00BB117A"/>
    <w:rsid w:val="00BB3E7A"/>
    <w:rsid w:val="00BB5A24"/>
    <w:rsid w:val="00BB6019"/>
    <w:rsid w:val="00BC1C8F"/>
    <w:rsid w:val="00BC4D4B"/>
    <w:rsid w:val="00BD7DB0"/>
    <w:rsid w:val="00BE0A75"/>
    <w:rsid w:val="00C006B0"/>
    <w:rsid w:val="00C0436B"/>
    <w:rsid w:val="00C127DA"/>
    <w:rsid w:val="00C20D25"/>
    <w:rsid w:val="00C54C38"/>
    <w:rsid w:val="00C5580D"/>
    <w:rsid w:val="00C64946"/>
    <w:rsid w:val="00C67283"/>
    <w:rsid w:val="00C83A7D"/>
    <w:rsid w:val="00C841E1"/>
    <w:rsid w:val="00C84F6F"/>
    <w:rsid w:val="00C90D82"/>
    <w:rsid w:val="00CA46E4"/>
    <w:rsid w:val="00CA668C"/>
    <w:rsid w:val="00CB1499"/>
    <w:rsid w:val="00CC20C5"/>
    <w:rsid w:val="00CC43A0"/>
    <w:rsid w:val="00CC6B36"/>
    <w:rsid w:val="00CC77D8"/>
    <w:rsid w:val="00CC7D0D"/>
    <w:rsid w:val="00CE2154"/>
    <w:rsid w:val="00CE5E4F"/>
    <w:rsid w:val="00CF5AA4"/>
    <w:rsid w:val="00CF77F6"/>
    <w:rsid w:val="00D0623A"/>
    <w:rsid w:val="00D07F06"/>
    <w:rsid w:val="00D33D48"/>
    <w:rsid w:val="00D3404D"/>
    <w:rsid w:val="00D41AA4"/>
    <w:rsid w:val="00D45EB8"/>
    <w:rsid w:val="00D64D57"/>
    <w:rsid w:val="00D83DC5"/>
    <w:rsid w:val="00DA1063"/>
    <w:rsid w:val="00DA74F1"/>
    <w:rsid w:val="00DB29C5"/>
    <w:rsid w:val="00DC6F57"/>
    <w:rsid w:val="00DD48D5"/>
    <w:rsid w:val="00DE5B17"/>
    <w:rsid w:val="00DF36DE"/>
    <w:rsid w:val="00DF7A22"/>
    <w:rsid w:val="00E01CC5"/>
    <w:rsid w:val="00E175A9"/>
    <w:rsid w:val="00E2431C"/>
    <w:rsid w:val="00E3270E"/>
    <w:rsid w:val="00E330FE"/>
    <w:rsid w:val="00E42CE9"/>
    <w:rsid w:val="00E6572C"/>
    <w:rsid w:val="00E667B1"/>
    <w:rsid w:val="00E67C27"/>
    <w:rsid w:val="00EB6C16"/>
    <w:rsid w:val="00EC2C1B"/>
    <w:rsid w:val="00ED4839"/>
    <w:rsid w:val="00EE1749"/>
    <w:rsid w:val="00EF116E"/>
    <w:rsid w:val="00EF398E"/>
    <w:rsid w:val="00EF67A7"/>
    <w:rsid w:val="00F0047B"/>
    <w:rsid w:val="00F26F6B"/>
    <w:rsid w:val="00F315FD"/>
    <w:rsid w:val="00F67C51"/>
    <w:rsid w:val="00F769C0"/>
    <w:rsid w:val="00F76B51"/>
    <w:rsid w:val="00F82255"/>
    <w:rsid w:val="00F83EC9"/>
    <w:rsid w:val="00F94D95"/>
    <w:rsid w:val="00FA5A83"/>
    <w:rsid w:val="00FA64C1"/>
    <w:rsid w:val="00FB269D"/>
    <w:rsid w:val="00FB64A8"/>
    <w:rsid w:val="00FC71F3"/>
    <w:rsid w:val="00FD1F6F"/>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styleId="BesuchterHyperlink">
    <w:name w:val="FollowedHyperlink"/>
    <w:basedOn w:val="Absatz-Standardschriftart"/>
    <w:rsid w:val="006860A0"/>
    <w:rPr>
      <w:color w:val="800080" w:themeColor="followedHyperlink"/>
      <w:u w:val="single"/>
    </w:rPr>
  </w:style>
  <w:style w:type="table" w:customStyle="1" w:styleId="TableNormal">
    <w:name w:val="Table Normal"/>
    <w:uiPriority w:val="2"/>
    <w:semiHidden/>
    <w:unhideWhenUsed/>
    <w:qFormat/>
    <w:rsid w:val="006F17E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F17E5"/>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6F17E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uiPriority w:val="59"/>
    <w:rsid w:val="005545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67C2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styleId="BesuchterHyperlink">
    <w:name w:val="FollowedHyperlink"/>
    <w:basedOn w:val="Absatz-Standardschriftart"/>
    <w:rsid w:val="006860A0"/>
    <w:rPr>
      <w:color w:val="800080" w:themeColor="followedHyperlink"/>
      <w:u w:val="single"/>
    </w:rPr>
  </w:style>
  <w:style w:type="table" w:customStyle="1" w:styleId="TableNormal">
    <w:name w:val="Table Normal"/>
    <w:uiPriority w:val="2"/>
    <w:semiHidden/>
    <w:unhideWhenUsed/>
    <w:qFormat/>
    <w:rsid w:val="006F17E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F17E5"/>
    <w:pPr>
      <w:widowControl w:val="0"/>
    </w:pPr>
    <w:rPr>
      <w:rFonts w:asciiTheme="minorHAnsi" w:eastAsiaTheme="minorHAnsi" w:hAnsiTheme="minorHAnsi" w:cstheme="minorBidi"/>
      <w:sz w:val="22"/>
      <w:szCs w:val="22"/>
      <w:lang w:val="en-US" w:eastAsia="en-US"/>
    </w:rPr>
  </w:style>
  <w:style w:type="table" w:customStyle="1" w:styleId="TableNormal1">
    <w:name w:val="Table Normal1"/>
    <w:uiPriority w:val="2"/>
    <w:semiHidden/>
    <w:unhideWhenUsed/>
    <w:qFormat/>
    <w:rsid w:val="006F17E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ellenraster1">
    <w:name w:val="Tabellenraster1"/>
    <w:basedOn w:val="NormaleTabelle"/>
    <w:next w:val="Tabellenraster"/>
    <w:uiPriority w:val="59"/>
    <w:rsid w:val="00554589"/>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67C27"/>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antworten-auf-salafismus.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fuq.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ast.de" TargetMode="External"/><Relationship Id="rId20" Type="http://schemas.openxmlformats.org/officeDocument/2006/relationships/hyperlink" Target="http://www.km.bayern.de/statist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bayern.landtag.de/www/ElanTextAblage_WP17/Drucksachen/Basisdrucksachen/0000010000/0000010126_Leiner_Anlage.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F73E-F196-4DF7-A0A7-6910DDEA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18289</Words>
  <Characters>127110</Characters>
  <Application>Microsoft Office Word</Application>
  <DocSecurity>8</DocSecurity>
  <Lines>2834</Lines>
  <Paragraphs>1066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144472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17/16027</dc:title>
  <dc:creator>Ströhlein, Gabriele (LTA)</dc:creator>
  <cp:lastModifiedBy>Ströhlein, Gabriele (LTA)</cp:lastModifiedBy>
  <cp:revision>4</cp:revision>
  <cp:lastPrinted>2017-03-22T07:59:00Z</cp:lastPrinted>
  <dcterms:created xsi:type="dcterms:W3CDTF">2017-03-22T08:59:00Z</dcterms:created>
  <dcterms:modified xsi:type="dcterms:W3CDTF">2017-03-22T08:59:00Z</dcterms:modified>
</cp:coreProperties>
</file>