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717184" w:rsidP="00717184">
      <w:pPr>
        <w:spacing w:before="360"/>
        <w:ind w:left="360"/>
        <w:rPr>
          <w:b/>
        </w:rPr>
      </w:pPr>
      <w:r w:rsidRPr="00717184">
        <w:rPr>
          <w:b/>
        </w:rPr>
        <w:t xml:space="preserve">vom </w:t>
      </w:r>
      <w:r w:rsidR="000B764D">
        <w:rPr>
          <w:b/>
        </w:rPr>
        <w:fldChar w:fldCharType="begin"/>
      </w:r>
      <w:r w:rsidR="000B764D">
        <w:rPr>
          <w:b/>
        </w:rPr>
        <w:instrText xml:space="preserve"> DOCVARIABLE  Wochendatum  \* MERGEFORMAT </w:instrText>
      </w:r>
      <w:r w:rsidR="000B764D">
        <w:rPr>
          <w:b/>
        </w:rPr>
        <w:fldChar w:fldCharType="separate"/>
      </w:r>
      <w:r w:rsidR="00C87EB4">
        <w:rPr>
          <w:b/>
        </w:rPr>
        <w:t>13. Februar 2017</w:t>
      </w:r>
      <w:r w:rsidR="000B764D">
        <w:rPr>
          <w:b/>
        </w:rPr>
        <w:fldChar w:fldCharType="end"/>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DB3BD0" w:rsidRPr="005833DD">
        <w:tc>
          <w:tcPr>
            <w:tcW w:w="2500" w:type="pct"/>
            <w:tcBorders>
              <w:right w:val="single" w:sz="4" w:space="0" w:color="auto"/>
            </w:tcBorders>
          </w:tcPr>
          <w:p w:rsidR="00DB3BD0" w:rsidRDefault="00DB3BD0" w:rsidP="00DB3BD0">
            <w:pPr>
              <w:pStyle w:val="LTVerzeichnisDerFragendenLinks"/>
            </w:pPr>
            <w:r>
              <w:t>Adelt, Klaus (SPD)</w:t>
            </w:r>
            <w:r>
              <w:tab/>
              <w:t>34</w:t>
            </w:r>
          </w:p>
        </w:tc>
        <w:tc>
          <w:tcPr>
            <w:tcW w:w="2500" w:type="pct"/>
            <w:tcBorders>
              <w:left w:val="single" w:sz="4" w:space="0" w:color="auto"/>
            </w:tcBorders>
          </w:tcPr>
          <w:p w:rsidR="00DB3BD0" w:rsidRPr="00FD4D2F" w:rsidRDefault="00DB3BD0" w:rsidP="00FD4D2F">
            <w:pPr>
              <w:pStyle w:val="LTVerzeichnisDerFragendenLinks"/>
              <w:rPr>
                <w:spacing w:val="-6"/>
              </w:rPr>
            </w:pPr>
            <w:r w:rsidRPr="00FD4D2F">
              <w:rPr>
                <w:spacing w:val="-6"/>
              </w:rPr>
              <w:t>Mütze, Thomas (BÜNDNIS 90/DIE GRÜNEN)</w:t>
            </w:r>
            <w:r w:rsidRPr="00FD4D2F">
              <w:rPr>
                <w:spacing w:val="-6"/>
              </w:rPr>
              <w:tab/>
              <w:t>44</w:t>
            </w:r>
          </w:p>
        </w:tc>
      </w:tr>
      <w:tr w:rsidR="00DB3BD0" w:rsidRPr="005833DD">
        <w:tc>
          <w:tcPr>
            <w:tcW w:w="2500" w:type="pct"/>
            <w:tcBorders>
              <w:right w:val="single" w:sz="4" w:space="0" w:color="auto"/>
            </w:tcBorders>
          </w:tcPr>
          <w:p w:rsidR="00DB3BD0" w:rsidRDefault="00DB3BD0" w:rsidP="00DB3BD0">
            <w:pPr>
              <w:pStyle w:val="LTVerzeichnisDerFragendenLinks"/>
            </w:pPr>
            <w:r>
              <w:t>Arnold, Horst (SPD)</w:t>
            </w:r>
            <w:r>
              <w:tab/>
              <w:t>42</w:t>
            </w:r>
          </w:p>
        </w:tc>
        <w:tc>
          <w:tcPr>
            <w:tcW w:w="2500" w:type="pct"/>
            <w:tcBorders>
              <w:left w:val="single" w:sz="4" w:space="0" w:color="auto"/>
            </w:tcBorders>
          </w:tcPr>
          <w:p w:rsidR="00DB3BD0" w:rsidRPr="005833DD" w:rsidRDefault="00DB3BD0" w:rsidP="00FD4D2F">
            <w:pPr>
              <w:pStyle w:val="LTVerzeichnisDerFragendenLinks"/>
            </w:pPr>
            <w:r w:rsidRPr="00FD4D2F">
              <w:rPr>
                <w:spacing w:val="-6"/>
              </w:rPr>
              <w:t>Osgyan, Verena (BÜNDNIS 90/DIE GRÜNEN)</w:t>
            </w:r>
            <w:r w:rsidRPr="00FD4D2F">
              <w:rPr>
                <w:spacing w:val="-6"/>
              </w:rPr>
              <w:tab/>
              <w:t>49</w:t>
            </w:r>
          </w:p>
        </w:tc>
      </w:tr>
      <w:tr w:rsidR="00DB3BD0" w:rsidRPr="005833DD">
        <w:tc>
          <w:tcPr>
            <w:tcW w:w="2500" w:type="pct"/>
            <w:tcBorders>
              <w:right w:val="single" w:sz="4" w:space="0" w:color="auto"/>
            </w:tcBorders>
          </w:tcPr>
          <w:p w:rsidR="00DB3BD0" w:rsidRDefault="00DB3BD0" w:rsidP="00DB3BD0">
            <w:pPr>
              <w:pStyle w:val="LTVerzeichnisDerFragendenLinks"/>
            </w:pPr>
            <w:r>
              <w:t>Aures, Inge (SPD)</w:t>
            </w:r>
            <w:r>
              <w:tab/>
              <w:t>22</w:t>
            </w:r>
          </w:p>
        </w:tc>
        <w:tc>
          <w:tcPr>
            <w:tcW w:w="2500" w:type="pct"/>
            <w:tcBorders>
              <w:left w:val="single" w:sz="4" w:space="0" w:color="auto"/>
            </w:tcBorders>
          </w:tcPr>
          <w:p w:rsidR="00DB3BD0" w:rsidRPr="005833DD" w:rsidRDefault="00DB3BD0" w:rsidP="00DB3BD0">
            <w:pPr>
              <w:pStyle w:val="LTVerzeichnisDerFragendenRechts"/>
            </w:pPr>
            <w:r>
              <w:t>Petersen, Kathi (SPD)</w:t>
            </w:r>
            <w:r>
              <w:tab/>
              <w:t>50</w:t>
            </w:r>
          </w:p>
        </w:tc>
      </w:tr>
      <w:tr w:rsidR="00DB3BD0" w:rsidRPr="005833DD">
        <w:tc>
          <w:tcPr>
            <w:tcW w:w="2500" w:type="pct"/>
            <w:tcBorders>
              <w:right w:val="single" w:sz="4" w:space="0" w:color="auto"/>
            </w:tcBorders>
          </w:tcPr>
          <w:p w:rsidR="00DB3BD0" w:rsidRPr="00FD4D2F" w:rsidRDefault="00DB3BD0" w:rsidP="00DB3BD0">
            <w:pPr>
              <w:pStyle w:val="LTVerzeichnisDerFragendenLinks"/>
              <w:rPr>
                <w:spacing w:val="-14"/>
              </w:rPr>
            </w:pPr>
            <w:r w:rsidRPr="00FD4D2F">
              <w:rPr>
                <w:spacing w:val="-14"/>
              </w:rPr>
              <w:t>Prof. (Univ. Lima) Dr. Bauer, Peter (FREIE WÄHLER)</w:t>
            </w:r>
            <w:r w:rsidRPr="00FD4D2F">
              <w:rPr>
                <w:spacing w:val="-14"/>
              </w:rPr>
              <w:tab/>
              <w:t>2</w:t>
            </w:r>
          </w:p>
        </w:tc>
        <w:tc>
          <w:tcPr>
            <w:tcW w:w="2500" w:type="pct"/>
            <w:tcBorders>
              <w:left w:val="single" w:sz="4" w:space="0" w:color="auto"/>
            </w:tcBorders>
          </w:tcPr>
          <w:p w:rsidR="00DB3BD0" w:rsidRPr="005833DD" w:rsidRDefault="00DB3BD0" w:rsidP="00DB3BD0">
            <w:pPr>
              <w:pStyle w:val="LTVerzeichnisDerFragendenRechts"/>
            </w:pPr>
            <w:r>
              <w:t>Pfaffmann, Hans-Ulrich (SPD)</w:t>
            </w:r>
            <w:r>
              <w:tab/>
              <w:t>10</w:t>
            </w:r>
          </w:p>
        </w:tc>
      </w:tr>
      <w:tr w:rsidR="00DB3BD0" w:rsidRPr="005833DD">
        <w:tc>
          <w:tcPr>
            <w:tcW w:w="2500" w:type="pct"/>
            <w:tcBorders>
              <w:right w:val="single" w:sz="4" w:space="0" w:color="auto"/>
            </w:tcBorders>
          </w:tcPr>
          <w:p w:rsidR="00DB3BD0" w:rsidRPr="00FD4D2F" w:rsidRDefault="00DB3BD0" w:rsidP="00DB3BD0">
            <w:pPr>
              <w:pStyle w:val="LTVerzeichnisDerFragendenLinks"/>
              <w:rPr>
                <w:spacing w:val="-6"/>
              </w:rPr>
            </w:pPr>
            <w:r w:rsidRPr="00FD4D2F">
              <w:rPr>
                <w:spacing w:val="-6"/>
              </w:rPr>
              <w:t>Bause, Margarete (BÜNDNIS 90/DIE GRÜNEN)</w:t>
            </w:r>
            <w:r w:rsidRPr="00FD4D2F">
              <w:rPr>
                <w:spacing w:val="-6"/>
              </w:rPr>
              <w:tab/>
              <w:t>3</w:t>
            </w:r>
          </w:p>
        </w:tc>
        <w:tc>
          <w:tcPr>
            <w:tcW w:w="2500" w:type="pct"/>
            <w:tcBorders>
              <w:left w:val="single" w:sz="4" w:space="0" w:color="auto"/>
            </w:tcBorders>
          </w:tcPr>
          <w:p w:rsidR="00DB3BD0" w:rsidRPr="005833DD" w:rsidRDefault="00DB3BD0" w:rsidP="00DB3BD0">
            <w:pPr>
              <w:pStyle w:val="LTVerzeichnisDerFragendenRechts"/>
            </w:pPr>
            <w:r>
              <w:t>Rauscher, Doris (SPD)</w:t>
            </w:r>
            <w:r>
              <w:tab/>
              <w:t>47</w:t>
            </w:r>
          </w:p>
        </w:tc>
      </w:tr>
      <w:tr w:rsidR="00DB3BD0" w:rsidRPr="005833DD">
        <w:tc>
          <w:tcPr>
            <w:tcW w:w="2500" w:type="pct"/>
            <w:tcBorders>
              <w:right w:val="single" w:sz="4" w:space="0" w:color="auto"/>
            </w:tcBorders>
          </w:tcPr>
          <w:p w:rsidR="00DB3BD0" w:rsidRDefault="00DB3BD0" w:rsidP="00DB3BD0">
            <w:pPr>
              <w:pStyle w:val="LTVerzeichnisDerFragendenLinks"/>
            </w:pPr>
            <w:r>
              <w:t>Biedefeld, Susann (SPD)</w:t>
            </w:r>
            <w:r>
              <w:tab/>
              <w:t>35</w:t>
            </w:r>
          </w:p>
        </w:tc>
        <w:tc>
          <w:tcPr>
            <w:tcW w:w="2500" w:type="pct"/>
            <w:tcBorders>
              <w:left w:val="single" w:sz="4" w:space="0" w:color="auto"/>
            </w:tcBorders>
          </w:tcPr>
          <w:p w:rsidR="00DB3BD0" w:rsidRPr="005833DD" w:rsidRDefault="00DB3BD0" w:rsidP="00DB3BD0">
            <w:pPr>
              <w:pStyle w:val="LTVerzeichnisDerFragendenRechts"/>
            </w:pPr>
            <w:r>
              <w:t>Rinderspacher, Markus (SPD)</w:t>
            </w:r>
            <w:r>
              <w:tab/>
              <w:t>11</w:t>
            </w:r>
          </w:p>
        </w:tc>
      </w:tr>
      <w:tr w:rsidR="00DB3BD0" w:rsidRPr="005833DD">
        <w:tc>
          <w:tcPr>
            <w:tcW w:w="2500" w:type="pct"/>
            <w:tcBorders>
              <w:right w:val="single" w:sz="4" w:space="0" w:color="auto"/>
            </w:tcBorders>
          </w:tcPr>
          <w:p w:rsidR="00DB3BD0" w:rsidRDefault="00FD4D2F" w:rsidP="00DB3BD0">
            <w:pPr>
              <w:pStyle w:val="LTVerzeichnisDerFragendenLinks"/>
            </w:pPr>
            <w:r>
              <w:t>von B</w:t>
            </w:r>
            <w:r w:rsidR="00DB3BD0">
              <w:t>runn, Florian (SPD)</w:t>
            </w:r>
            <w:r w:rsidR="00DB3BD0">
              <w:tab/>
              <w:t>4</w:t>
            </w:r>
          </w:p>
        </w:tc>
        <w:tc>
          <w:tcPr>
            <w:tcW w:w="2500" w:type="pct"/>
            <w:tcBorders>
              <w:left w:val="single" w:sz="4" w:space="0" w:color="auto"/>
            </w:tcBorders>
          </w:tcPr>
          <w:p w:rsidR="00DB3BD0" w:rsidRPr="005833DD" w:rsidRDefault="00DB3BD0" w:rsidP="00DB3BD0">
            <w:pPr>
              <w:pStyle w:val="LTVerzeichnisDerFragendenRechts"/>
            </w:pPr>
            <w:r>
              <w:t>Ritter, Florian (SPD)</w:t>
            </w:r>
            <w:r>
              <w:tab/>
              <w:t>12</w:t>
            </w:r>
          </w:p>
        </w:tc>
      </w:tr>
      <w:tr w:rsidR="00DB3BD0" w:rsidRPr="005833DD">
        <w:tc>
          <w:tcPr>
            <w:tcW w:w="2500" w:type="pct"/>
            <w:tcBorders>
              <w:right w:val="single" w:sz="4" w:space="0" w:color="auto"/>
            </w:tcBorders>
          </w:tcPr>
          <w:p w:rsidR="00DB3BD0" w:rsidRDefault="00DB3BD0" w:rsidP="00DB3BD0">
            <w:pPr>
              <w:pStyle w:val="LTVerzeichnisDerFragendenLinks"/>
            </w:pPr>
            <w:r>
              <w:t>Celina, Kerstin (BÜNDNIS 90/DIE GRÜNEN)</w:t>
            </w:r>
            <w:r>
              <w:tab/>
              <w:t>48</w:t>
            </w:r>
          </w:p>
        </w:tc>
        <w:tc>
          <w:tcPr>
            <w:tcW w:w="2500" w:type="pct"/>
            <w:tcBorders>
              <w:left w:val="single" w:sz="4" w:space="0" w:color="auto"/>
            </w:tcBorders>
          </w:tcPr>
          <w:p w:rsidR="00DB3BD0" w:rsidRPr="005833DD" w:rsidRDefault="00DB3BD0" w:rsidP="00DB3BD0">
            <w:pPr>
              <w:pStyle w:val="LTVerzeichnisDerFragendenRechts"/>
            </w:pPr>
            <w:r>
              <w:t>Rosenthal, Georg (SPD)</w:t>
            </w:r>
            <w:r>
              <w:tab/>
              <w:t>1</w:t>
            </w:r>
          </w:p>
        </w:tc>
      </w:tr>
      <w:tr w:rsidR="00DB3BD0" w:rsidRPr="005833DD">
        <w:tc>
          <w:tcPr>
            <w:tcW w:w="2500" w:type="pct"/>
            <w:tcBorders>
              <w:right w:val="single" w:sz="4" w:space="0" w:color="auto"/>
            </w:tcBorders>
          </w:tcPr>
          <w:p w:rsidR="00DB3BD0" w:rsidRDefault="00DB3BD0" w:rsidP="00DB3BD0">
            <w:pPr>
              <w:pStyle w:val="LTVerzeichnisDerFragendenLinks"/>
            </w:pPr>
            <w:r>
              <w:t>Dr. Fahn, Hans Jürgen (FREIE WÄHLER)</w:t>
            </w:r>
            <w:r>
              <w:tab/>
              <w:t>5</w:t>
            </w:r>
          </w:p>
        </w:tc>
        <w:tc>
          <w:tcPr>
            <w:tcW w:w="2500" w:type="pct"/>
            <w:tcBorders>
              <w:left w:val="single" w:sz="4" w:space="0" w:color="auto"/>
            </w:tcBorders>
          </w:tcPr>
          <w:p w:rsidR="00DB3BD0" w:rsidRPr="005833DD" w:rsidRDefault="00DB3BD0" w:rsidP="00DB3BD0">
            <w:pPr>
              <w:pStyle w:val="LTVerzeichnisDerFragendenRechts"/>
            </w:pPr>
            <w:r>
              <w:t>Schindler, Franz (SPD)</w:t>
            </w:r>
            <w:r>
              <w:tab/>
              <w:t>13</w:t>
            </w:r>
          </w:p>
        </w:tc>
      </w:tr>
      <w:tr w:rsidR="00DB3BD0" w:rsidRPr="005833DD">
        <w:tc>
          <w:tcPr>
            <w:tcW w:w="2500" w:type="pct"/>
            <w:tcBorders>
              <w:right w:val="single" w:sz="4" w:space="0" w:color="auto"/>
            </w:tcBorders>
          </w:tcPr>
          <w:p w:rsidR="00DB3BD0" w:rsidRDefault="00DB3BD0" w:rsidP="00DB3BD0">
            <w:pPr>
              <w:pStyle w:val="LTVerzeichnisDerFragendenLinks"/>
            </w:pPr>
            <w:r>
              <w:t>Felbinger, Günther (FREIE WÄHLER)</w:t>
            </w:r>
            <w:r>
              <w:tab/>
              <w:t>27</w:t>
            </w:r>
          </w:p>
        </w:tc>
        <w:tc>
          <w:tcPr>
            <w:tcW w:w="2500" w:type="pct"/>
            <w:tcBorders>
              <w:left w:val="single" w:sz="4" w:space="0" w:color="auto"/>
            </w:tcBorders>
          </w:tcPr>
          <w:p w:rsidR="00DB3BD0" w:rsidRPr="005833DD" w:rsidRDefault="00DB3BD0" w:rsidP="00DB3BD0">
            <w:pPr>
              <w:pStyle w:val="LTVerzeichnisDerFragendenRechts"/>
            </w:pPr>
            <w:r>
              <w:t>Schmidt, Gabi (FREIE WÄHLER)</w:t>
            </w:r>
            <w:r>
              <w:tab/>
              <w:t>14</w:t>
            </w:r>
          </w:p>
        </w:tc>
      </w:tr>
      <w:tr w:rsidR="00DB3BD0" w:rsidRPr="00FD4D2F">
        <w:tc>
          <w:tcPr>
            <w:tcW w:w="2500" w:type="pct"/>
            <w:tcBorders>
              <w:right w:val="single" w:sz="4" w:space="0" w:color="auto"/>
            </w:tcBorders>
          </w:tcPr>
          <w:p w:rsidR="00DB3BD0" w:rsidRDefault="00DB3BD0" w:rsidP="00DB3BD0">
            <w:pPr>
              <w:pStyle w:val="LTVerzeichnisDerFragendenLinks"/>
            </w:pPr>
            <w:r>
              <w:t>Prof. Dr. Gantzer, Peter Paul (SPD)</w:t>
            </w:r>
            <w:r>
              <w:tab/>
              <w:t>6</w:t>
            </w:r>
          </w:p>
        </w:tc>
        <w:tc>
          <w:tcPr>
            <w:tcW w:w="2500" w:type="pct"/>
            <w:tcBorders>
              <w:left w:val="single" w:sz="4" w:space="0" w:color="auto"/>
            </w:tcBorders>
          </w:tcPr>
          <w:p w:rsidR="00DB3BD0" w:rsidRPr="00FD4D2F" w:rsidRDefault="00DB3BD0" w:rsidP="00FD4D2F">
            <w:pPr>
              <w:pStyle w:val="LTVerzeichnisDerFragendenLinks"/>
              <w:rPr>
                <w:spacing w:val="-6"/>
              </w:rPr>
            </w:pPr>
            <w:r w:rsidRPr="00FD4D2F">
              <w:rPr>
                <w:spacing w:val="-6"/>
              </w:rPr>
              <w:t>Schulze, Katharina (BÜNDNIS 90/DIE GRÜNEN)</w:t>
            </w:r>
            <w:r w:rsidRPr="00FD4D2F">
              <w:rPr>
                <w:spacing w:val="-6"/>
              </w:rPr>
              <w:tab/>
              <w:t>15</w:t>
            </w:r>
          </w:p>
        </w:tc>
      </w:tr>
      <w:tr w:rsidR="00DB3BD0" w:rsidRPr="005833DD">
        <w:tc>
          <w:tcPr>
            <w:tcW w:w="2500" w:type="pct"/>
            <w:tcBorders>
              <w:right w:val="single" w:sz="4" w:space="0" w:color="auto"/>
            </w:tcBorders>
          </w:tcPr>
          <w:p w:rsidR="00DB3BD0" w:rsidRDefault="00DB3BD0" w:rsidP="00DB3BD0">
            <w:pPr>
              <w:pStyle w:val="LTVerzeichnisDerFragendenLinks"/>
            </w:pPr>
            <w:r w:rsidRPr="00FD4D2F">
              <w:rPr>
                <w:spacing w:val="-6"/>
              </w:rPr>
              <w:t>Gehring, Thomas (BÜNDNIS 90/DIE GRÜNEN)</w:t>
            </w:r>
            <w:r w:rsidRPr="00FD4D2F">
              <w:rPr>
                <w:spacing w:val="-6"/>
              </w:rPr>
              <w:tab/>
              <w:t>28</w:t>
            </w:r>
          </w:p>
        </w:tc>
        <w:tc>
          <w:tcPr>
            <w:tcW w:w="2500" w:type="pct"/>
            <w:tcBorders>
              <w:left w:val="single" w:sz="4" w:space="0" w:color="auto"/>
            </w:tcBorders>
          </w:tcPr>
          <w:p w:rsidR="00DB3BD0" w:rsidRPr="005833DD" w:rsidRDefault="00DB3BD0" w:rsidP="00DB3BD0">
            <w:pPr>
              <w:pStyle w:val="LTVerzeichnisDerFragendenRechts"/>
            </w:pPr>
            <w:r>
              <w:t>Schuster, Stefan (SPD)</w:t>
            </w:r>
            <w:r>
              <w:tab/>
              <w:t>26</w:t>
            </w:r>
          </w:p>
        </w:tc>
      </w:tr>
      <w:tr w:rsidR="00DB3BD0" w:rsidRPr="005833DD">
        <w:tc>
          <w:tcPr>
            <w:tcW w:w="2500" w:type="pct"/>
            <w:tcBorders>
              <w:right w:val="single" w:sz="4" w:space="0" w:color="auto"/>
            </w:tcBorders>
          </w:tcPr>
          <w:p w:rsidR="00DB3BD0" w:rsidRDefault="00DB3BD0" w:rsidP="00DB3BD0">
            <w:pPr>
              <w:pStyle w:val="LTVerzeichnisDerFragendenLinks"/>
            </w:pPr>
            <w:r>
              <w:t>Gottstein, Eva (FREIE WÄHLER)</w:t>
            </w:r>
            <w:r>
              <w:tab/>
              <w:t>23</w:t>
            </w:r>
          </w:p>
        </w:tc>
        <w:tc>
          <w:tcPr>
            <w:tcW w:w="2500" w:type="pct"/>
            <w:tcBorders>
              <w:left w:val="single" w:sz="4" w:space="0" w:color="auto"/>
            </w:tcBorders>
          </w:tcPr>
          <w:p w:rsidR="00DB3BD0" w:rsidRPr="005833DD" w:rsidRDefault="00DB3BD0" w:rsidP="00DB3BD0">
            <w:pPr>
              <w:pStyle w:val="LTVerzeichnisDerFragendenRechts"/>
            </w:pPr>
            <w:r>
              <w:t>Sengl, Gisela (BÜNDNIS 90/DIE GRÜNEN)</w:t>
            </w:r>
            <w:r>
              <w:tab/>
              <w:t>45</w:t>
            </w:r>
          </w:p>
        </w:tc>
      </w:tr>
      <w:tr w:rsidR="00DB3BD0" w:rsidRPr="005833DD">
        <w:tc>
          <w:tcPr>
            <w:tcW w:w="2500" w:type="pct"/>
            <w:tcBorders>
              <w:right w:val="single" w:sz="4" w:space="0" w:color="auto"/>
            </w:tcBorders>
          </w:tcPr>
          <w:p w:rsidR="00DB3BD0" w:rsidRDefault="00DB3BD0" w:rsidP="00DB3BD0">
            <w:pPr>
              <w:pStyle w:val="LTVerzeichnisDerFragendenLinks"/>
            </w:pPr>
            <w:r>
              <w:t>Güll, Martin (SPD)</w:t>
            </w:r>
            <w:r>
              <w:tab/>
              <w:t>29</w:t>
            </w:r>
          </w:p>
        </w:tc>
        <w:tc>
          <w:tcPr>
            <w:tcW w:w="2500" w:type="pct"/>
            <w:tcBorders>
              <w:left w:val="single" w:sz="4" w:space="0" w:color="auto"/>
            </w:tcBorders>
          </w:tcPr>
          <w:p w:rsidR="00DB3BD0" w:rsidRPr="005833DD" w:rsidRDefault="00DB3BD0" w:rsidP="00DB3BD0">
            <w:pPr>
              <w:pStyle w:val="LTVerzeichnisDerFragendenRechts"/>
            </w:pPr>
            <w:r>
              <w:t>Stachowitz, Diana (SPD)</w:t>
            </w:r>
            <w:r>
              <w:tab/>
              <w:t>16</w:t>
            </w:r>
          </w:p>
        </w:tc>
      </w:tr>
      <w:tr w:rsidR="00DB3BD0" w:rsidRPr="00FD4D2F">
        <w:tc>
          <w:tcPr>
            <w:tcW w:w="2500" w:type="pct"/>
            <w:tcBorders>
              <w:right w:val="single" w:sz="4" w:space="0" w:color="auto"/>
            </w:tcBorders>
          </w:tcPr>
          <w:p w:rsidR="00DB3BD0" w:rsidRPr="00FD4D2F" w:rsidRDefault="00DB3BD0" w:rsidP="00DB3BD0">
            <w:pPr>
              <w:pStyle w:val="LTVerzeichnisDerFragendenLinks"/>
              <w:rPr>
                <w:spacing w:val="-6"/>
              </w:rPr>
            </w:pPr>
            <w:r w:rsidRPr="00FD4D2F">
              <w:rPr>
                <w:spacing w:val="-6"/>
              </w:rPr>
              <w:t>Hartmann, Ludwig (BÜNDNIS 90/DIE GRÜNEN)</w:t>
            </w:r>
            <w:r w:rsidRPr="00FD4D2F">
              <w:rPr>
                <w:spacing w:val="-6"/>
              </w:rPr>
              <w:tab/>
              <w:t>36</w:t>
            </w:r>
          </w:p>
        </w:tc>
        <w:tc>
          <w:tcPr>
            <w:tcW w:w="2500" w:type="pct"/>
            <w:tcBorders>
              <w:left w:val="single" w:sz="4" w:space="0" w:color="auto"/>
            </w:tcBorders>
          </w:tcPr>
          <w:p w:rsidR="00DB3BD0" w:rsidRPr="00FD4D2F" w:rsidRDefault="00DB3BD0" w:rsidP="00FD4D2F">
            <w:pPr>
              <w:pStyle w:val="LTVerzeichnisDerFragendenLinks"/>
              <w:rPr>
                <w:spacing w:val="-6"/>
              </w:rPr>
            </w:pPr>
            <w:r w:rsidRPr="00FD4D2F">
              <w:rPr>
                <w:spacing w:val="-6"/>
              </w:rPr>
              <w:t>Stamm, Claudia (BÜNDNIS 90/DIE GRÜNEN)</w:t>
            </w:r>
            <w:r w:rsidRPr="00FD4D2F">
              <w:rPr>
                <w:spacing w:val="-6"/>
              </w:rPr>
              <w:tab/>
              <w:t>17</w:t>
            </w:r>
          </w:p>
        </w:tc>
      </w:tr>
      <w:tr w:rsidR="00DB3BD0" w:rsidRPr="00FD4D2F">
        <w:tc>
          <w:tcPr>
            <w:tcW w:w="2500" w:type="pct"/>
            <w:tcBorders>
              <w:right w:val="single" w:sz="4" w:space="0" w:color="auto"/>
            </w:tcBorders>
          </w:tcPr>
          <w:p w:rsidR="00DB3BD0" w:rsidRDefault="00DB3BD0" w:rsidP="00DB3BD0">
            <w:pPr>
              <w:pStyle w:val="LTVerzeichnisDerFragendenLinks"/>
            </w:pPr>
            <w:r>
              <w:t>Dr. Herz, Leopold (FREIE WÄHLER)</w:t>
            </w:r>
            <w:r>
              <w:tab/>
              <w:t>38</w:t>
            </w:r>
          </w:p>
        </w:tc>
        <w:tc>
          <w:tcPr>
            <w:tcW w:w="2500" w:type="pct"/>
            <w:tcBorders>
              <w:left w:val="single" w:sz="4" w:space="0" w:color="auto"/>
            </w:tcBorders>
          </w:tcPr>
          <w:p w:rsidR="00DB3BD0" w:rsidRPr="00FD4D2F" w:rsidRDefault="00DB3BD0" w:rsidP="00FD4D2F">
            <w:pPr>
              <w:pStyle w:val="LTVerzeichnisDerFragendenLinks"/>
              <w:rPr>
                <w:spacing w:val="-6"/>
              </w:rPr>
            </w:pPr>
            <w:r w:rsidRPr="00FD4D2F">
              <w:rPr>
                <w:spacing w:val="-6"/>
              </w:rPr>
              <w:t>Steinberger, Rosi (BÜNDNIS 90/DIE GRÜNEN)</w:t>
            </w:r>
            <w:r w:rsidRPr="00FD4D2F">
              <w:rPr>
                <w:spacing w:val="-6"/>
              </w:rPr>
              <w:tab/>
              <w:t>51</w:t>
            </w:r>
          </w:p>
        </w:tc>
      </w:tr>
      <w:tr w:rsidR="00DB3BD0" w:rsidRPr="005833DD">
        <w:tc>
          <w:tcPr>
            <w:tcW w:w="2500" w:type="pct"/>
            <w:tcBorders>
              <w:right w:val="single" w:sz="4" w:space="0" w:color="auto"/>
            </w:tcBorders>
          </w:tcPr>
          <w:p w:rsidR="00DB3BD0" w:rsidRDefault="00DB3BD0" w:rsidP="00DB3BD0">
            <w:pPr>
              <w:pStyle w:val="LTVerzeichnisDerFragendenLinks"/>
            </w:pPr>
            <w:r>
              <w:t>Hiersemann, Alexandra (SPD)</w:t>
            </w:r>
            <w:r>
              <w:tab/>
              <w:t>7</w:t>
            </w:r>
          </w:p>
        </w:tc>
        <w:tc>
          <w:tcPr>
            <w:tcW w:w="2500" w:type="pct"/>
            <w:tcBorders>
              <w:left w:val="single" w:sz="4" w:space="0" w:color="auto"/>
            </w:tcBorders>
          </w:tcPr>
          <w:p w:rsidR="00DB3BD0" w:rsidRPr="005833DD" w:rsidRDefault="00DB3BD0" w:rsidP="00DB3BD0">
            <w:pPr>
              <w:pStyle w:val="LTVerzeichnisDerFragendenRechts"/>
            </w:pPr>
            <w:r>
              <w:t>Streibl, Florian (FREIE WÄHLER)</w:t>
            </w:r>
            <w:r>
              <w:tab/>
              <w:t>40</w:t>
            </w:r>
          </w:p>
        </w:tc>
      </w:tr>
      <w:tr w:rsidR="00DB3BD0" w:rsidRPr="005833DD">
        <w:tc>
          <w:tcPr>
            <w:tcW w:w="2500" w:type="pct"/>
            <w:tcBorders>
              <w:right w:val="single" w:sz="4" w:space="0" w:color="auto"/>
            </w:tcBorders>
          </w:tcPr>
          <w:p w:rsidR="00DB3BD0" w:rsidRDefault="00DB3BD0" w:rsidP="00DB3BD0">
            <w:pPr>
              <w:pStyle w:val="LTVerzeichnisDerFragendenLinks"/>
            </w:pPr>
            <w:r>
              <w:t>Kamm, Christine (BÜNDNIS 90/DIE GRÜNEN)</w:t>
            </w:r>
            <w:r>
              <w:tab/>
              <w:t>8</w:t>
            </w:r>
          </w:p>
        </w:tc>
        <w:tc>
          <w:tcPr>
            <w:tcW w:w="2500" w:type="pct"/>
            <w:tcBorders>
              <w:left w:val="single" w:sz="4" w:space="0" w:color="auto"/>
            </w:tcBorders>
          </w:tcPr>
          <w:p w:rsidR="00DB3BD0" w:rsidRPr="005833DD" w:rsidRDefault="00DB3BD0" w:rsidP="00DB3BD0">
            <w:pPr>
              <w:pStyle w:val="LTVerzeichnisDerFragendenRechts"/>
            </w:pPr>
            <w:r>
              <w:t>Strobl, Reinhold (SPD)</w:t>
            </w:r>
            <w:r>
              <w:tab/>
              <w:t>37</w:t>
            </w:r>
          </w:p>
        </w:tc>
      </w:tr>
      <w:tr w:rsidR="00DB3BD0" w:rsidRPr="005833DD">
        <w:tc>
          <w:tcPr>
            <w:tcW w:w="2500" w:type="pct"/>
            <w:tcBorders>
              <w:right w:val="single" w:sz="4" w:space="0" w:color="auto"/>
            </w:tcBorders>
          </w:tcPr>
          <w:p w:rsidR="00DB3BD0" w:rsidRDefault="00DB3BD0" w:rsidP="00DB3BD0">
            <w:pPr>
              <w:pStyle w:val="LTVerzeichnisDerFragendenLinks"/>
            </w:pPr>
            <w:r>
              <w:t>Karl, Annette (SPD)</w:t>
            </w:r>
            <w:r>
              <w:tab/>
              <w:t>43</w:t>
            </w:r>
          </w:p>
        </w:tc>
        <w:tc>
          <w:tcPr>
            <w:tcW w:w="2500" w:type="pct"/>
            <w:tcBorders>
              <w:left w:val="single" w:sz="4" w:space="0" w:color="auto"/>
            </w:tcBorders>
          </w:tcPr>
          <w:p w:rsidR="00DB3BD0" w:rsidRPr="005833DD" w:rsidRDefault="00DB3BD0" w:rsidP="00DB3BD0">
            <w:pPr>
              <w:pStyle w:val="LTVerzeichnisDerFragendenRechts"/>
            </w:pPr>
            <w:r>
              <w:t>Dr. Strohmayr, Simone (SPD)</w:t>
            </w:r>
            <w:r>
              <w:tab/>
              <w:t>18</w:t>
            </w:r>
          </w:p>
        </w:tc>
      </w:tr>
      <w:tr w:rsidR="00DB3BD0" w:rsidRPr="00FD4D2F">
        <w:tc>
          <w:tcPr>
            <w:tcW w:w="2500" w:type="pct"/>
            <w:tcBorders>
              <w:right w:val="single" w:sz="4" w:space="0" w:color="auto"/>
            </w:tcBorders>
          </w:tcPr>
          <w:p w:rsidR="00DB3BD0" w:rsidRDefault="00DB3BD0" w:rsidP="00DB3BD0">
            <w:pPr>
              <w:pStyle w:val="LTVerzeichnisDerFragendenLinks"/>
            </w:pPr>
            <w:r>
              <w:t>Knoblauch, Günther (SPD)</w:t>
            </w:r>
            <w:r>
              <w:tab/>
              <w:t>30</w:t>
            </w:r>
          </w:p>
        </w:tc>
        <w:tc>
          <w:tcPr>
            <w:tcW w:w="2500" w:type="pct"/>
            <w:tcBorders>
              <w:left w:val="single" w:sz="4" w:space="0" w:color="auto"/>
            </w:tcBorders>
          </w:tcPr>
          <w:p w:rsidR="00DB3BD0" w:rsidRPr="00FD4D2F" w:rsidRDefault="00DB3BD0" w:rsidP="00FD4D2F">
            <w:pPr>
              <w:pStyle w:val="LTVerzeichnisDerFragendenLinks"/>
              <w:rPr>
                <w:spacing w:val="-6"/>
              </w:rPr>
            </w:pPr>
            <w:r w:rsidRPr="00FD4D2F">
              <w:rPr>
                <w:spacing w:val="-6"/>
              </w:rPr>
              <w:t>Stümpfig, Martin (BÜNDNIS 90/DIE GRÜNEN)</w:t>
            </w:r>
            <w:r w:rsidRPr="00FD4D2F">
              <w:rPr>
                <w:spacing w:val="-6"/>
              </w:rPr>
              <w:tab/>
              <w:t>19</w:t>
            </w:r>
          </w:p>
        </w:tc>
      </w:tr>
      <w:tr w:rsidR="00DB3BD0" w:rsidRPr="005833DD">
        <w:tc>
          <w:tcPr>
            <w:tcW w:w="2500" w:type="pct"/>
            <w:tcBorders>
              <w:right w:val="single" w:sz="4" w:space="0" w:color="auto"/>
            </w:tcBorders>
          </w:tcPr>
          <w:p w:rsidR="00DB3BD0" w:rsidRDefault="00DB3BD0" w:rsidP="00DB3BD0">
            <w:pPr>
              <w:pStyle w:val="LTVerzeichnisDerFragendenLinks"/>
            </w:pPr>
            <w:r>
              <w:t>Dr. Kränzlein, Herbert (SPD)</w:t>
            </w:r>
            <w:r>
              <w:tab/>
              <w:t>24</w:t>
            </w:r>
          </w:p>
        </w:tc>
        <w:tc>
          <w:tcPr>
            <w:tcW w:w="2500" w:type="pct"/>
            <w:tcBorders>
              <w:left w:val="single" w:sz="4" w:space="0" w:color="auto"/>
            </w:tcBorders>
          </w:tcPr>
          <w:p w:rsidR="00DB3BD0" w:rsidRPr="005833DD" w:rsidRDefault="00DB3BD0" w:rsidP="00DB3BD0">
            <w:pPr>
              <w:pStyle w:val="LTVerzeichnisDerFragendenRechts"/>
            </w:pPr>
            <w:r>
              <w:t>Waldmann, Ruth (SPD)</w:t>
            </w:r>
            <w:r>
              <w:tab/>
              <w:t>52</w:t>
            </w:r>
          </w:p>
        </w:tc>
      </w:tr>
      <w:tr w:rsidR="00DB3BD0" w:rsidRPr="005833DD">
        <w:tc>
          <w:tcPr>
            <w:tcW w:w="2500" w:type="pct"/>
            <w:tcBorders>
              <w:right w:val="single" w:sz="4" w:space="0" w:color="auto"/>
            </w:tcBorders>
          </w:tcPr>
          <w:p w:rsidR="00DB3BD0" w:rsidRDefault="00DB3BD0" w:rsidP="00DB3BD0">
            <w:pPr>
              <w:pStyle w:val="LTVerzeichnisDerFragendenLinks"/>
            </w:pPr>
            <w:r>
              <w:lastRenderedPageBreak/>
              <w:t>Kraus, Nikolaus (FREIE WÄHLER)</w:t>
            </w:r>
            <w:r>
              <w:tab/>
              <w:t>39</w:t>
            </w:r>
          </w:p>
        </w:tc>
        <w:tc>
          <w:tcPr>
            <w:tcW w:w="2500" w:type="pct"/>
            <w:tcBorders>
              <w:left w:val="single" w:sz="4" w:space="0" w:color="auto"/>
            </w:tcBorders>
          </w:tcPr>
          <w:p w:rsidR="00DB3BD0" w:rsidRPr="005833DD" w:rsidRDefault="00DB3BD0" w:rsidP="00DB3BD0">
            <w:pPr>
              <w:pStyle w:val="LTVerzeichnisDerFragendenRechts"/>
            </w:pPr>
            <w:r>
              <w:t>Weikert, Angelika (SPD)</w:t>
            </w:r>
            <w:r>
              <w:tab/>
              <w:t>20</w:t>
            </w:r>
          </w:p>
        </w:tc>
      </w:tr>
      <w:tr w:rsidR="00DB3BD0" w:rsidRPr="005833DD">
        <w:tc>
          <w:tcPr>
            <w:tcW w:w="2500" w:type="pct"/>
            <w:tcBorders>
              <w:right w:val="single" w:sz="4" w:space="0" w:color="auto"/>
            </w:tcBorders>
          </w:tcPr>
          <w:p w:rsidR="00DB3BD0" w:rsidRDefault="00DB3BD0" w:rsidP="00DB3BD0">
            <w:pPr>
              <w:pStyle w:val="LTVerzeichnisDerFragendenLinks"/>
            </w:pPr>
            <w:r>
              <w:t>Leiner, Ulrich (BÜNDNIS 90/DIE GRÜNEN)</w:t>
            </w:r>
            <w:r>
              <w:tab/>
              <w:t>31</w:t>
            </w:r>
          </w:p>
        </w:tc>
        <w:tc>
          <w:tcPr>
            <w:tcW w:w="2500" w:type="pct"/>
            <w:tcBorders>
              <w:left w:val="single" w:sz="4" w:space="0" w:color="auto"/>
            </w:tcBorders>
          </w:tcPr>
          <w:p w:rsidR="00DB3BD0" w:rsidRPr="005833DD" w:rsidRDefault="00DB3BD0" w:rsidP="00DB3BD0">
            <w:pPr>
              <w:pStyle w:val="LTVerzeichnisDerFragendenRechts"/>
            </w:pPr>
            <w:r>
              <w:t>Werner-Muggendorfer, Johanna (SPD)</w:t>
            </w:r>
            <w:r>
              <w:tab/>
              <w:t>21</w:t>
            </w:r>
          </w:p>
        </w:tc>
      </w:tr>
      <w:tr w:rsidR="00DB3BD0" w:rsidRPr="005833DD">
        <w:tc>
          <w:tcPr>
            <w:tcW w:w="2500" w:type="pct"/>
            <w:tcBorders>
              <w:right w:val="single" w:sz="4" w:space="0" w:color="auto"/>
            </w:tcBorders>
          </w:tcPr>
          <w:p w:rsidR="00DB3BD0" w:rsidRDefault="00DB3BD0" w:rsidP="00DB3BD0">
            <w:pPr>
              <w:pStyle w:val="LTVerzeichnisDerFragendenLinks"/>
            </w:pPr>
            <w:r>
              <w:t>Lotte, Andreas (SPD)</w:t>
            </w:r>
            <w:r>
              <w:tab/>
              <w:t>25</w:t>
            </w:r>
          </w:p>
        </w:tc>
        <w:tc>
          <w:tcPr>
            <w:tcW w:w="2500" w:type="pct"/>
            <w:tcBorders>
              <w:left w:val="single" w:sz="4" w:space="0" w:color="auto"/>
            </w:tcBorders>
          </w:tcPr>
          <w:p w:rsidR="00DB3BD0" w:rsidRPr="005833DD" w:rsidRDefault="00DB3BD0" w:rsidP="00DB3BD0">
            <w:pPr>
              <w:pStyle w:val="LTVerzeichnisDerFragendenRechts"/>
            </w:pPr>
            <w:r>
              <w:t>Wild, Margit (SPD)</w:t>
            </w:r>
            <w:r>
              <w:tab/>
              <w:t>32</w:t>
            </w:r>
          </w:p>
        </w:tc>
      </w:tr>
      <w:tr w:rsidR="00DB3BD0" w:rsidRPr="005833DD">
        <w:tc>
          <w:tcPr>
            <w:tcW w:w="2500" w:type="pct"/>
            <w:tcBorders>
              <w:right w:val="single" w:sz="4" w:space="0" w:color="auto"/>
            </w:tcBorders>
          </w:tcPr>
          <w:p w:rsidR="00DB3BD0" w:rsidRDefault="00DB3BD0" w:rsidP="00DB3BD0">
            <w:pPr>
              <w:pStyle w:val="LTVerzeichnisDerFragendenLinks"/>
            </w:pPr>
            <w:r>
              <w:t>Meyer, Peter (FREIE WÄHLER)</w:t>
            </w:r>
            <w:r>
              <w:tab/>
              <w:t>46</w:t>
            </w:r>
          </w:p>
        </w:tc>
        <w:tc>
          <w:tcPr>
            <w:tcW w:w="2500" w:type="pct"/>
            <w:tcBorders>
              <w:left w:val="single" w:sz="4" w:space="0" w:color="auto"/>
            </w:tcBorders>
          </w:tcPr>
          <w:p w:rsidR="00DB3BD0" w:rsidRPr="005833DD" w:rsidRDefault="00DB3BD0" w:rsidP="00DB3BD0">
            <w:pPr>
              <w:pStyle w:val="LTVerzeichnisDerFragendenRechts"/>
            </w:pPr>
            <w:r>
              <w:t>Zacharias, Isabell (SPD)</w:t>
            </w:r>
            <w:r>
              <w:tab/>
              <w:t>33</w:t>
            </w:r>
          </w:p>
        </w:tc>
      </w:tr>
      <w:tr w:rsidR="00A42EAA" w:rsidRPr="005833DD">
        <w:tc>
          <w:tcPr>
            <w:tcW w:w="2500" w:type="pct"/>
            <w:tcBorders>
              <w:right w:val="single" w:sz="4" w:space="0" w:color="auto"/>
            </w:tcBorders>
          </w:tcPr>
          <w:p w:rsidR="00A42EAA" w:rsidRDefault="00DB3BD0" w:rsidP="00DB3BD0">
            <w:pPr>
              <w:pStyle w:val="LTVerzeichnisDerFragendenLinks"/>
            </w:pPr>
            <w:r>
              <w:t>Müller, Ruth (SPD)</w:t>
            </w:r>
            <w:r>
              <w:tab/>
              <w:t>9</w:t>
            </w:r>
          </w:p>
        </w:tc>
        <w:tc>
          <w:tcPr>
            <w:tcW w:w="2500" w:type="pct"/>
            <w:tcBorders>
              <w:left w:val="single" w:sz="4" w:space="0" w:color="auto"/>
            </w:tcBorders>
          </w:tcPr>
          <w:p w:rsidR="00A42EAA" w:rsidRPr="005833DD" w:rsidRDefault="00DB3BD0" w:rsidP="00DB3BD0">
            <w:pPr>
              <w:pStyle w:val="LTVerzeichnisDerFragendenRechts"/>
            </w:pPr>
            <w:r>
              <w:t>Zierer, Benno (FREIE WÄHLER)</w:t>
            </w:r>
            <w:r>
              <w:tab/>
              <w:t>41</w:t>
            </w:r>
          </w:p>
        </w:tc>
      </w:tr>
    </w:tbl>
    <w:p w:rsidR="00C127DA" w:rsidRDefault="00C127DA" w:rsidP="009229F8">
      <w:pPr>
        <w:pStyle w:val="LTAnfrageText"/>
      </w:pPr>
    </w:p>
    <w:p w:rsidR="00A5482B" w:rsidRDefault="00A5482B" w:rsidP="00977682">
      <w:pPr>
        <w:spacing w:before="240" w:after="240"/>
        <w:ind w:left="357"/>
        <w:jc w:val="center"/>
        <w:rPr>
          <w:b/>
        </w:rPr>
        <w:sectPr w:rsidR="00A5482B" w:rsidSect="00A76D72">
          <w:headerReference w:type="even" r:id="rId9"/>
          <w:headerReference w:type="default" r:id="rId10"/>
          <w:headerReference w:type="first" r:id="rId11"/>
          <w:footerReference w:type="first" r:id="rId12"/>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3"/>
          <w:headerReference w:type="default" r:id="rId14"/>
          <w:footerReference w:type="even" r:id="rId15"/>
          <w:pgSz w:w="11906" w:h="16838" w:code="9"/>
          <w:pgMar w:top="1418" w:right="1418" w:bottom="1134" w:left="1418" w:header="1418" w:footer="1418" w:gutter="0"/>
          <w:pgNumType w:fmt="upperRoman"/>
          <w:cols w:space="708"/>
          <w:docGrid w:linePitch="360"/>
        </w:sectPr>
      </w:pPr>
    </w:p>
    <w:bookmarkStart w:id="2" w:name="VerzeichnisDerFragen"/>
    <w:bookmarkEnd w:id="2"/>
    <w:p w:rsidR="00DB3BD0" w:rsidRDefault="00CF77F6">
      <w:pPr>
        <w:pStyle w:val="Verzeichnis1"/>
        <w:tabs>
          <w:tab w:val="right" w:leader="dot" w:pos="4383"/>
        </w:tabs>
        <w:rPr>
          <w:rFonts w:asciiTheme="minorHAnsi" w:eastAsiaTheme="minorEastAsia" w:hAnsiTheme="minorHAnsi" w:cstheme="minorBidi"/>
          <w:b w:val="0"/>
          <w:noProof/>
        </w:rPr>
      </w:pPr>
      <w:r>
        <w:lastRenderedPageBreak/>
        <w:fldChar w:fldCharType="begin"/>
      </w:r>
      <w:r>
        <w:instrText xml:space="preserve"> TOC \f \h \z</w:instrText>
      </w:r>
      <w:r w:rsidR="000C72A9">
        <w:instrText xml:space="preserve"> \w \x</w:instrText>
      </w:r>
      <w:r>
        <w:instrText xml:space="preserve"> </w:instrText>
      </w:r>
      <w:r>
        <w:fldChar w:fldCharType="separate"/>
      </w:r>
      <w:hyperlink w:anchor="_Toc475001257" w:history="1">
        <w:r w:rsidR="00DB3BD0" w:rsidRPr="00EF3D0B">
          <w:rPr>
            <w:rStyle w:val="Hyperlink"/>
            <w:noProof/>
          </w:rPr>
          <w:t>Geschäftsbereich der Staatskanzlei</w:t>
        </w:r>
        <w:r w:rsidR="00DB3BD0">
          <w:rPr>
            <w:noProof/>
            <w:webHidden/>
          </w:rPr>
          <w:tab/>
        </w:r>
        <w:r w:rsidR="00DB3BD0">
          <w:rPr>
            <w:noProof/>
            <w:webHidden/>
          </w:rPr>
          <w:fldChar w:fldCharType="begin"/>
        </w:r>
        <w:r w:rsidR="00DB3BD0">
          <w:rPr>
            <w:noProof/>
            <w:webHidden/>
          </w:rPr>
          <w:instrText xml:space="preserve"> PAGEREF _Toc475001257 \h </w:instrText>
        </w:r>
        <w:r w:rsidR="00DB3BD0">
          <w:rPr>
            <w:noProof/>
            <w:webHidden/>
          </w:rPr>
        </w:r>
        <w:r w:rsidR="00DB3BD0">
          <w:rPr>
            <w:noProof/>
            <w:webHidden/>
          </w:rPr>
          <w:fldChar w:fldCharType="separate"/>
        </w:r>
        <w:r w:rsidR="00C87EB4">
          <w:rPr>
            <w:noProof/>
            <w:webHidden/>
          </w:rPr>
          <w:t>1</w:t>
        </w:r>
        <w:r w:rsidR="00DB3BD0">
          <w:rPr>
            <w:noProof/>
            <w:webHidden/>
          </w:rPr>
          <w:fldChar w:fldCharType="end"/>
        </w:r>
      </w:hyperlink>
    </w:p>
    <w:p w:rsidR="00DB3BD0" w:rsidRDefault="009312C9">
      <w:pPr>
        <w:pStyle w:val="Verzeichnis2"/>
        <w:tabs>
          <w:tab w:val="right" w:leader="dot" w:pos="4383"/>
        </w:tabs>
        <w:rPr>
          <w:rStyle w:val="Hyperlink"/>
        </w:rPr>
      </w:pPr>
      <w:hyperlink w:anchor="_Toc475001258" w:history="1">
        <w:r w:rsidR="00DB3BD0" w:rsidRPr="00EF3D0B">
          <w:rPr>
            <w:rStyle w:val="Hyperlink"/>
          </w:rPr>
          <w:t>Rosenthal, Georg (SPD)</w:t>
        </w:r>
        <w:r w:rsidR="00DB3BD0" w:rsidRPr="00EF3D0B">
          <w:rPr>
            <w:rStyle w:val="Hyperlink"/>
          </w:rPr>
          <w:br/>
          <w:t>Projekte zur Bekämpfung von Flucht</w:t>
        </w:r>
        <w:r w:rsidR="00C0610E">
          <w:rPr>
            <w:rStyle w:val="Hyperlink"/>
          </w:rPr>
          <w:softHyphen/>
        </w:r>
        <w:r w:rsidR="00DB3BD0" w:rsidRPr="00EF3D0B">
          <w:rPr>
            <w:rStyle w:val="Hyperlink"/>
          </w:rPr>
          <w:t>ursachen</w:t>
        </w:r>
        <w:r w:rsidR="00DB3BD0">
          <w:rPr>
            <w:webHidden/>
          </w:rPr>
          <w:tab/>
        </w:r>
        <w:r w:rsidR="00DB3BD0">
          <w:rPr>
            <w:webHidden/>
          </w:rPr>
          <w:fldChar w:fldCharType="begin"/>
        </w:r>
        <w:r w:rsidR="00DB3BD0">
          <w:rPr>
            <w:webHidden/>
          </w:rPr>
          <w:instrText xml:space="preserve"> PAGEREF _Toc475001258 \h </w:instrText>
        </w:r>
        <w:r w:rsidR="00DB3BD0">
          <w:rPr>
            <w:webHidden/>
          </w:rPr>
        </w:r>
        <w:r w:rsidR="00DB3BD0">
          <w:rPr>
            <w:webHidden/>
          </w:rPr>
          <w:fldChar w:fldCharType="separate"/>
        </w:r>
        <w:r w:rsidR="00C87EB4">
          <w:rPr>
            <w:webHidden/>
          </w:rPr>
          <w:t>1</w:t>
        </w:r>
        <w:r w:rsidR="00DB3BD0">
          <w:rPr>
            <w:webHidden/>
          </w:rPr>
          <w:fldChar w:fldCharType="end"/>
        </w:r>
      </w:hyperlink>
    </w:p>
    <w:p w:rsidR="00C0610E" w:rsidRPr="00C0610E" w:rsidRDefault="00C0610E" w:rsidP="00C0610E">
      <w:pPr>
        <w:rPr>
          <w:rFonts w:eastAsiaTheme="minorEastAsia"/>
          <w:noProof/>
        </w:rPr>
      </w:pPr>
    </w:p>
    <w:p w:rsidR="00DB3BD0" w:rsidRDefault="009312C9">
      <w:pPr>
        <w:pStyle w:val="Verzeichnis1"/>
        <w:tabs>
          <w:tab w:val="right" w:leader="dot" w:pos="4383"/>
        </w:tabs>
        <w:rPr>
          <w:rFonts w:asciiTheme="minorHAnsi" w:eastAsiaTheme="minorEastAsia" w:hAnsiTheme="minorHAnsi" w:cstheme="minorBidi"/>
          <w:b w:val="0"/>
          <w:noProof/>
        </w:rPr>
      </w:pPr>
      <w:hyperlink w:anchor="_Toc475001259" w:history="1">
        <w:r w:rsidR="00DB3BD0" w:rsidRPr="00EF3D0B">
          <w:rPr>
            <w:rStyle w:val="Hyperlink"/>
            <w:noProof/>
          </w:rPr>
          <w:t>Geschäftsbereich des Staatsministeriums des Innern, für Bau und Verkehr</w:t>
        </w:r>
        <w:r w:rsidR="00DB3BD0">
          <w:rPr>
            <w:noProof/>
            <w:webHidden/>
          </w:rPr>
          <w:tab/>
        </w:r>
        <w:r w:rsidR="00DB3BD0">
          <w:rPr>
            <w:noProof/>
            <w:webHidden/>
          </w:rPr>
          <w:fldChar w:fldCharType="begin"/>
        </w:r>
        <w:r w:rsidR="00DB3BD0">
          <w:rPr>
            <w:noProof/>
            <w:webHidden/>
          </w:rPr>
          <w:instrText xml:space="preserve"> PAGEREF _Toc475001259 \h </w:instrText>
        </w:r>
        <w:r w:rsidR="00DB3BD0">
          <w:rPr>
            <w:noProof/>
            <w:webHidden/>
          </w:rPr>
        </w:r>
        <w:r w:rsidR="00DB3BD0">
          <w:rPr>
            <w:noProof/>
            <w:webHidden/>
          </w:rPr>
          <w:fldChar w:fldCharType="separate"/>
        </w:r>
        <w:r w:rsidR="00C87EB4">
          <w:rPr>
            <w:noProof/>
            <w:webHidden/>
          </w:rPr>
          <w:t>3</w:t>
        </w:r>
        <w:r w:rsidR="00DB3BD0">
          <w:rPr>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0" w:history="1">
        <w:r w:rsidR="00DB3BD0" w:rsidRPr="00EF3D0B">
          <w:rPr>
            <w:rStyle w:val="Hyperlink"/>
          </w:rPr>
          <w:t>Prof. (Univ. Lima) Dr. Bauer, Peter (FREIE WÄHLER)</w:t>
        </w:r>
        <w:r w:rsidR="00DB3BD0" w:rsidRPr="00EF3D0B">
          <w:rPr>
            <w:rStyle w:val="Hyperlink"/>
          </w:rPr>
          <w:br/>
          <w:t>Kriminalaktennachweis (KAN)</w:t>
        </w:r>
        <w:r w:rsidR="00DB3BD0">
          <w:rPr>
            <w:webHidden/>
          </w:rPr>
          <w:tab/>
        </w:r>
        <w:r w:rsidR="00DB3BD0">
          <w:rPr>
            <w:webHidden/>
          </w:rPr>
          <w:fldChar w:fldCharType="begin"/>
        </w:r>
        <w:r w:rsidR="00DB3BD0">
          <w:rPr>
            <w:webHidden/>
          </w:rPr>
          <w:instrText xml:space="preserve"> PAGEREF _Toc475001260 \h </w:instrText>
        </w:r>
        <w:r w:rsidR="00DB3BD0">
          <w:rPr>
            <w:webHidden/>
          </w:rPr>
        </w:r>
        <w:r w:rsidR="00DB3BD0">
          <w:rPr>
            <w:webHidden/>
          </w:rPr>
          <w:fldChar w:fldCharType="separate"/>
        </w:r>
        <w:r w:rsidR="00C87EB4">
          <w:rPr>
            <w:webHidden/>
          </w:rPr>
          <w:t>3</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1" w:history="1">
        <w:r w:rsidR="00DB3BD0" w:rsidRPr="00EF3D0B">
          <w:rPr>
            <w:rStyle w:val="Hyperlink"/>
          </w:rPr>
          <w:t>Bause, Margarete (BÜNDNIS 90/DIE GRÜNEN)</w:t>
        </w:r>
        <w:r w:rsidR="00DB3BD0" w:rsidRPr="00EF3D0B">
          <w:rPr>
            <w:rStyle w:val="Hyperlink"/>
          </w:rPr>
          <w:br/>
          <w:t>Asylbewerberinnen und -bewerber aus der Türkei</w:t>
        </w:r>
        <w:r w:rsidR="00DB3BD0">
          <w:rPr>
            <w:webHidden/>
          </w:rPr>
          <w:tab/>
        </w:r>
        <w:r w:rsidR="00DB3BD0">
          <w:rPr>
            <w:webHidden/>
          </w:rPr>
          <w:fldChar w:fldCharType="begin"/>
        </w:r>
        <w:r w:rsidR="00DB3BD0">
          <w:rPr>
            <w:webHidden/>
          </w:rPr>
          <w:instrText xml:space="preserve"> PAGEREF _Toc475001261 \h </w:instrText>
        </w:r>
        <w:r w:rsidR="00DB3BD0">
          <w:rPr>
            <w:webHidden/>
          </w:rPr>
        </w:r>
        <w:r w:rsidR="00DB3BD0">
          <w:rPr>
            <w:webHidden/>
          </w:rPr>
          <w:fldChar w:fldCharType="separate"/>
        </w:r>
        <w:r w:rsidR="00C87EB4">
          <w:rPr>
            <w:webHidden/>
          </w:rPr>
          <w:t>3</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2" w:history="1">
        <w:r w:rsidR="00C0610E">
          <w:rPr>
            <w:rStyle w:val="Hyperlink"/>
          </w:rPr>
          <w:t>von B</w:t>
        </w:r>
        <w:r w:rsidR="00DB3BD0" w:rsidRPr="00EF3D0B">
          <w:rPr>
            <w:rStyle w:val="Hyperlink"/>
          </w:rPr>
          <w:t>runn, Florian (SPD)</w:t>
        </w:r>
        <w:r w:rsidR="00DB3BD0" w:rsidRPr="00EF3D0B">
          <w:rPr>
            <w:rStyle w:val="Hyperlink"/>
          </w:rPr>
          <w:br/>
          <w:t>Jodl-Gedenkstein auf der Fraueninsel</w:t>
        </w:r>
        <w:r w:rsidR="00DB3BD0">
          <w:rPr>
            <w:webHidden/>
          </w:rPr>
          <w:tab/>
        </w:r>
        <w:r w:rsidR="00DB3BD0">
          <w:rPr>
            <w:webHidden/>
          </w:rPr>
          <w:fldChar w:fldCharType="begin"/>
        </w:r>
        <w:r w:rsidR="00DB3BD0">
          <w:rPr>
            <w:webHidden/>
          </w:rPr>
          <w:instrText xml:space="preserve"> PAGEREF _Toc475001262 \h </w:instrText>
        </w:r>
        <w:r w:rsidR="00DB3BD0">
          <w:rPr>
            <w:webHidden/>
          </w:rPr>
        </w:r>
        <w:r w:rsidR="00DB3BD0">
          <w:rPr>
            <w:webHidden/>
          </w:rPr>
          <w:fldChar w:fldCharType="separate"/>
        </w:r>
        <w:r w:rsidR="00C87EB4">
          <w:rPr>
            <w:webHidden/>
          </w:rPr>
          <w:t>4</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3" w:history="1">
        <w:r w:rsidR="00DB3BD0" w:rsidRPr="00EF3D0B">
          <w:rPr>
            <w:rStyle w:val="Hyperlink"/>
          </w:rPr>
          <w:t>Dr. Fahn, Hans Jürgen (FREIE WÄHLER)</w:t>
        </w:r>
        <w:r w:rsidR="00DB3BD0" w:rsidRPr="00EF3D0B">
          <w:rPr>
            <w:rStyle w:val="Hyperlink"/>
          </w:rPr>
          <w:br/>
          <w:t>Informationen zum Bayerischen Straßen</w:t>
        </w:r>
        <w:r w:rsidR="00C0610E">
          <w:rPr>
            <w:rStyle w:val="Hyperlink"/>
          </w:rPr>
          <w:softHyphen/>
        </w:r>
        <w:r w:rsidR="00DB3BD0" w:rsidRPr="00EF3D0B">
          <w:rPr>
            <w:rStyle w:val="Hyperlink"/>
          </w:rPr>
          <w:t>informationssystem (BAYSIS)</w:t>
        </w:r>
        <w:r w:rsidR="00DB3BD0">
          <w:rPr>
            <w:webHidden/>
          </w:rPr>
          <w:tab/>
        </w:r>
        <w:r w:rsidR="00DB3BD0">
          <w:rPr>
            <w:webHidden/>
          </w:rPr>
          <w:fldChar w:fldCharType="begin"/>
        </w:r>
        <w:r w:rsidR="00DB3BD0">
          <w:rPr>
            <w:webHidden/>
          </w:rPr>
          <w:instrText xml:space="preserve"> PAGEREF _Toc475001263 \h </w:instrText>
        </w:r>
        <w:r w:rsidR="00DB3BD0">
          <w:rPr>
            <w:webHidden/>
          </w:rPr>
        </w:r>
        <w:r w:rsidR="00DB3BD0">
          <w:rPr>
            <w:webHidden/>
          </w:rPr>
          <w:fldChar w:fldCharType="separate"/>
        </w:r>
        <w:r w:rsidR="00C87EB4">
          <w:rPr>
            <w:webHidden/>
          </w:rPr>
          <w:t>5</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4" w:history="1">
        <w:r w:rsidR="00DB3BD0" w:rsidRPr="00EF3D0B">
          <w:rPr>
            <w:rStyle w:val="Hyperlink"/>
          </w:rPr>
          <w:t>Prof. Dr. Gantzer, Peter Paul (SPD)</w:t>
        </w:r>
        <w:r w:rsidR="00DB3BD0" w:rsidRPr="00EF3D0B">
          <w:rPr>
            <w:rStyle w:val="Hyperlink"/>
          </w:rPr>
          <w:br/>
          <w:t>Kriminalität im Bereich des Polizei</w:t>
        </w:r>
        <w:r w:rsidR="00C0610E">
          <w:rPr>
            <w:rStyle w:val="Hyperlink"/>
          </w:rPr>
          <w:softHyphen/>
        </w:r>
        <w:r w:rsidR="00DB3BD0" w:rsidRPr="00EF3D0B">
          <w:rPr>
            <w:rStyle w:val="Hyperlink"/>
          </w:rPr>
          <w:t>präsidiums München im Jahr 2016</w:t>
        </w:r>
        <w:r w:rsidR="00DB3BD0">
          <w:rPr>
            <w:webHidden/>
          </w:rPr>
          <w:tab/>
        </w:r>
        <w:r w:rsidR="00DB3BD0">
          <w:rPr>
            <w:webHidden/>
          </w:rPr>
          <w:fldChar w:fldCharType="begin"/>
        </w:r>
        <w:r w:rsidR="00DB3BD0">
          <w:rPr>
            <w:webHidden/>
          </w:rPr>
          <w:instrText xml:space="preserve"> PAGEREF _Toc475001264 \h </w:instrText>
        </w:r>
        <w:r w:rsidR="00DB3BD0">
          <w:rPr>
            <w:webHidden/>
          </w:rPr>
        </w:r>
        <w:r w:rsidR="00DB3BD0">
          <w:rPr>
            <w:webHidden/>
          </w:rPr>
          <w:fldChar w:fldCharType="separate"/>
        </w:r>
        <w:r w:rsidR="00C87EB4">
          <w:rPr>
            <w:webHidden/>
          </w:rPr>
          <w:t>6</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5" w:history="1">
        <w:r w:rsidR="00DB3BD0" w:rsidRPr="00EF3D0B">
          <w:rPr>
            <w:rStyle w:val="Hyperlink"/>
          </w:rPr>
          <w:t>Hiersemann, Alexandra (SPD)</w:t>
        </w:r>
        <w:r w:rsidR="00DB3BD0" w:rsidRPr="00EF3D0B">
          <w:rPr>
            <w:rStyle w:val="Hyperlink"/>
          </w:rPr>
          <w:br/>
          <w:t>Stellungnahme des Staatsministeriums des Innern, für Bau und Verkehr im Rahmen des Konsultationsverfahrens nach Ziff. 60a.1.3.2 der Allgemeinen Verwaltungsvorschrift zum Aufenthalts</w:t>
        </w:r>
        <w:r w:rsidR="00C0610E">
          <w:rPr>
            <w:rStyle w:val="Hyperlink"/>
          </w:rPr>
          <w:softHyphen/>
        </w:r>
        <w:r w:rsidR="00DB3BD0" w:rsidRPr="00EF3D0B">
          <w:rPr>
            <w:rStyle w:val="Hyperlink"/>
          </w:rPr>
          <w:t>gesetz</w:t>
        </w:r>
        <w:r w:rsidR="00DB3BD0">
          <w:rPr>
            <w:webHidden/>
          </w:rPr>
          <w:tab/>
        </w:r>
        <w:r w:rsidR="00DB3BD0">
          <w:rPr>
            <w:webHidden/>
          </w:rPr>
          <w:fldChar w:fldCharType="begin"/>
        </w:r>
        <w:r w:rsidR="00DB3BD0">
          <w:rPr>
            <w:webHidden/>
          </w:rPr>
          <w:instrText xml:space="preserve"> PAGEREF _Toc475001265 \h </w:instrText>
        </w:r>
        <w:r w:rsidR="00DB3BD0">
          <w:rPr>
            <w:webHidden/>
          </w:rPr>
        </w:r>
        <w:r w:rsidR="00DB3BD0">
          <w:rPr>
            <w:webHidden/>
          </w:rPr>
          <w:fldChar w:fldCharType="separate"/>
        </w:r>
        <w:r w:rsidR="00C87EB4">
          <w:rPr>
            <w:webHidden/>
          </w:rPr>
          <w:t>7</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6" w:history="1">
        <w:r w:rsidR="00DB3BD0" w:rsidRPr="00EF3D0B">
          <w:rPr>
            <w:rStyle w:val="Hyperlink"/>
          </w:rPr>
          <w:t>Kamm, Christine (BÜNDNIS 90/DIE GRÜNEN)</w:t>
        </w:r>
        <w:r w:rsidR="00DB3BD0" w:rsidRPr="00EF3D0B">
          <w:rPr>
            <w:rStyle w:val="Hyperlink"/>
          </w:rPr>
          <w:br/>
          <w:t>Sammelabschiebungen nach Afghanistan</w:t>
        </w:r>
        <w:r w:rsidR="00DB3BD0">
          <w:rPr>
            <w:webHidden/>
          </w:rPr>
          <w:tab/>
        </w:r>
        <w:r w:rsidR="00DB3BD0">
          <w:rPr>
            <w:webHidden/>
          </w:rPr>
          <w:fldChar w:fldCharType="begin"/>
        </w:r>
        <w:r w:rsidR="00DB3BD0">
          <w:rPr>
            <w:webHidden/>
          </w:rPr>
          <w:instrText xml:space="preserve"> PAGEREF _Toc475001266 \h </w:instrText>
        </w:r>
        <w:r w:rsidR="00DB3BD0">
          <w:rPr>
            <w:webHidden/>
          </w:rPr>
        </w:r>
        <w:r w:rsidR="00DB3BD0">
          <w:rPr>
            <w:webHidden/>
          </w:rPr>
          <w:fldChar w:fldCharType="separate"/>
        </w:r>
        <w:r w:rsidR="00C87EB4">
          <w:rPr>
            <w:webHidden/>
          </w:rPr>
          <w:t>8</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7" w:history="1">
        <w:r w:rsidR="00DB3BD0" w:rsidRPr="00EF3D0B">
          <w:rPr>
            <w:rStyle w:val="Hyperlink"/>
          </w:rPr>
          <w:t>Müller, Ruth (SPD)</w:t>
        </w:r>
        <w:r w:rsidR="00DB3BD0" w:rsidRPr="00EF3D0B">
          <w:rPr>
            <w:rStyle w:val="Hyperlink"/>
          </w:rPr>
          <w:br/>
        </w:r>
        <w:r w:rsidR="008931E0">
          <w:rPr>
            <w:rStyle w:val="Hyperlink"/>
          </w:rPr>
          <w:t>„</w:t>
        </w:r>
        <w:r w:rsidR="00DB3BD0" w:rsidRPr="00EF3D0B">
          <w:rPr>
            <w:rStyle w:val="Hyperlink"/>
          </w:rPr>
          <w:t>Ganzheitliches Konzept</w:t>
        </w:r>
        <w:r w:rsidR="008931E0">
          <w:rPr>
            <w:rStyle w:val="Hyperlink"/>
          </w:rPr>
          <w:t>“</w:t>
        </w:r>
        <w:r w:rsidR="00DB3BD0" w:rsidRPr="00EF3D0B">
          <w:rPr>
            <w:rStyle w:val="Hyperlink"/>
          </w:rPr>
          <w:t xml:space="preserve"> zur Verteilung der 2000 zusätzlichen Stellen im Polizeidienst</w:t>
        </w:r>
        <w:r w:rsidR="00DB3BD0">
          <w:rPr>
            <w:webHidden/>
          </w:rPr>
          <w:tab/>
        </w:r>
        <w:r w:rsidR="00DB3BD0">
          <w:rPr>
            <w:webHidden/>
          </w:rPr>
          <w:fldChar w:fldCharType="begin"/>
        </w:r>
        <w:r w:rsidR="00DB3BD0">
          <w:rPr>
            <w:webHidden/>
          </w:rPr>
          <w:instrText xml:space="preserve"> PAGEREF _Toc475001267 \h </w:instrText>
        </w:r>
        <w:r w:rsidR="00DB3BD0">
          <w:rPr>
            <w:webHidden/>
          </w:rPr>
        </w:r>
        <w:r w:rsidR="00DB3BD0">
          <w:rPr>
            <w:webHidden/>
          </w:rPr>
          <w:fldChar w:fldCharType="separate"/>
        </w:r>
        <w:r w:rsidR="00C87EB4">
          <w:rPr>
            <w:webHidden/>
          </w:rPr>
          <w:t>8</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8" w:history="1">
        <w:r w:rsidR="00DB3BD0" w:rsidRPr="00EF3D0B">
          <w:rPr>
            <w:rStyle w:val="Hyperlink"/>
          </w:rPr>
          <w:t>Pfaffmann, Hans-Ulrich (SPD)</w:t>
        </w:r>
        <w:r w:rsidR="00DB3BD0" w:rsidRPr="00EF3D0B">
          <w:rPr>
            <w:rStyle w:val="Hyperlink"/>
          </w:rPr>
          <w:br/>
          <w:t>Zwischenbilanz für den Wohnungspakt Bayern</w:t>
        </w:r>
        <w:r w:rsidR="00DB3BD0">
          <w:rPr>
            <w:webHidden/>
          </w:rPr>
          <w:tab/>
        </w:r>
        <w:r w:rsidR="00DB3BD0">
          <w:rPr>
            <w:webHidden/>
          </w:rPr>
          <w:fldChar w:fldCharType="begin"/>
        </w:r>
        <w:r w:rsidR="00DB3BD0">
          <w:rPr>
            <w:webHidden/>
          </w:rPr>
          <w:instrText xml:space="preserve"> PAGEREF _Toc475001268 \h </w:instrText>
        </w:r>
        <w:r w:rsidR="00DB3BD0">
          <w:rPr>
            <w:webHidden/>
          </w:rPr>
        </w:r>
        <w:r w:rsidR="00DB3BD0">
          <w:rPr>
            <w:webHidden/>
          </w:rPr>
          <w:fldChar w:fldCharType="separate"/>
        </w:r>
        <w:r w:rsidR="00C87EB4">
          <w:rPr>
            <w:webHidden/>
          </w:rPr>
          <w:t>9</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69" w:history="1">
        <w:r w:rsidR="00DB3BD0" w:rsidRPr="00EF3D0B">
          <w:rPr>
            <w:rStyle w:val="Hyperlink"/>
          </w:rPr>
          <w:t>Rinderspacher, Markus (SPD)</w:t>
        </w:r>
        <w:r w:rsidR="00DB3BD0" w:rsidRPr="00EF3D0B">
          <w:rPr>
            <w:rStyle w:val="Hyperlink"/>
          </w:rPr>
          <w:br/>
          <w:t xml:space="preserve">Antisemitische Straftaten in Bayern </w:t>
        </w:r>
        <w:r w:rsidR="00C0610E">
          <w:rPr>
            <w:rStyle w:val="Hyperlink"/>
          </w:rPr>
          <w:t>–</w:t>
        </w:r>
        <w:r w:rsidR="00DB3BD0" w:rsidRPr="00EF3D0B">
          <w:rPr>
            <w:rStyle w:val="Hyperlink"/>
          </w:rPr>
          <w:t xml:space="preserve"> Detailnachfrage zu angegebenen De</w:t>
        </w:r>
        <w:r w:rsidR="00C0610E">
          <w:rPr>
            <w:rStyle w:val="Hyperlink"/>
          </w:rPr>
          <w:softHyphen/>
        </w:r>
        <w:r w:rsidR="00DB3BD0" w:rsidRPr="00EF3D0B">
          <w:rPr>
            <w:rStyle w:val="Hyperlink"/>
          </w:rPr>
          <w:t>likten</w:t>
        </w:r>
        <w:r w:rsidR="00DB3BD0">
          <w:rPr>
            <w:webHidden/>
          </w:rPr>
          <w:tab/>
        </w:r>
        <w:r w:rsidR="00DB3BD0">
          <w:rPr>
            <w:webHidden/>
          </w:rPr>
          <w:fldChar w:fldCharType="begin"/>
        </w:r>
        <w:r w:rsidR="00DB3BD0">
          <w:rPr>
            <w:webHidden/>
          </w:rPr>
          <w:instrText xml:space="preserve"> PAGEREF _Toc475001269 \h </w:instrText>
        </w:r>
        <w:r w:rsidR="00DB3BD0">
          <w:rPr>
            <w:webHidden/>
          </w:rPr>
        </w:r>
        <w:r w:rsidR="00DB3BD0">
          <w:rPr>
            <w:webHidden/>
          </w:rPr>
          <w:fldChar w:fldCharType="separate"/>
        </w:r>
        <w:r w:rsidR="00C87EB4">
          <w:rPr>
            <w:webHidden/>
          </w:rPr>
          <w:t>9</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0" w:history="1">
        <w:r w:rsidR="00DB3BD0" w:rsidRPr="00EF3D0B">
          <w:rPr>
            <w:rStyle w:val="Hyperlink"/>
          </w:rPr>
          <w:t>Ritter, Florian (SPD)</w:t>
        </w:r>
        <w:r w:rsidR="00DB3BD0" w:rsidRPr="00EF3D0B">
          <w:rPr>
            <w:rStyle w:val="Hyperlink"/>
          </w:rPr>
          <w:br/>
          <w:t xml:space="preserve">Straftaten in </w:t>
        </w:r>
        <w:r w:rsidR="008931E0">
          <w:rPr>
            <w:rStyle w:val="Hyperlink"/>
          </w:rPr>
          <w:t>und</w:t>
        </w:r>
        <w:r w:rsidR="00DB3BD0" w:rsidRPr="00EF3D0B">
          <w:rPr>
            <w:rStyle w:val="Hyperlink"/>
          </w:rPr>
          <w:t xml:space="preserve"> um Unterkünfte für Geflüchtete (I)</w:t>
        </w:r>
        <w:r w:rsidR="00DB3BD0">
          <w:rPr>
            <w:webHidden/>
          </w:rPr>
          <w:tab/>
        </w:r>
        <w:r w:rsidR="00DB3BD0">
          <w:rPr>
            <w:webHidden/>
          </w:rPr>
          <w:fldChar w:fldCharType="begin"/>
        </w:r>
        <w:r w:rsidR="00DB3BD0">
          <w:rPr>
            <w:webHidden/>
          </w:rPr>
          <w:instrText xml:space="preserve"> PAGEREF _Toc475001270 \h </w:instrText>
        </w:r>
        <w:r w:rsidR="00DB3BD0">
          <w:rPr>
            <w:webHidden/>
          </w:rPr>
        </w:r>
        <w:r w:rsidR="00DB3BD0">
          <w:rPr>
            <w:webHidden/>
          </w:rPr>
          <w:fldChar w:fldCharType="separate"/>
        </w:r>
        <w:r w:rsidR="00C87EB4">
          <w:rPr>
            <w:webHidden/>
          </w:rPr>
          <w:t>10</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1" w:history="1">
        <w:r w:rsidR="00DB3BD0" w:rsidRPr="00EF3D0B">
          <w:rPr>
            <w:rStyle w:val="Hyperlink"/>
          </w:rPr>
          <w:t>Schindler, Franz (SPD)</w:t>
        </w:r>
        <w:r w:rsidR="00DB3BD0" w:rsidRPr="00EF3D0B">
          <w:rPr>
            <w:rStyle w:val="Hyperlink"/>
          </w:rPr>
          <w:br/>
          <w:t>V-Mann-Affäre im Bayerischen Landes</w:t>
        </w:r>
        <w:r w:rsidR="00C0610E">
          <w:rPr>
            <w:rStyle w:val="Hyperlink"/>
          </w:rPr>
          <w:softHyphen/>
        </w:r>
        <w:r w:rsidR="00DB3BD0" w:rsidRPr="00EF3D0B">
          <w:rPr>
            <w:rStyle w:val="Hyperlink"/>
          </w:rPr>
          <w:t>kriminalamt</w:t>
        </w:r>
        <w:r w:rsidR="00DB3BD0">
          <w:rPr>
            <w:webHidden/>
          </w:rPr>
          <w:tab/>
        </w:r>
        <w:r w:rsidR="00DB3BD0">
          <w:rPr>
            <w:webHidden/>
          </w:rPr>
          <w:fldChar w:fldCharType="begin"/>
        </w:r>
        <w:r w:rsidR="00DB3BD0">
          <w:rPr>
            <w:webHidden/>
          </w:rPr>
          <w:instrText xml:space="preserve"> PAGEREF _Toc475001271 \h </w:instrText>
        </w:r>
        <w:r w:rsidR="00DB3BD0">
          <w:rPr>
            <w:webHidden/>
          </w:rPr>
        </w:r>
        <w:r w:rsidR="00DB3BD0">
          <w:rPr>
            <w:webHidden/>
          </w:rPr>
          <w:fldChar w:fldCharType="separate"/>
        </w:r>
        <w:r w:rsidR="00C87EB4">
          <w:rPr>
            <w:webHidden/>
          </w:rPr>
          <w:t>11</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2" w:history="1">
        <w:r w:rsidR="00DB3BD0" w:rsidRPr="00EF3D0B">
          <w:rPr>
            <w:rStyle w:val="Hyperlink"/>
          </w:rPr>
          <w:t>Schmidt, Gabi (FREIE WÄHLER)</w:t>
        </w:r>
        <w:r w:rsidR="00DB3BD0" w:rsidRPr="00EF3D0B">
          <w:rPr>
            <w:rStyle w:val="Hyperlink"/>
          </w:rPr>
          <w:br/>
          <w:t>Unfälle aufgrund schlechter Sicht</w:t>
        </w:r>
        <w:r w:rsidR="00C0610E">
          <w:rPr>
            <w:rStyle w:val="Hyperlink"/>
          </w:rPr>
          <w:softHyphen/>
        </w:r>
        <w:r w:rsidR="00DB3BD0" w:rsidRPr="00EF3D0B">
          <w:rPr>
            <w:rStyle w:val="Hyperlink"/>
          </w:rPr>
          <w:t>verhältnisse</w:t>
        </w:r>
        <w:r w:rsidR="00DB3BD0">
          <w:rPr>
            <w:webHidden/>
          </w:rPr>
          <w:tab/>
        </w:r>
        <w:r w:rsidR="00DB3BD0">
          <w:rPr>
            <w:webHidden/>
          </w:rPr>
          <w:fldChar w:fldCharType="begin"/>
        </w:r>
        <w:r w:rsidR="00DB3BD0">
          <w:rPr>
            <w:webHidden/>
          </w:rPr>
          <w:instrText xml:space="preserve"> PAGEREF _Toc475001272 \h </w:instrText>
        </w:r>
        <w:r w:rsidR="00DB3BD0">
          <w:rPr>
            <w:webHidden/>
          </w:rPr>
        </w:r>
        <w:r w:rsidR="00DB3BD0">
          <w:rPr>
            <w:webHidden/>
          </w:rPr>
          <w:fldChar w:fldCharType="separate"/>
        </w:r>
        <w:r w:rsidR="00C87EB4">
          <w:rPr>
            <w:webHidden/>
          </w:rPr>
          <w:t>12</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3" w:history="1">
        <w:r w:rsidR="00DB3BD0" w:rsidRPr="00EF3D0B">
          <w:rPr>
            <w:rStyle w:val="Hyperlink"/>
          </w:rPr>
          <w:t>Schulze, Katharina (BÜNDNIS 90/DIE GRÜNEN)</w:t>
        </w:r>
        <w:r w:rsidR="00DB3BD0" w:rsidRPr="00EF3D0B">
          <w:rPr>
            <w:rStyle w:val="Hyperlink"/>
          </w:rPr>
          <w:br/>
          <w:t>Islamistische Gefährder in Bayern</w:t>
        </w:r>
        <w:r w:rsidR="00DB3BD0">
          <w:rPr>
            <w:webHidden/>
          </w:rPr>
          <w:tab/>
        </w:r>
        <w:r w:rsidR="00DB3BD0">
          <w:rPr>
            <w:webHidden/>
          </w:rPr>
          <w:fldChar w:fldCharType="begin"/>
        </w:r>
        <w:r w:rsidR="00DB3BD0">
          <w:rPr>
            <w:webHidden/>
          </w:rPr>
          <w:instrText xml:space="preserve"> PAGEREF _Toc475001273 \h </w:instrText>
        </w:r>
        <w:r w:rsidR="00DB3BD0">
          <w:rPr>
            <w:webHidden/>
          </w:rPr>
        </w:r>
        <w:r w:rsidR="00DB3BD0">
          <w:rPr>
            <w:webHidden/>
          </w:rPr>
          <w:fldChar w:fldCharType="separate"/>
        </w:r>
        <w:r w:rsidR="00C87EB4">
          <w:rPr>
            <w:webHidden/>
          </w:rPr>
          <w:t>13</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4" w:history="1">
        <w:r w:rsidR="00DB3BD0" w:rsidRPr="00EF3D0B">
          <w:rPr>
            <w:rStyle w:val="Hyperlink"/>
          </w:rPr>
          <w:t>Stachowitz, Diana (SPD)</w:t>
        </w:r>
        <w:r w:rsidR="00DB3BD0" w:rsidRPr="00EF3D0B">
          <w:rPr>
            <w:rStyle w:val="Hyperlink"/>
          </w:rPr>
          <w:br/>
          <w:t>Straftaten in</w:t>
        </w:r>
        <w:r w:rsidR="008931E0">
          <w:rPr>
            <w:rStyle w:val="Hyperlink"/>
          </w:rPr>
          <w:t xml:space="preserve"> und</w:t>
        </w:r>
        <w:r w:rsidR="00DB3BD0" w:rsidRPr="00EF3D0B">
          <w:rPr>
            <w:rStyle w:val="Hyperlink"/>
          </w:rPr>
          <w:t xml:space="preserve"> um Unterkünfte für Geflüchtete (II)</w:t>
        </w:r>
        <w:r w:rsidR="00DB3BD0">
          <w:rPr>
            <w:webHidden/>
          </w:rPr>
          <w:tab/>
        </w:r>
        <w:r w:rsidR="00DB3BD0">
          <w:rPr>
            <w:webHidden/>
          </w:rPr>
          <w:fldChar w:fldCharType="begin"/>
        </w:r>
        <w:r w:rsidR="00DB3BD0">
          <w:rPr>
            <w:webHidden/>
          </w:rPr>
          <w:instrText xml:space="preserve"> PAGEREF _Toc475001274 \h </w:instrText>
        </w:r>
        <w:r w:rsidR="00DB3BD0">
          <w:rPr>
            <w:webHidden/>
          </w:rPr>
        </w:r>
        <w:r w:rsidR="00DB3BD0">
          <w:rPr>
            <w:webHidden/>
          </w:rPr>
          <w:fldChar w:fldCharType="separate"/>
        </w:r>
        <w:r w:rsidR="00C87EB4">
          <w:rPr>
            <w:webHidden/>
          </w:rPr>
          <w:t>13</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5" w:history="1">
        <w:r w:rsidR="00DB3BD0" w:rsidRPr="00EF3D0B">
          <w:rPr>
            <w:rStyle w:val="Hyperlink"/>
          </w:rPr>
          <w:t>Stamm, Claudia (BÜNDNIS 90/DIE GRÜNEN)</w:t>
        </w:r>
        <w:r w:rsidR="00DB3BD0" w:rsidRPr="00EF3D0B">
          <w:rPr>
            <w:rStyle w:val="Hyperlink"/>
          </w:rPr>
          <w:br/>
          <w:t>Erstaufnahme- und Rückkehrzentrum Bamberg</w:t>
        </w:r>
        <w:r w:rsidR="00DB3BD0">
          <w:rPr>
            <w:webHidden/>
          </w:rPr>
          <w:tab/>
        </w:r>
        <w:r w:rsidR="00DB3BD0">
          <w:rPr>
            <w:webHidden/>
          </w:rPr>
          <w:fldChar w:fldCharType="begin"/>
        </w:r>
        <w:r w:rsidR="00DB3BD0">
          <w:rPr>
            <w:webHidden/>
          </w:rPr>
          <w:instrText xml:space="preserve"> PAGEREF _Toc475001275 \h </w:instrText>
        </w:r>
        <w:r w:rsidR="00DB3BD0">
          <w:rPr>
            <w:webHidden/>
          </w:rPr>
        </w:r>
        <w:r w:rsidR="00DB3BD0">
          <w:rPr>
            <w:webHidden/>
          </w:rPr>
          <w:fldChar w:fldCharType="separate"/>
        </w:r>
        <w:r w:rsidR="00C87EB4">
          <w:rPr>
            <w:webHidden/>
          </w:rPr>
          <w:t>14</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6" w:history="1">
        <w:r w:rsidR="00DB3BD0" w:rsidRPr="00EF3D0B">
          <w:rPr>
            <w:rStyle w:val="Hyperlink"/>
          </w:rPr>
          <w:t>Dr. Strohmayr, Simone (SPD)</w:t>
        </w:r>
        <w:r w:rsidR="00DB3BD0" w:rsidRPr="00EF3D0B">
          <w:rPr>
            <w:rStyle w:val="Hyperlink"/>
          </w:rPr>
          <w:br/>
          <w:t>Drogentote in Bayern</w:t>
        </w:r>
        <w:r w:rsidR="00DB3BD0">
          <w:rPr>
            <w:webHidden/>
          </w:rPr>
          <w:tab/>
        </w:r>
        <w:r w:rsidR="00DB3BD0">
          <w:rPr>
            <w:webHidden/>
          </w:rPr>
          <w:fldChar w:fldCharType="begin"/>
        </w:r>
        <w:r w:rsidR="00DB3BD0">
          <w:rPr>
            <w:webHidden/>
          </w:rPr>
          <w:instrText xml:space="preserve"> PAGEREF _Toc475001276 \h </w:instrText>
        </w:r>
        <w:r w:rsidR="00DB3BD0">
          <w:rPr>
            <w:webHidden/>
          </w:rPr>
        </w:r>
        <w:r w:rsidR="00DB3BD0">
          <w:rPr>
            <w:webHidden/>
          </w:rPr>
          <w:fldChar w:fldCharType="separate"/>
        </w:r>
        <w:r w:rsidR="00C87EB4">
          <w:rPr>
            <w:webHidden/>
          </w:rPr>
          <w:t>15</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7" w:history="1">
        <w:r w:rsidR="00DB3BD0" w:rsidRPr="00EF3D0B">
          <w:rPr>
            <w:rStyle w:val="Hyperlink"/>
          </w:rPr>
          <w:t>Stümpfig, Martin (BÜNDNIS 90/DIE GRÜNEN)</w:t>
        </w:r>
        <w:r w:rsidR="00DB3BD0" w:rsidRPr="00EF3D0B">
          <w:rPr>
            <w:rStyle w:val="Hyperlink"/>
          </w:rPr>
          <w:br/>
          <w:t>Abschiebung eines jungen Afghanen aus Ansbach</w:t>
        </w:r>
        <w:r w:rsidR="00DB3BD0">
          <w:rPr>
            <w:webHidden/>
          </w:rPr>
          <w:tab/>
        </w:r>
        <w:r w:rsidR="00DB3BD0">
          <w:rPr>
            <w:webHidden/>
          </w:rPr>
          <w:fldChar w:fldCharType="begin"/>
        </w:r>
        <w:r w:rsidR="00DB3BD0">
          <w:rPr>
            <w:webHidden/>
          </w:rPr>
          <w:instrText xml:space="preserve"> PAGEREF _Toc475001277 \h </w:instrText>
        </w:r>
        <w:r w:rsidR="00DB3BD0">
          <w:rPr>
            <w:webHidden/>
          </w:rPr>
        </w:r>
        <w:r w:rsidR="00DB3BD0">
          <w:rPr>
            <w:webHidden/>
          </w:rPr>
          <w:fldChar w:fldCharType="separate"/>
        </w:r>
        <w:r w:rsidR="00C87EB4">
          <w:rPr>
            <w:webHidden/>
          </w:rPr>
          <w:t>15</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78" w:history="1">
        <w:r w:rsidR="00DB3BD0" w:rsidRPr="00EF3D0B">
          <w:rPr>
            <w:rStyle w:val="Hyperlink"/>
          </w:rPr>
          <w:t>Weikert, Angelika (SPD)</w:t>
        </w:r>
        <w:r w:rsidR="00DB3BD0" w:rsidRPr="00EF3D0B">
          <w:rPr>
            <w:rStyle w:val="Hyperlink"/>
          </w:rPr>
          <w:br/>
          <w:t>Abschiebungen trotz anderslautender Empfehlung der Härtefallkommission</w:t>
        </w:r>
        <w:r w:rsidR="00DB3BD0">
          <w:rPr>
            <w:webHidden/>
          </w:rPr>
          <w:tab/>
        </w:r>
        <w:r w:rsidR="00DB3BD0">
          <w:rPr>
            <w:webHidden/>
          </w:rPr>
          <w:fldChar w:fldCharType="begin"/>
        </w:r>
        <w:r w:rsidR="00DB3BD0">
          <w:rPr>
            <w:webHidden/>
          </w:rPr>
          <w:instrText xml:space="preserve"> PAGEREF _Toc475001278 \h </w:instrText>
        </w:r>
        <w:r w:rsidR="00DB3BD0">
          <w:rPr>
            <w:webHidden/>
          </w:rPr>
        </w:r>
        <w:r w:rsidR="00DB3BD0">
          <w:rPr>
            <w:webHidden/>
          </w:rPr>
          <w:fldChar w:fldCharType="separate"/>
        </w:r>
        <w:r w:rsidR="00C87EB4">
          <w:rPr>
            <w:webHidden/>
          </w:rPr>
          <w:t>16</w:t>
        </w:r>
        <w:r w:rsidR="00DB3BD0">
          <w:rPr>
            <w:webHidden/>
          </w:rPr>
          <w:fldChar w:fldCharType="end"/>
        </w:r>
      </w:hyperlink>
    </w:p>
    <w:p w:rsidR="00DB3BD0" w:rsidRDefault="009312C9">
      <w:pPr>
        <w:pStyle w:val="Verzeichnis2"/>
        <w:tabs>
          <w:tab w:val="right" w:leader="dot" w:pos="4383"/>
        </w:tabs>
        <w:rPr>
          <w:rStyle w:val="Hyperlink"/>
        </w:rPr>
      </w:pPr>
      <w:hyperlink w:anchor="_Toc475001279" w:history="1">
        <w:r w:rsidR="00DB3BD0" w:rsidRPr="00EF3D0B">
          <w:rPr>
            <w:rStyle w:val="Hyperlink"/>
          </w:rPr>
          <w:t>Werner-Muggendorfer, Johanna (SPD)</w:t>
        </w:r>
        <w:r w:rsidR="00DB3BD0" w:rsidRPr="00EF3D0B">
          <w:rPr>
            <w:rStyle w:val="Hyperlink"/>
          </w:rPr>
          <w:br/>
          <w:t>Vollzug des Aufenthaltsgesetzes (AufenthG) durch das Landratsamt Starnberg</w:t>
        </w:r>
        <w:r w:rsidR="00DB3BD0">
          <w:rPr>
            <w:webHidden/>
          </w:rPr>
          <w:tab/>
        </w:r>
        <w:r w:rsidR="00DB3BD0">
          <w:rPr>
            <w:webHidden/>
          </w:rPr>
          <w:fldChar w:fldCharType="begin"/>
        </w:r>
        <w:r w:rsidR="00DB3BD0">
          <w:rPr>
            <w:webHidden/>
          </w:rPr>
          <w:instrText xml:space="preserve"> PAGEREF _Toc475001279 \h </w:instrText>
        </w:r>
        <w:r w:rsidR="00DB3BD0">
          <w:rPr>
            <w:webHidden/>
          </w:rPr>
        </w:r>
        <w:r w:rsidR="00DB3BD0">
          <w:rPr>
            <w:webHidden/>
          </w:rPr>
          <w:fldChar w:fldCharType="separate"/>
        </w:r>
        <w:r w:rsidR="00C87EB4">
          <w:rPr>
            <w:webHidden/>
          </w:rPr>
          <w:t>16</w:t>
        </w:r>
        <w:r w:rsidR="00DB3BD0">
          <w:rPr>
            <w:webHidden/>
          </w:rPr>
          <w:fldChar w:fldCharType="end"/>
        </w:r>
      </w:hyperlink>
    </w:p>
    <w:p w:rsidR="00DB3BD0" w:rsidRPr="00C0610E" w:rsidRDefault="00C0610E" w:rsidP="00C0610E">
      <w:pPr>
        <w:pStyle w:val="Verzeichnis1"/>
        <w:tabs>
          <w:tab w:val="right" w:leader="dot" w:pos="4383"/>
        </w:tabs>
        <w:rPr>
          <w:rStyle w:val="Hyperlink"/>
          <w:noProof/>
        </w:rPr>
      </w:pPr>
      <w:r>
        <w:rPr>
          <w:rFonts w:eastAsiaTheme="minorEastAsia"/>
          <w:noProof/>
        </w:rPr>
        <w:br w:type="column"/>
      </w:r>
      <w:hyperlink w:anchor="_Toc475001280" w:history="1">
        <w:r w:rsidR="00DB3BD0" w:rsidRPr="00EF3D0B">
          <w:rPr>
            <w:rStyle w:val="Hyperlink"/>
            <w:noProof/>
          </w:rPr>
          <w:t>Geschäftsbereich des Staatsministeriums der Justiz</w:t>
        </w:r>
        <w:r w:rsidR="00DB3BD0" w:rsidRPr="00C0610E">
          <w:rPr>
            <w:rStyle w:val="Hyperlink"/>
            <w:noProof/>
            <w:webHidden/>
          </w:rPr>
          <w:tab/>
        </w:r>
        <w:r w:rsidR="00DB3BD0" w:rsidRPr="00C0610E">
          <w:rPr>
            <w:rStyle w:val="Hyperlink"/>
            <w:noProof/>
            <w:webHidden/>
          </w:rPr>
          <w:fldChar w:fldCharType="begin"/>
        </w:r>
        <w:r w:rsidR="00DB3BD0" w:rsidRPr="00C0610E">
          <w:rPr>
            <w:rStyle w:val="Hyperlink"/>
            <w:noProof/>
            <w:webHidden/>
          </w:rPr>
          <w:instrText xml:space="preserve"> PAGEREF _Toc475001280 \h </w:instrText>
        </w:r>
        <w:r w:rsidR="00DB3BD0" w:rsidRPr="00C0610E">
          <w:rPr>
            <w:rStyle w:val="Hyperlink"/>
            <w:noProof/>
            <w:webHidden/>
          </w:rPr>
        </w:r>
        <w:r w:rsidR="00DB3BD0" w:rsidRPr="00C0610E">
          <w:rPr>
            <w:rStyle w:val="Hyperlink"/>
            <w:noProof/>
            <w:webHidden/>
          </w:rPr>
          <w:fldChar w:fldCharType="separate"/>
        </w:r>
        <w:r w:rsidR="00C87EB4">
          <w:rPr>
            <w:rStyle w:val="Hyperlink"/>
            <w:noProof/>
            <w:webHidden/>
          </w:rPr>
          <w:t>18</w:t>
        </w:r>
        <w:r w:rsidR="00DB3BD0" w:rsidRPr="00C0610E">
          <w:rPr>
            <w:rStyle w:val="Hyperlink"/>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1" w:history="1">
        <w:r w:rsidR="00DB3BD0" w:rsidRPr="00EF3D0B">
          <w:rPr>
            <w:rStyle w:val="Hyperlink"/>
          </w:rPr>
          <w:t>Aures, Inge (SPD)</w:t>
        </w:r>
        <w:r w:rsidR="00DB3BD0" w:rsidRPr="00EF3D0B">
          <w:rPr>
            <w:rStyle w:val="Hyperlink"/>
          </w:rPr>
          <w:br/>
          <w:t>Justizvollzugsanstalt Marktredwitz</w:t>
        </w:r>
        <w:r w:rsidR="00DB3BD0">
          <w:rPr>
            <w:webHidden/>
          </w:rPr>
          <w:tab/>
        </w:r>
        <w:r w:rsidR="00DB3BD0">
          <w:rPr>
            <w:webHidden/>
          </w:rPr>
          <w:fldChar w:fldCharType="begin"/>
        </w:r>
        <w:r w:rsidR="00DB3BD0">
          <w:rPr>
            <w:webHidden/>
          </w:rPr>
          <w:instrText xml:space="preserve"> PAGEREF _Toc475001281 \h </w:instrText>
        </w:r>
        <w:r w:rsidR="00DB3BD0">
          <w:rPr>
            <w:webHidden/>
          </w:rPr>
        </w:r>
        <w:r w:rsidR="00DB3BD0">
          <w:rPr>
            <w:webHidden/>
          </w:rPr>
          <w:fldChar w:fldCharType="separate"/>
        </w:r>
        <w:r w:rsidR="00C87EB4">
          <w:rPr>
            <w:webHidden/>
          </w:rPr>
          <w:t>18</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2" w:history="1">
        <w:r w:rsidR="00DB3BD0" w:rsidRPr="00EF3D0B">
          <w:rPr>
            <w:rStyle w:val="Hyperlink"/>
          </w:rPr>
          <w:t>Gottstein, Eva (FREIE WÄHLER)</w:t>
        </w:r>
        <w:r w:rsidR="00DB3BD0" w:rsidRPr="00EF3D0B">
          <w:rPr>
            <w:rStyle w:val="Hyperlink"/>
          </w:rPr>
          <w:br/>
          <w:t>Personalnot beim General</w:t>
        </w:r>
        <w:r w:rsidR="00C0610E">
          <w:rPr>
            <w:rStyle w:val="Hyperlink"/>
          </w:rPr>
          <w:softHyphen/>
        </w:r>
        <w:r w:rsidR="00DB3BD0" w:rsidRPr="00EF3D0B">
          <w:rPr>
            <w:rStyle w:val="Hyperlink"/>
          </w:rPr>
          <w:t>bundesanwalt</w:t>
        </w:r>
        <w:r w:rsidR="00DB3BD0">
          <w:rPr>
            <w:webHidden/>
          </w:rPr>
          <w:tab/>
        </w:r>
        <w:r w:rsidR="00DB3BD0">
          <w:rPr>
            <w:webHidden/>
          </w:rPr>
          <w:fldChar w:fldCharType="begin"/>
        </w:r>
        <w:r w:rsidR="00DB3BD0">
          <w:rPr>
            <w:webHidden/>
          </w:rPr>
          <w:instrText xml:space="preserve"> PAGEREF _Toc475001282 \h </w:instrText>
        </w:r>
        <w:r w:rsidR="00DB3BD0">
          <w:rPr>
            <w:webHidden/>
          </w:rPr>
        </w:r>
        <w:r w:rsidR="00DB3BD0">
          <w:rPr>
            <w:webHidden/>
          </w:rPr>
          <w:fldChar w:fldCharType="separate"/>
        </w:r>
        <w:r w:rsidR="00C87EB4">
          <w:rPr>
            <w:webHidden/>
          </w:rPr>
          <w:t>18</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3" w:history="1">
        <w:r w:rsidR="00DB3BD0" w:rsidRPr="00EF3D0B">
          <w:rPr>
            <w:rStyle w:val="Hyperlink"/>
          </w:rPr>
          <w:t>Dr. Kränzlein, Herbert (SPD)</w:t>
        </w:r>
        <w:r w:rsidR="00DB3BD0" w:rsidRPr="00EF3D0B">
          <w:rPr>
            <w:rStyle w:val="Hyperlink"/>
          </w:rPr>
          <w:br/>
          <w:t>Unbesetzte Stellen zum 31. Dezember 2016 bei den Gerichten und Staats</w:t>
        </w:r>
        <w:r w:rsidR="00C0610E">
          <w:rPr>
            <w:rStyle w:val="Hyperlink"/>
          </w:rPr>
          <w:softHyphen/>
        </w:r>
        <w:r w:rsidR="00DB3BD0" w:rsidRPr="00EF3D0B">
          <w:rPr>
            <w:rStyle w:val="Hyperlink"/>
          </w:rPr>
          <w:t>anwaltschaften</w:t>
        </w:r>
        <w:r w:rsidR="00DB3BD0">
          <w:rPr>
            <w:webHidden/>
          </w:rPr>
          <w:tab/>
        </w:r>
        <w:r w:rsidR="00DB3BD0">
          <w:rPr>
            <w:webHidden/>
          </w:rPr>
          <w:fldChar w:fldCharType="begin"/>
        </w:r>
        <w:r w:rsidR="00DB3BD0">
          <w:rPr>
            <w:webHidden/>
          </w:rPr>
          <w:instrText xml:space="preserve"> PAGEREF _Toc475001283 \h </w:instrText>
        </w:r>
        <w:r w:rsidR="00DB3BD0">
          <w:rPr>
            <w:webHidden/>
          </w:rPr>
        </w:r>
        <w:r w:rsidR="00DB3BD0">
          <w:rPr>
            <w:webHidden/>
          </w:rPr>
          <w:fldChar w:fldCharType="separate"/>
        </w:r>
        <w:r w:rsidR="00C87EB4">
          <w:rPr>
            <w:webHidden/>
          </w:rPr>
          <w:t>19</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4" w:history="1">
        <w:r w:rsidR="00DB3BD0" w:rsidRPr="00EF3D0B">
          <w:rPr>
            <w:rStyle w:val="Hyperlink"/>
          </w:rPr>
          <w:t>Lotte, Andreas (SPD)</w:t>
        </w:r>
        <w:r w:rsidR="00DB3BD0" w:rsidRPr="00EF3D0B">
          <w:rPr>
            <w:rStyle w:val="Hyperlink"/>
          </w:rPr>
          <w:br/>
          <w:t>Mieterrechte und Mietpreisbremse</w:t>
        </w:r>
        <w:r w:rsidR="00DB3BD0">
          <w:rPr>
            <w:webHidden/>
          </w:rPr>
          <w:tab/>
        </w:r>
        <w:r w:rsidR="00DB3BD0">
          <w:rPr>
            <w:webHidden/>
          </w:rPr>
          <w:fldChar w:fldCharType="begin"/>
        </w:r>
        <w:r w:rsidR="00DB3BD0">
          <w:rPr>
            <w:webHidden/>
          </w:rPr>
          <w:instrText xml:space="preserve"> PAGEREF _Toc475001284 \h </w:instrText>
        </w:r>
        <w:r w:rsidR="00DB3BD0">
          <w:rPr>
            <w:webHidden/>
          </w:rPr>
        </w:r>
        <w:r w:rsidR="00DB3BD0">
          <w:rPr>
            <w:webHidden/>
          </w:rPr>
          <w:fldChar w:fldCharType="separate"/>
        </w:r>
        <w:r w:rsidR="00C87EB4">
          <w:rPr>
            <w:webHidden/>
          </w:rPr>
          <w:t>24</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5" w:history="1">
        <w:r w:rsidR="00DB3BD0" w:rsidRPr="00EF3D0B">
          <w:rPr>
            <w:rStyle w:val="Hyperlink"/>
          </w:rPr>
          <w:t>Schuster, Stefan (SPD)</w:t>
        </w:r>
        <w:r w:rsidR="00DB3BD0" w:rsidRPr="00EF3D0B">
          <w:rPr>
            <w:rStyle w:val="Hyperlink"/>
          </w:rPr>
          <w:br/>
          <w:t>Vollzug des Beratungshilfegesetzes 2016 in Bayern</w:t>
        </w:r>
        <w:r w:rsidR="00DB3BD0">
          <w:rPr>
            <w:webHidden/>
          </w:rPr>
          <w:tab/>
        </w:r>
        <w:r w:rsidR="00DB3BD0">
          <w:rPr>
            <w:webHidden/>
          </w:rPr>
          <w:fldChar w:fldCharType="begin"/>
        </w:r>
        <w:r w:rsidR="00DB3BD0">
          <w:rPr>
            <w:webHidden/>
          </w:rPr>
          <w:instrText xml:space="preserve"> PAGEREF _Toc475001285 \h </w:instrText>
        </w:r>
        <w:r w:rsidR="00DB3BD0">
          <w:rPr>
            <w:webHidden/>
          </w:rPr>
        </w:r>
        <w:r w:rsidR="00DB3BD0">
          <w:rPr>
            <w:webHidden/>
          </w:rPr>
          <w:fldChar w:fldCharType="separate"/>
        </w:r>
        <w:r w:rsidR="00C87EB4">
          <w:rPr>
            <w:webHidden/>
          </w:rPr>
          <w:t>25</w:t>
        </w:r>
        <w:r w:rsidR="00DB3BD0">
          <w:rPr>
            <w:webHidden/>
          </w:rPr>
          <w:fldChar w:fldCharType="end"/>
        </w:r>
      </w:hyperlink>
    </w:p>
    <w:p w:rsidR="00DB3BD0" w:rsidRDefault="009312C9">
      <w:pPr>
        <w:pStyle w:val="Verzeichnis1"/>
        <w:tabs>
          <w:tab w:val="right" w:leader="dot" w:pos="4383"/>
        </w:tabs>
        <w:rPr>
          <w:rFonts w:asciiTheme="minorHAnsi" w:eastAsiaTheme="minorEastAsia" w:hAnsiTheme="minorHAnsi" w:cstheme="minorBidi"/>
          <w:b w:val="0"/>
          <w:noProof/>
        </w:rPr>
      </w:pPr>
      <w:hyperlink w:anchor="_Toc475001286" w:history="1">
        <w:r w:rsidR="00DB3BD0" w:rsidRPr="00EF3D0B">
          <w:rPr>
            <w:rStyle w:val="Hyperlink"/>
            <w:noProof/>
          </w:rPr>
          <w:t>Geschäftsbereich des Staatsministeriums für Bildung und Kultus, Wissenschaft und Kunst</w:t>
        </w:r>
        <w:r w:rsidR="00DB3BD0">
          <w:rPr>
            <w:noProof/>
            <w:webHidden/>
          </w:rPr>
          <w:tab/>
        </w:r>
        <w:r w:rsidR="00DB3BD0">
          <w:rPr>
            <w:noProof/>
            <w:webHidden/>
          </w:rPr>
          <w:fldChar w:fldCharType="begin"/>
        </w:r>
        <w:r w:rsidR="00DB3BD0">
          <w:rPr>
            <w:noProof/>
            <w:webHidden/>
          </w:rPr>
          <w:instrText xml:space="preserve"> PAGEREF _Toc475001286 \h </w:instrText>
        </w:r>
        <w:r w:rsidR="00DB3BD0">
          <w:rPr>
            <w:noProof/>
            <w:webHidden/>
          </w:rPr>
        </w:r>
        <w:r w:rsidR="00DB3BD0">
          <w:rPr>
            <w:noProof/>
            <w:webHidden/>
          </w:rPr>
          <w:fldChar w:fldCharType="separate"/>
        </w:r>
        <w:r w:rsidR="00C87EB4">
          <w:rPr>
            <w:noProof/>
            <w:webHidden/>
          </w:rPr>
          <w:t>28</w:t>
        </w:r>
        <w:r w:rsidR="00DB3BD0">
          <w:rPr>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7" w:history="1">
        <w:r w:rsidR="00DB3BD0" w:rsidRPr="00EF3D0B">
          <w:rPr>
            <w:rStyle w:val="Hyperlink"/>
          </w:rPr>
          <w:t>Felbinger, Günther (FREIE WÄHLER)</w:t>
        </w:r>
        <w:r w:rsidR="00DB3BD0" w:rsidRPr="00EF3D0B">
          <w:rPr>
            <w:rStyle w:val="Hyperlink"/>
          </w:rPr>
          <w:br/>
          <w:t>Politische Bildung</w:t>
        </w:r>
        <w:r w:rsidR="00DB3BD0">
          <w:rPr>
            <w:webHidden/>
          </w:rPr>
          <w:tab/>
        </w:r>
        <w:r w:rsidR="00DB3BD0">
          <w:rPr>
            <w:webHidden/>
          </w:rPr>
          <w:fldChar w:fldCharType="begin"/>
        </w:r>
        <w:r w:rsidR="00DB3BD0">
          <w:rPr>
            <w:webHidden/>
          </w:rPr>
          <w:instrText xml:space="preserve"> PAGEREF _Toc475001287 \h </w:instrText>
        </w:r>
        <w:r w:rsidR="00DB3BD0">
          <w:rPr>
            <w:webHidden/>
          </w:rPr>
        </w:r>
        <w:r w:rsidR="00DB3BD0">
          <w:rPr>
            <w:webHidden/>
          </w:rPr>
          <w:fldChar w:fldCharType="separate"/>
        </w:r>
        <w:r w:rsidR="00C87EB4">
          <w:rPr>
            <w:webHidden/>
          </w:rPr>
          <w:t>28</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8" w:history="1">
        <w:r w:rsidR="00DB3BD0" w:rsidRPr="00EF3D0B">
          <w:rPr>
            <w:rStyle w:val="Hyperlink"/>
          </w:rPr>
          <w:t>Gehring, Thomas (BÜNDNIS 90/DIE GRÜNEN)</w:t>
        </w:r>
        <w:r w:rsidR="00DB3BD0" w:rsidRPr="00EF3D0B">
          <w:rPr>
            <w:rStyle w:val="Hyperlink"/>
          </w:rPr>
          <w:br/>
          <w:t>Einsatz fachfremder Lehrkräfte im Sozialkundeunterricht</w:t>
        </w:r>
        <w:r w:rsidR="00DB3BD0">
          <w:rPr>
            <w:webHidden/>
          </w:rPr>
          <w:tab/>
        </w:r>
        <w:r w:rsidR="00DB3BD0">
          <w:rPr>
            <w:webHidden/>
          </w:rPr>
          <w:fldChar w:fldCharType="begin"/>
        </w:r>
        <w:r w:rsidR="00DB3BD0">
          <w:rPr>
            <w:webHidden/>
          </w:rPr>
          <w:instrText xml:space="preserve"> PAGEREF _Toc475001288 \h </w:instrText>
        </w:r>
        <w:r w:rsidR="00DB3BD0">
          <w:rPr>
            <w:webHidden/>
          </w:rPr>
        </w:r>
        <w:r w:rsidR="00DB3BD0">
          <w:rPr>
            <w:webHidden/>
          </w:rPr>
          <w:fldChar w:fldCharType="separate"/>
        </w:r>
        <w:r w:rsidR="00C87EB4">
          <w:rPr>
            <w:webHidden/>
          </w:rPr>
          <w:t>29</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89" w:history="1">
        <w:r w:rsidR="00DB3BD0" w:rsidRPr="00EF3D0B">
          <w:rPr>
            <w:rStyle w:val="Hyperlink"/>
          </w:rPr>
          <w:t>Güll, Martin (SPD)</w:t>
        </w:r>
        <w:r w:rsidR="00DB3BD0" w:rsidRPr="00EF3D0B">
          <w:rPr>
            <w:rStyle w:val="Hyperlink"/>
          </w:rPr>
          <w:br/>
          <w:t>A</w:t>
        </w:r>
        <w:r w:rsidR="007232E8">
          <w:rPr>
            <w:rStyle w:val="Hyperlink"/>
          </w:rPr>
          <w:t>k</w:t>
        </w:r>
        <w:r w:rsidR="00DB3BD0" w:rsidRPr="00EF3D0B">
          <w:rPr>
            <w:rStyle w:val="Hyperlink"/>
          </w:rPr>
          <w:t>quisition von Drittmitteln bei der Stiftung Bayerische Gedenkstätten</w:t>
        </w:r>
        <w:r w:rsidR="00DB3BD0">
          <w:rPr>
            <w:webHidden/>
          </w:rPr>
          <w:tab/>
        </w:r>
        <w:r w:rsidR="00DB3BD0">
          <w:rPr>
            <w:webHidden/>
          </w:rPr>
          <w:fldChar w:fldCharType="begin"/>
        </w:r>
        <w:r w:rsidR="00DB3BD0">
          <w:rPr>
            <w:webHidden/>
          </w:rPr>
          <w:instrText xml:space="preserve"> PAGEREF _Toc475001289 \h </w:instrText>
        </w:r>
        <w:r w:rsidR="00DB3BD0">
          <w:rPr>
            <w:webHidden/>
          </w:rPr>
        </w:r>
        <w:r w:rsidR="00DB3BD0">
          <w:rPr>
            <w:webHidden/>
          </w:rPr>
          <w:fldChar w:fldCharType="separate"/>
        </w:r>
        <w:r w:rsidR="00C87EB4">
          <w:rPr>
            <w:webHidden/>
          </w:rPr>
          <w:t>30</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90" w:history="1">
        <w:r w:rsidR="00DB3BD0" w:rsidRPr="00EF3D0B">
          <w:rPr>
            <w:rStyle w:val="Hyperlink"/>
          </w:rPr>
          <w:t>Knoblauch, Günther (SPD)</w:t>
        </w:r>
        <w:r w:rsidR="00DB3BD0" w:rsidRPr="00EF3D0B">
          <w:rPr>
            <w:rStyle w:val="Hyperlink"/>
          </w:rPr>
          <w:br/>
          <w:t>Laienförderung durch den Kulturfonds</w:t>
        </w:r>
        <w:r w:rsidR="00DB3BD0">
          <w:rPr>
            <w:webHidden/>
          </w:rPr>
          <w:tab/>
        </w:r>
        <w:r w:rsidR="00DB3BD0">
          <w:rPr>
            <w:webHidden/>
          </w:rPr>
          <w:fldChar w:fldCharType="begin"/>
        </w:r>
        <w:r w:rsidR="00DB3BD0">
          <w:rPr>
            <w:webHidden/>
          </w:rPr>
          <w:instrText xml:space="preserve"> PAGEREF _Toc475001290 \h </w:instrText>
        </w:r>
        <w:r w:rsidR="00DB3BD0">
          <w:rPr>
            <w:webHidden/>
          </w:rPr>
        </w:r>
        <w:r w:rsidR="00DB3BD0">
          <w:rPr>
            <w:webHidden/>
          </w:rPr>
          <w:fldChar w:fldCharType="separate"/>
        </w:r>
        <w:r w:rsidR="00C87EB4">
          <w:rPr>
            <w:webHidden/>
          </w:rPr>
          <w:t>31</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91" w:history="1">
        <w:r w:rsidR="00DB3BD0" w:rsidRPr="00EF3D0B">
          <w:rPr>
            <w:rStyle w:val="Hyperlink"/>
          </w:rPr>
          <w:t>Leiner, Ulrich (BÜNDNIS 90/DIE GRÜNEN)</w:t>
        </w:r>
        <w:r w:rsidR="00DB3BD0" w:rsidRPr="00EF3D0B">
          <w:rPr>
            <w:rStyle w:val="Hyperlink"/>
          </w:rPr>
          <w:br/>
          <w:t>Schulgeld für Heilerziehungs</w:t>
        </w:r>
        <w:r w:rsidR="00C0610E">
          <w:rPr>
            <w:rStyle w:val="Hyperlink"/>
          </w:rPr>
          <w:softHyphen/>
        </w:r>
        <w:r w:rsidR="00DB3BD0" w:rsidRPr="00EF3D0B">
          <w:rPr>
            <w:rStyle w:val="Hyperlink"/>
          </w:rPr>
          <w:t>pflegerinnen und -pfleger</w:t>
        </w:r>
        <w:r w:rsidR="00DB3BD0">
          <w:rPr>
            <w:webHidden/>
          </w:rPr>
          <w:tab/>
        </w:r>
        <w:r w:rsidR="00DB3BD0">
          <w:rPr>
            <w:webHidden/>
          </w:rPr>
          <w:fldChar w:fldCharType="begin"/>
        </w:r>
        <w:r w:rsidR="00DB3BD0">
          <w:rPr>
            <w:webHidden/>
          </w:rPr>
          <w:instrText xml:space="preserve"> PAGEREF _Toc475001291 \h </w:instrText>
        </w:r>
        <w:r w:rsidR="00DB3BD0">
          <w:rPr>
            <w:webHidden/>
          </w:rPr>
        </w:r>
        <w:r w:rsidR="00DB3BD0">
          <w:rPr>
            <w:webHidden/>
          </w:rPr>
          <w:fldChar w:fldCharType="separate"/>
        </w:r>
        <w:r w:rsidR="00C87EB4">
          <w:rPr>
            <w:webHidden/>
          </w:rPr>
          <w:t>32</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92" w:history="1">
        <w:r w:rsidR="00DB3BD0" w:rsidRPr="00EF3D0B">
          <w:rPr>
            <w:rStyle w:val="Hyperlink"/>
          </w:rPr>
          <w:t>Wild, Margit (SPD)</w:t>
        </w:r>
        <w:r w:rsidR="00DB3BD0" w:rsidRPr="00EF3D0B">
          <w:rPr>
            <w:rStyle w:val="Hyperlink"/>
          </w:rPr>
          <w:br/>
          <w:t>Sachstand bezüglich des Lehrstuhls für Kinder- und Jugendpsychiatrie in Regensburg</w:t>
        </w:r>
        <w:r w:rsidR="00DB3BD0">
          <w:rPr>
            <w:webHidden/>
          </w:rPr>
          <w:tab/>
        </w:r>
        <w:r w:rsidR="00DB3BD0">
          <w:rPr>
            <w:webHidden/>
          </w:rPr>
          <w:fldChar w:fldCharType="begin"/>
        </w:r>
        <w:r w:rsidR="00DB3BD0">
          <w:rPr>
            <w:webHidden/>
          </w:rPr>
          <w:instrText xml:space="preserve"> PAGEREF _Toc475001292 \h </w:instrText>
        </w:r>
        <w:r w:rsidR="00DB3BD0">
          <w:rPr>
            <w:webHidden/>
          </w:rPr>
        </w:r>
        <w:r w:rsidR="00DB3BD0">
          <w:rPr>
            <w:webHidden/>
          </w:rPr>
          <w:fldChar w:fldCharType="separate"/>
        </w:r>
        <w:r w:rsidR="00C87EB4">
          <w:rPr>
            <w:webHidden/>
          </w:rPr>
          <w:t>33</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93" w:history="1">
        <w:r w:rsidR="00DB3BD0" w:rsidRPr="00EF3D0B">
          <w:rPr>
            <w:rStyle w:val="Hyperlink"/>
          </w:rPr>
          <w:t>Zacharias, Isabell (SPD)</w:t>
        </w:r>
        <w:r w:rsidR="00DB3BD0" w:rsidRPr="00EF3D0B">
          <w:rPr>
            <w:rStyle w:val="Hyperlink"/>
          </w:rPr>
          <w:br/>
          <w:t>Inklusive Hochschule</w:t>
        </w:r>
        <w:r w:rsidR="00DB3BD0">
          <w:rPr>
            <w:webHidden/>
          </w:rPr>
          <w:tab/>
        </w:r>
        <w:r w:rsidR="00DB3BD0">
          <w:rPr>
            <w:webHidden/>
          </w:rPr>
          <w:fldChar w:fldCharType="begin"/>
        </w:r>
        <w:r w:rsidR="00DB3BD0">
          <w:rPr>
            <w:webHidden/>
          </w:rPr>
          <w:instrText xml:space="preserve"> PAGEREF _Toc475001293 \h </w:instrText>
        </w:r>
        <w:r w:rsidR="00DB3BD0">
          <w:rPr>
            <w:webHidden/>
          </w:rPr>
        </w:r>
        <w:r w:rsidR="00DB3BD0">
          <w:rPr>
            <w:webHidden/>
          </w:rPr>
          <w:fldChar w:fldCharType="separate"/>
        </w:r>
        <w:r w:rsidR="00C87EB4">
          <w:rPr>
            <w:webHidden/>
          </w:rPr>
          <w:t>33</w:t>
        </w:r>
        <w:r w:rsidR="00DB3BD0">
          <w:rPr>
            <w:webHidden/>
          </w:rPr>
          <w:fldChar w:fldCharType="end"/>
        </w:r>
      </w:hyperlink>
    </w:p>
    <w:p w:rsidR="00DB3BD0" w:rsidRDefault="009312C9">
      <w:pPr>
        <w:pStyle w:val="Verzeichnis1"/>
        <w:tabs>
          <w:tab w:val="right" w:leader="dot" w:pos="4383"/>
        </w:tabs>
        <w:rPr>
          <w:rFonts w:asciiTheme="minorHAnsi" w:eastAsiaTheme="minorEastAsia" w:hAnsiTheme="minorHAnsi" w:cstheme="minorBidi"/>
          <w:b w:val="0"/>
          <w:noProof/>
        </w:rPr>
      </w:pPr>
      <w:hyperlink w:anchor="_Toc475001294" w:history="1">
        <w:r w:rsidR="00DB3BD0" w:rsidRPr="00EF3D0B">
          <w:rPr>
            <w:rStyle w:val="Hyperlink"/>
            <w:noProof/>
          </w:rPr>
          <w:t>Geschäftsbereich des Staatsministeriums der Finanzen, für Landesentwicklung und Heimat</w:t>
        </w:r>
        <w:r w:rsidR="00DB3BD0">
          <w:rPr>
            <w:noProof/>
            <w:webHidden/>
          </w:rPr>
          <w:tab/>
        </w:r>
        <w:r w:rsidR="00DB3BD0">
          <w:rPr>
            <w:noProof/>
            <w:webHidden/>
          </w:rPr>
          <w:fldChar w:fldCharType="begin"/>
        </w:r>
        <w:r w:rsidR="00DB3BD0">
          <w:rPr>
            <w:noProof/>
            <w:webHidden/>
          </w:rPr>
          <w:instrText xml:space="preserve"> PAGEREF _Toc475001294 \h </w:instrText>
        </w:r>
        <w:r w:rsidR="00DB3BD0">
          <w:rPr>
            <w:noProof/>
            <w:webHidden/>
          </w:rPr>
        </w:r>
        <w:r w:rsidR="00DB3BD0">
          <w:rPr>
            <w:noProof/>
            <w:webHidden/>
          </w:rPr>
          <w:fldChar w:fldCharType="separate"/>
        </w:r>
        <w:r w:rsidR="00C87EB4">
          <w:rPr>
            <w:noProof/>
            <w:webHidden/>
          </w:rPr>
          <w:t>35</w:t>
        </w:r>
        <w:r w:rsidR="00DB3BD0">
          <w:rPr>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95" w:history="1">
        <w:r w:rsidR="00DB3BD0" w:rsidRPr="00EF3D0B">
          <w:rPr>
            <w:rStyle w:val="Hyperlink"/>
          </w:rPr>
          <w:t>Adelt, Klaus (SPD)</w:t>
        </w:r>
        <w:r w:rsidR="00DB3BD0" w:rsidRPr="00EF3D0B">
          <w:rPr>
            <w:rStyle w:val="Hyperlink"/>
          </w:rPr>
          <w:br/>
          <w:t>Immobilien Freistaat Bayern</w:t>
        </w:r>
        <w:r w:rsidR="00C0610E">
          <w:rPr>
            <w:rStyle w:val="Hyperlink"/>
          </w:rPr>
          <w:t xml:space="preserve"> (IMBY)</w:t>
        </w:r>
        <w:r w:rsidR="00DB3BD0">
          <w:rPr>
            <w:webHidden/>
          </w:rPr>
          <w:tab/>
        </w:r>
        <w:r w:rsidR="00DB3BD0">
          <w:rPr>
            <w:webHidden/>
          </w:rPr>
          <w:fldChar w:fldCharType="begin"/>
        </w:r>
        <w:r w:rsidR="00DB3BD0">
          <w:rPr>
            <w:webHidden/>
          </w:rPr>
          <w:instrText xml:space="preserve"> PAGEREF _Toc475001295 \h </w:instrText>
        </w:r>
        <w:r w:rsidR="00DB3BD0">
          <w:rPr>
            <w:webHidden/>
          </w:rPr>
        </w:r>
        <w:r w:rsidR="00DB3BD0">
          <w:rPr>
            <w:webHidden/>
          </w:rPr>
          <w:fldChar w:fldCharType="separate"/>
        </w:r>
        <w:r w:rsidR="00C87EB4">
          <w:rPr>
            <w:webHidden/>
          </w:rPr>
          <w:t>35</w:t>
        </w:r>
        <w:r w:rsidR="00DB3BD0">
          <w:rPr>
            <w:webHidden/>
          </w:rPr>
          <w:fldChar w:fldCharType="end"/>
        </w:r>
      </w:hyperlink>
    </w:p>
    <w:p w:rsidR="00DB3BD0" w:rsidRDefault="009312C9">
      <w:pPr>
        <w:pStyle w:val="Verzeichnis1"/>
        <w:tabs>
          <w:tab w:val="right" w:leader="dot" w:pos="4383"/>
        </w:tabs>
        <w:rPr>
          <w:rFonts w:asciiTheme="minorHAnsi" w:eastAsiaTheme="minorEastAsia" w:hAnsiTheme="minorHAnsi" w:cstheme="minorBidi"/>
          <w:b w:val="0"/>
          <w:noProof/>
        </w:rPr>
      </w:pPr>
      <w:hyperlink w:anchor="_Toc475001296" w:history="1">
        <w:r w:rsidR="00DB3BD0" w:rsidRPr="00EF3D0B">
          <w:rPr>
            <w:rStyle w:val="Hyperlink"/>
            <w:noProof/>
          </w:rPr>
          <w:t>Geschäftsbereich des Staatsministeriums für Wirtschaft und Medien, Energie und Technologie</w:t>
        </w:r>
        <w:r w:rsidR="00DB3BD0">
          <w:rPr>
            <w:noProof/>
            <w:webHidden/>
          </w:rPr>
          <w:tab/>
        </w:r>
        <w:r w:rsidR="00DB3BD0">
          <w:rPr>
            <w:noProof/>
            <w:webHidden/>
          </w:rPr>
          <w:fldChar w:fldCharType="begin"/>
        </w:r>
        <w:r w:rsidR="00DB3BD0">
          <w:rPr>
            <w:noProof/>
            <w:webHidden/>
          </w:rPr>
          <w:instrText xml:space="preserve"> PAGEREF _Toc475001296 \h </w:instrText>
        </w:r>
        <w:r w:rsidR="00DB3BD0">
          <w:rPr>
            <w:noProof/>
            <w:webHidden/>
          </w:rPr>
        </w:r>
        <w:r w:rsidR="00DB3BD0">
          <w:rPr>
            <w:noProof/>
            <w:webHidden/>
          </w:rPr>
          <w:fldChar w:fldCharType="separate"/>
        </w:r>
        <w:r w:rsidR="00C87EB4">
          <w:rPr>
            <w:noProof/>
            <w:webHidden/>
          </w:rPr>
          <w:t>36</w:t>
        </w:r>
        <w:r w:rsidR="00DB3BD0">
          <w:rPr>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97" w:history="1">
        <w:r w:rsidR="00DB3BD0" w:rsidRPr="00EF3D0B">
          <w:rPr>
            <w:rStyle w:val="Hyperlink"/>
          </w:rPr>
          <w:t>Biedefeld, Susann (SPD)</w:t>
        </w:r>
        <w:r w:rsidR="00DB3BD0" w:rsidRPr="00EF3D0B">
          <w:rPr>
            <w:rStyle w:val="Hyperlink"/>
          </w:rPr>
          <w:br/>
          <w:t>Weitere Belastung des Coburger Landes und des Obermains durch Strom</w:t>
        </w:r>
        <w:r w:rsidR="00C0610E">
          <w:rPr>
            <w:rStyle w:val="Hyperlink"/>
          </w:rPr>
          <w:softHyphen/>
        </w:r>
        <w:r w:rsidR="00DB3BD0" w:rsidRPr="00EF3D0B">
          <w:rPr>
            <w:rStyle w:val="Hyperlink"/>
          </w:rPr>
          <w:t>trassen verhindern</w:t>
        </w:r>
        <w:r w:rsidR="00DB3BD0">
          <w:rPr>
            <w:webHidden/>
          </w:rPr>
          <w:tab/>
        </w:r>
        <w:r w:rsidR="00DB3BD0">
          <w:rPr>
            <w:webHidden/>
          </w:rPr>
          <w:fldChar w:fldCharType="begin"/>
        </w:r>
        <w:r w:rsidR="00DB3BD0">
          <w:rPr>
            <w:webHidden/>
          </w:rPr>
          <w:instrText xml:space="preserve"> PAGEREF _Toc475001297 \h </w:instrText>
        </w:r>
        <w:r w:rsidR="00DB3BD0">
          <w:rPr>
            <w:webHidden/>
          </w:rPr>
        </w:r>
        <w:r w:rsidR="00DB3BD0">
          <w:rPr>
            <w:webHidden/>
          </w:rPr>
          <w:fldChar w:fldCharType="separate"/>
        </w:r>
        <w:r w:rsidR="00C87EB4">
          <w:rPr>
            <w:webHidden/>
          </w:rPr>
          <w:t>36</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298" w:history="1">
        <w:r w:rsidR="00DB3BD0" w:rsidRPr="00EF3D0B">
          <w:rPr>
            <w:rStyle w:val="Hyperlink"/>
          </w:rPr>
          <w:t>Hartmann, Ludwig (BÜNDNIS 90/DIE GRÜNEN)</w:t>
        </w:r>
        <w:r w:rsidR="00DB3BD0" w:rsidRPr="00EF3D0B">
          <w:rPr>
            <w:rStyle w:val="Hyperlink"/>
          </w:rPr>
          <w:br/>
          <w:t>Gesicherte elektrische Leistung in Bayern</w:t>
        </w:r>
        <w:r w:rsidR="00DB3BD0">
          <w:rPr>
            <w:webHidden/>
          </w:rPr>
          <w:tab/>
        </w:r>
        <w:r w:rsidR="00DB3BD0">
          <w:rPr>
            <w:webHidden/>
          </w:rPr>
          <w:fldChar w:fldCharType="begin"/>
        </w:r>
        <w:r w:rsidR="00DB3BD0">
          <w:rPr>
            <w:webHidden/>
          </w:rPr>
          <w:instrText xml:space="preserve"> PAGEREF _Toc475001298 \h </w:instrText>
        </w:r>
        <w:r w:rsidR="00DB3BD0">
          <w:rPr>
            <w:webHidden/>
          </w:rPr>
        </w:r>
        <w:r w:rsidR="00DB3BD0">
          <w:rPr>
            <w:webHidden/>
          </w:rPr>
          <w:fldChar w:fldCharType="separate"/>
        </w:r>
        <w:r w:rsidR="00C87EB4">
          <w:rPr>
            <w:webHidden/>
          </w:rPr>
          <w:t>37</w:t>
        </w:r>
        <w:r w:rsidR="00DB3BD0">
          <w:rPr>
            <w:webHidden/>
          </w:rPr>
          <w:fldChar w:fldCharType="end"/>
        </w:r>
      </w:hyperlink>
    </w:p>
    <w:p w:rsidR="00DB3BD0" w:rsidRDefault="009312C9">
      <w:pPr>
        <w:pStyle w:val="Verzeichnis2"/>
        <w:tabs>
          <w:tab w:val="right" w:leader="dot" w:pos="4383"/>
        </w:tabs>
        <w:rPr>
          <w:rStyle w:val="Hyperlink"/>
        </w:rPr>
      </w:pPr>
      <w:hyperlink w:anchor="_Toc475001299" w:history="1">
        <w:r w:rsidR="008931E0">
          <w:rPr>
            <w:rStyle w:val="Hyperlink"/>
          </w:rPr>
          <w:t>Strobl, Reinhold (SPD)</w:t>
        </w:r>
        <w:r w:rsidR="008931E0">
          <w:rPr>
            <w:rStyle w:val="Hyperlink"/>
          </w:rPr>
          <w:br/>
          <w:t>10.000-</w:t>
        </w:r>
        <w:r w:rsidR="00DB3BD0" w:rsidRPr="00EF3D0B">
          <w:rPr>
            <w:rStyle w:val="Hyperlink"/>
          </w:rPr>
          <w:t>Häuser-Programm</w:t>
        </w:r>
        <w:r w:rsidR="00DB3BD0">
          <w:rPr>
            <w:webHidden/>
          </w:rPr>
          <w:tab/>
        </w:r>
        <w:r w:rsidR="00DB3BD0">
          <w:rPr>
            <w:webHidden/>
          </w:rPr>
          <w:fldChar w:fldCharType="begin"/>
        </w:r>
        <w:r w:rsidR="00DB3BD0">
          <w:rPr>
            <w:webHidden/>
          </w:rPr>
          <w:instrText xml:space="preserve"> PAGEREF _Toc475001299 \h </w:instrText>
        </w:r>
        <w:r w:rsidR="00DB3BD0">
          <w:rPr>
            <w:webHidden/>
          </w:rPr>
        </w:r>
        <w:r w:rsidR="00DB3BD0">
          <w:rPr>
            <w:webHidden/>
          </w:rPr>
          <w:fldChar w:fldCharType="separate"/>
        </w:r>
        <w:r w:rsidR="00C87EB4">
          <w:rPr>
            <w:webHidden/>
          </w:rPr>
          <w:t>37</w:t>
        </w:r>
        <w:r w:rsidR="00DB3BD0">
          <w:rPr>
            <w:webHidden/>
          </w:rPr>
          <w:fldChar w:fldCharType="end"/>
        </w:r>
      </w:hyperlink>
    </w:p>
    <w:p w:rsidR="00C0610E" w:rsidRDefault="00C0610E" w:rsidP="00C0610E">
      <w:pPr>
        <w:rPr>
          <w:rFonts w:eastAsiaTheme="minorEastAsia"/>
          <w:noProof/>
        </w:rPr>
      </w:pPr>
    </w:p>
    <w:p w:rsidR="00C0610E" w:rsidRPr="00C0610E" w:rsidRDefault="00C0610E" w:rsidP="00C0610E">
      <w:pPr>
        <w:rPr>
          <w:rFonts w:eastAsiaTheme="minorEastAsia"/>
          <w:noProof/>
        </w:rPr>
      </w:pPr>
    </w:p>
    <w:p w:rsidR="00DB3BD0" w:rsidRDefault="009312C9">
      <w:pPr>
        <w:pStyle w:val="Verzeichnis1"/>
        <w:tabs>
          <w:tab w:val="right" w:leader="dot" w:pos="4383"/>
        </w:tabs>
        <w:rPr>
          <w:rFonts w:asciiTheme="minorHAnsi" w:eastAsiaTheme="minorEastAsia" w:hAnsiTheme="minorHAnsi" w:cstheme="minorBidi"/>
          <w:b w:val="0"/>
          <w:noProof/>
        </w:rPr>
      </w:pPr>
      <w:hyperlink w:anchor="_Toc475001300" w:history="1">
        <w:r w:rsidR="00DB3BD0" w:rsidRPr="00EF3D0B">
          <w:rPr>
            <w:rStyle w:val="Hyperlink"/>
            <w:noProof/>
          </w:rPr>
          <w:t>Geschäftsbereich des Staatsministeriums für Umwelt und Verbraucherschutz</w:t>
        </w:r>
        <w:r w:rsidR="00DB3BD0">
          <w:rPr>
            <w:noProof/>
            <w:webHidden/>
          </w:rPr>
          <w:tab/>
        </w:r>
        <w:r w:rsidR="00DB3BD0">
          <w:rPr>
            <w:noProof/>
            <w:webHidden/>
          </w:rPr>
          <w:fldChar w:fldCharType="begin"/>
        </w:r>
        <w:r w:rsidR="00DB3BD0">
          <w:rPr>
            <w:noProof/>
            <w:webHidden/>
          </w:rPr>
          <w:instrText xml:space="preserve"> PAGEREF _Toc475001300 \h </w:instrText>
        </w:r>
        <w:r w:rsidR="00DB3BD0">
          <w:rPr>
            <w:noProof/>
            <w:webHidden/>
          </w:rPr>
        </w:r>
        <w:r w:rsidR="00DB3BD0">
          <w:rPr>
            <w:noProof/>
            <w:webHidden/>
          </w:rPr>
          <w:fldChar w:fldCharType="separate"/>
        </w:r>
        <w:r w:rsidR="00C87EB4">
          <w:rPr>
            <w:noProof/>
            <w:webHidden/>
          </w:rPr>
          <w:t>38</w:t>
        </w:r>
        <w:r w:rsidR="00DB3BD0">
          <w:rPr>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01" w:history="1">
        <w:r w:rsidR="00DB3BD0" w:rsidRPr="00EF3D0B">
          <w:rPr>
            <w:rStyle w:val="Hyperlink"/>
          </w:rPr>
          <w:t>Dr. Herz, Leopold (FREIE WÄHLER)</w:t>
        </w:r>
        <w:r w:rsidR="00DB3BD0" w:rsidRPr="00EF3D0B">
          <w:rPr>
            <w:rStyle w:val="Hyperlink"/>
          </w:rPr>
          <w:br/>
          <w:t>Einschätzung der Gefahr für die West</w:t>
        </w:r>
        <w:r w:rsidR="00C0610E">
          <w:rPr>
            <w:rStyle w:val="Hyperlink"/>
          </w:rPr>
          <w:softHyphen/>
        </w:r>
        <w:r w:rsidR="00DB3BD0" w:rsidRPr="00EF3D0B">
          <w:rPr>
            <w:rStyle w:val="Hyperlink"/>
          </w:rPr>
          <w:t>liche Honigbiene durch die Varroa</w:t>
        </w:r>
        <w:r w:rsidR="00C0610E">
          <w:rPr>
            <w:rStyle w:val="Hyperlink"/>
          </w:rPr>
          <w:softHyphen/>
        </w:r>
        <w:r w:rsidR="00DB3BD0" w:rsidRPr="00EF3D0B">
          <w:rPr>
            <w:rStyle w:val="Hyperlink"/>
          </w:rPr>
          <w:t>milbe Varroa jacobsoni</w:t>
        </w:r>
        <w:r w:rsidR="00DB3BD0">
          <w:rPr>
            <w:webHidden/>
          </w:rPr>
          <w:tab/>
        </w:r>
        <w:r w:rsidR="00DB3BD0">
          <w:rPr>
            <w:webHidden/>
          </w:rPr>
          <w:fldChar w:fldCharType="begin"/>
        </w:r>
        <w:r w:rsidR="00DB3BD0">
          <w:rPr>
            <w:webHidden/>
          </w:rPr>
          <w:instrText xml:space="preserve"> PAGEREF _Toc475001301 \h </w:instrText>
        </w:r>
        <w:r w:rsidR="00DB3BD0">
          <w:rPr>
            <w:webHidden/>
          </w:rPr>
        </w:r>
        <w:r w:rsidR="00DB3BD0">
          <w:rPr>
            <w:webHidden/>
          </w:rPr>
          <w:fldChar w:fldCharType="separate"/>
        </w:r>
        <w:r w:rsidR="00C87EB4">
          <w:rPr>
            <w:webHidden/>
          </w:rPr>
          <w:t>38</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02" w:history="1">
        <w:r w:rsidR="00DB3BD0" w:rsidRPr="00EF3D0B">
          <w:rPr>
            <w:rStyle w:val="Hyperlink"/>
          </w:rPr>
          <w:t>Kraus, Nikolaus (FREIE WÄHLER)</w:t>
        </w:r>
        <w:r w:rsidR="00DB3BD0" w:rsidRPr="00EF3D0B">
          <w:rPr>
            <w:rStyle w:val="Hyperlink"/>
          </w:rPr>
          <w:br/>
          <w:t>Rechtliche Regelungen bei Herden</w:t>
        </w:r>
        <w:r w:rsidR="00C0610E">
          <w:rPr>
            <w:rStyle w:val="Hyperlink"/>
          </w:rPr>
          <w:softHyphen/>
        </w:r>
        <w:r w:rsidR="00DB3BD0" w:rsidRPr="00EF3D0B">
          <w:rPr>
            <w:rStyle w:val="Hyperlink"/>
          </w:rPr>
          <w:t>schutzhunden und Hütehunden</w:t>
        </w:r>
        <w:r w:rsidR="00DB3BD0">
          <w:rPr>
            <w:webHidden/>
          </w:rPr>
          <w:tab/>
        </w:r>
        <w:r w:rsidR="00DB3BD0">
          <w:rPr>
            <w:webHidden/>
          </w:rPr>
          <w:fldChar w:fldCharType="begin"/>
        </w:r>
        <w:r w:rsidR="00DB3BD0">
          <w:rPr>
            <w:webHidden/>
          </w:rPr>
          <w:instrText xml:space="preserve"> PAGEREF _Toc475001302 \h </w:instrText>
        </w:r>
        <w:r w:rsidR="00DB3BD0">
          <w:rPr>
            <w:webHidden/>
          </w:rPr>
        </w:r>
        <w:r w:rsidR="00DB3BD0">
          <w:rPr>
            <w:webHidden/>
          </w:rPr>
          <w:fldChar w:fldCharType="separate"/>
        </w:r>
        <w:r w:rsidR="00C87EB4">
          <w:rPr>
            <w:webHidden/>
          </w:rPr>
          <w:t>39</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03" w:history="1">
        <w:r w:rsidR="00DB3BD0" w:rsidRPr="00EF3D0B">
          <w:rPr>
            <w:rStyle w:val="Hyperlink"/>
          </w:rPr>
          <w:t>Streibl, Florian (FREIE WÄHLER)</w:t>
        </w:r>
        <w:r w:rsidR="00DB3BD0" w:rsidRPr="00EF3D0B">
          <w:rPr>
            <w:rStyle w:val="Hyperlink"/>
          </w:rPr>
          <w:br/>
          <w:t xml:space="preserve">Abgrenzung Wildbach </w:t>
        </w:r>
        <w:r w:rsidR="00C0610E">
          <w:rPr>
            <w:rStyle w:val="Hyperlink"/>
          </w:rPr>
          <w:t>–</w:t>
        </w:r>
        <w:r w:rsidR="00DB3BD0" w:rsidRPr="00EF3D0B">
          <w:rPr>
            <w:rStyle w:val="Hyperlink"/>
          </w:rPr>
          <w:t xml:space="preserve"> Gewässer 3.</w:t>
        </w:r>
        <w:r w:rsidR="00C0610E">
          <w:rPr>
            <w:rStyle w:val="Hyperlink"/>
          </w:rPr>
          <w:t> </w:t>
        </w:r>
        <w:r w:rsidR="00DB3BD0" w:rsidRPr="00EF3D0B">
          <w:rPr>
            <w:rStyle w:val="Hyperlink"/>
          </w:rPr>
          <w:t>Ordnung</w:t>
        </w:r>
        <w:r w:rsidR="00DB3BD0">
          <w:rPr>
            <w:webHidden/>
          </w:rPr>
          <w:tab/>
        </w:r>
        <w:r w:rsidR="00DB3BD0">
          <w:rPr>
            <w:webHidden/>
          </w:rPr>
          <w:fldChar w:fldCharType="begin"/>
        </w:r>
        <w:r w:rsidR="00DB3BD0">
          <w:rPr>
            <w:webHidden/>
          </w:rPr>
          <w:instrText xml:space="preserve"> PAGEREF _Toc475001303 \h </w:instrText>
        </w:r>
        <w:r w:rsidR="00DB3BD0">
          <w:rPr>
            <w:webHidden/>
          </w:rPr>
        </w:r>
        <w:r w:rsidR="00DB3BD0">
          <w:rPr>
            <w:webHidden/>
          </w:rPr>
          <w:fldChar w:fldCharType="separate"/>
        </w:r>
        <w:r w:rsidR="00C87EB4">
          <w:rPr>
            <w:webHidden/>
          </w:rPr>
          <w:t>39</w:t>
        </w:r>
        <w:r w:rsidR="00DB3BD0">
          <w:rPr>
            <w:webHidden/>
          </w:rPr>
          <w:fldChar w:fldCharType="end"/>
        </w:r>
      </w:hyperlink>
    </w:p>
    <w:p w:rsidR="00C0610E" w:rsidRDefault="009312C9">
      <w:pPr>
        <w:pStyle w:val="Verzeichnis2"/>
        <w:tabs>
          <w:tab w:val="right" w:leader="dot" w:pos="4383"/>
        </w:tabs>
        <w:rPr>
          <w:rStyle w:val="Hyperlink"/>
        </w:rPr>
      </w:pPr>
      <w:hyperlink w:anchor="_Toc475001304" w:history="1">
        <w:r w:rsidR="00DB3BD0" w:rsidRPr="00EF3D0B">
          <w:rPr>
            <w:rStyle w:val="Hyperlink"/>
          </w:rPr>
          <w:t>Zierer, Benno (FREIE WÄHLER)</w:t>
        </w:r>
        <w:r w:rsidR="00DB3BD0" w:rsidRPr="00EF3D0B">
          <w:rPr>
            <w:rStyle w:val="Hyperlink"/>
          </w:rPr>
          <w:br/>
          <w:t>Neubau der Reptilienauffangstation: Finanzielle Unterstützung durch den Bund und andere Bundesländer</w:t>
        </w:r>
        <w:r w:rsidR="00DB3BD0">
          <w:rPr>
            <w:webHidden/>
          </w:rPr>
          <w:tab/>
        </w:r>
        <w:r w:rsidR="00DB3BD0">
          <w:rPr>
            <w:webHidden/>
          </w:rPr>
          <w:fldChar w:fldCharType="begin"/>
        </w:r>
        <w:r w:rsidR="00DB3BD0">
          <w:rPr>
            <w:webHidden/>
          </w:rPr>
          <w:instrText xml:space="preserve"> PAGEREF _Toc475001304 \h </w:instrText>
        </w:r>
        <w:r w:rsidR="00DB3BD0">
          <w:rPr>
            <w:webHidden/>
          </w:rPr>
        </w:r>
        <w:r w:rsidR="00DB3BD0">
          <w:rPr>
            <w:webHidden/>
          </w:rPr>
          <w:fldChar w:fldCharType="separate"/>
        </w:r>
        <w:r w:rsidR="00C87EB4">
          <w:rPr>
            <w:webHidden/>
          </w:rPr>
          <w:t>40</w:t>
        </w:r>
        <w:r w:rsidR="00DB3BD0">
          <w:rPr>
            <w:webHidden/>
          </w:rPr>
          <w:fldChar w:fldCharType="end"/>
        </w:r>
      </w:hyperlink>
    </w:p>
    <w:p w:rsidR="00DB3BD0" w:rsidRPr="00C0610E" w:rsidRDefault="00C0610E" w:rsidP="00C0610E">
      <w:pPr>
        <w:pStyle w:val="Verzeichnis1"/>
        <w:tabs>
          <w:tab w:val="right" w:leader="dot" w:pos="4383"/>
        </w:tabs>
        <w:rPr>
          <w:rStyle w:val="Hyperlink"/>
          <w:noProof/>
        </w:rPr>
      </w:pPr>
      <w:r>
        <w:rPr>
          <w:rStyle w:val="Hyperlink"/>
          <w:noProof/>
        </w:rPr>
        <w:br w:type="column"/>
      </w:r>
      <w:hyperlink w:anchor="_Toc475001305" w:history="1">
        <w:r w:rsidR="00DB3BD0" w:rsidRPr="00EF3D0B">
          <w:rPr>
            <w:rStyle w:val="Hyperlink"/>
            <w:noProof/>
          </w:rPr>
          <w:t>Geschäftsbereich des Staatsministeriums für Ernährung, Landwirtschaft und Forsten</w:t>
        </w:r>
        <w:r w:rsidR="00DB3BD0" w:rsidRPr="00C0610E">
          <w:rPr>
            <w:rStyle w:val="Hyperlink"/>
            <w:noProof/>
            <w:webHidden/>
          </w:rPr>
          <w:tab/>
        </w:r>
        <w:r w:rsidR="00DB3BD0" w:rsidRPr="00C0610E">
          <w:rPr>
            <w:rStyle w:val="Hyperlink"/>
            <w:noProof/>
            <w:webHidden/>
          </w:rPr>
          <w:fldChar w:fldCharType="begin"/>
        </w:r>
        <w:r w:rsidR="00DB3BD0" w:rsidRPr="00C0610E">
          <w:rPr>
            <w:rStyle w:val="Hyperlink"/>
            <w:noProof/>
            <w:webHidden/>
          </w:rPr>
          <w:instrText xml:space="preserve"> PAGEREF _Toc475001305 \h </w:instrText>
        </w:r>
        <w:r w:rsidR="00DB3BD0" w:rsidRPr="00C0610E">
          <w:rPr>
            <w:rStyle w:val="Hyperlink"/>
            <w:noProof/>
            <w:webHidden/>
          </w:rPr>
        </w:r>
        <w:r w:rsidR="00DB3BD0" w:rsidRPr="00C0610E">
          <w:rPr>
            <w:rStyle w:val="Hyperlink"/>
            <w:noProof/>
            <w:webHidden/>
          </w:rPr>
          <w:fldChar w:fldCharType="separate"/>
        </w:r>
        <w:r w:rsidR="00C87EB4">
          <w:rPr>
            <w:rStyle w:val="Hyperlink"/>
            <w:noProof/>
            <w:webHidden/>
          </w:rPr>
          <w:t>41</w:t>
        </w:r>
        <w:r w:rsidR="00DB3BD0" w:rsidRPr="00C0610E">
          <w:rPr>
            <w:rStyle w:val="Hyperlink"/>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06" w:history="1">
        <w:r w:rsidR="00DB3BD0" w:rsidRPr="00EF3D0B">
          <w:rPr>
            <w:rStyle w:val="Hyperlink"/>
          </w:rPr>
          <w:t>Arnold, Horst (SPD)</w:t>
        </w:r>
        <w:r w:rsidR="00DB3BD0" w:rsidRPr="00EF3D0B">
          <w:rPr>
            <w:rStyle w:val="Hyperlink"/>
          </w:rPr>
          <w:br/>
          <w:t>Informationskampagne des Bundes</w:t>
        </w:r>
        <w:r w:rsidR="00C0610E">
          <w:rPr>
            <w:rStyle w:val="Hyperlink"/>
          </w:rPr>
          <w:softHyphen/>
        </w:r>
        <w:r w:rsidR="00DB3BD0" w:rsidRPr="00EF3D0B">
          <w:rPr>
            <w:rStyle w:val="Hyperlink"/>
          </w:rPr>
          <w:t>ministeriums für Ernährung und Land</w:t>
        </w:r>
        <w:r w:rsidR="00C0610E">
          <w:rPr>
            <w:rStyle w:val="Hyperlink"/>
          </w:rPr>
          <w:softHyphen/>
        </w:r>
        <w:r w:rsidR="00DB3BD0" w:rsidRPr="00EF3D0B">
          <w:rPr>
            <w:rStyle w:val="Hyperlink"/>
          </w:rPr>
          <w:t>wirtschaft zum Wasserverbrauch in Bayern</w:t>
        </w:r>
        <w:r w:rsidR="00DB3BD0">
          <w:rPr>
            <w:webHidden/>
          </w:rPr>
          <w:tab/>
        </w:r>
        <w:r w:rsidR="00DB3BD0">
          <w:rPr>
            <w:webHidden/>
          </w:rPr>
          <w:fldChar w:fldCharType="begin"/>
        </w:r>
        <w:r w:rsidR="00DB3BD0">
          <w:rPr>
            <w:webHidden/>
          </w:rPr>
          <w:instrText xml:space="preserve"> PAGEREF _Toc475001306 \h </w:instrText>
        </w:r>
        <w:r w:rsidR="00DB3BD0">
          <w:rPr>
            <w:webHidden/>
          </w:rPr>
        </w:r>
        <w:r w:rsidR="00DB3BD0">
          <w:rPr>
            <w:webHidden/>
          </w:rPr>
          <w:fldChar w:fldCharType="separate"/>
        </w:r>
        <w:r w:rsidR="00C87EB4">
          <w:rPr>
            <w:webHidden/>
          </w:rPr>
          <w:t>41</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07" w:history="1">
        <w:r w:rsidR="00DB3BD0" w:rsidRPr="00EF3D0B">
          <w:rPr>
            <w:rStyle w:val="Hyperlink"/>
          </w:rPr>
          <w:t>Karl, Annette (SPD)</w:t>
        </w:r>
        <w:r w:rsidR="00DB3BD0" w:rsidRPr="00EF3D0B">
          <w:rPr>
            <w:rStyle w:val="Hyperlink"/>
          </w:rPr>
          <w:br/>
          <w:t>Vogelgrippe in Bayern</w:t>
        </w:r>
        <w:r w:rsidR="00DB3BD0">
          <w:rPr>
            <w:webHidden/>
          </w:rPr>
          <w:tab/>
        </w:r>
        <w:r w:rsidR="00DB3BD0">
          <w:rPr>
            <w:webHidden/>
          </w:rPr>
          <w:fldChar w:fldCharType="begin"/>
        </w:r>
        <w:r w:rsidR="00DB3BD0">
          <w:rPr>
            <w:webHidden/>
          </w:rPr>
          <w:instrText xml:space="preserve"> PAGEREF _Toc475001307 \h </w:instrText>
        </w:r>
        <w:r w:rsidR="00DB3BD0">
          <w:rPr>
            <w:webHidden/>
          </w:rPr>
        </w:r>
        <w:r w:rsidR="00DB3BD0">
          <w:rPr>
            <w:webHidden/>
          </w:rPr>
          <w:fldChar w:fldCharType="separate"/>
        </w:r>
        <w:r w:rsidR="00C87EB4">
          <w:rPr>
            <w:webHidden/>
          </w:rPr>
          <w:t>41</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08" w:history="1">
        <w:r w:rsidR="00DB3BD0" w:rsidRPr="00EF3D0B">
          <w:rPr>
            <w:rStyle w:val="Hyperlink"/>
          </w:rPr>
          <w:t>Mütze, Thomas (BÜNDNIS 90/DIE GRÜNEN)</w:t>
        </w:r>
        <w:r w:rsidR="00DB3BD0" w:rsidRPr="00EF3D0B">
          <w:rPr>
            <w:rStyle w:val="Hyperlink"/>
          </w:rPr>
          <w:br/>
          <w:t>Nutzung der Holzrechte im Spessart</w:t>
        </w:r>
        <w:r w:rsidR="00DB3BD0">
          <w:rPr>
            <w:webHidden/>
          </w:rPr>
          <w:tab/>
        </w:r>
        <w:r w:rsidR="00DB3BD0">
          <w:rPr>
            <w:webHidden/>
          </w:rPr>
          <w:fldChar w:fldCharType="begin"/>
        </w:r>
        <w:r w:rsidR="00DB3BD0">
          <w:rPr>
            <w:webHidden/>
          </w:rPr>
          <w:instrText xml:space="preserve"> PAGEREF _Toc475001308 \h </w:instrText>
        </w:r>
        <w:r w:rsidR="00DB3BD0">
          <w:rPr>
            <w:webHidden/>
          </w:rPr>
        </w:r>
        <w:r w:rsidR="00DB3BD0">
          <w:rPr>
            <w:webHidden/>
          </w:rPr>
          <w:fldChar w:fldCharType="separate"/>
        </w:r>
        <w:r w:rsidR="00C87EB4">
          <w:rPr>
            <w:webHidden/>
          </w:rPr>
          <w:t>42</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09" w:history="1">
        <w:r w:rsidR="00DB3BD0" w:rsidRPr="00EF3D0B">
          <w:rPr>
            <w:rStyle w:val="Hyperlink"/>
          </w:rPr>
          <w:t>Sengl, Gisela (BÜNDNIS 90/DIE GRÜNEN)</w:t>
        </w:r>
        <w:r w:rsidR="00DB3BD0" w:rsidRPr="00EF3D0B">
          <w:rPr>
            <w:rStyle w:val="Hyperlink"/>
          </w:rPr>
          <w:br/>
          <w:t>Anteil der Cross Compliance-Verstöße gegen das Düngerecht</w:t>
        </w:r>
        <w:r w:rsidR="00DB3BD0">
          <w:rPr>
            <w:webHidden/>
          </w:rPr>
          <w:tab/>
        </w:r>
        <w:r w:rsidR="00DB3BD0">
          <w:rPr>
            <w:webHidden/>
          </w:rPr>
          <w:fldChar w:fldCharType="begin"/>
        </w:r>
        <w:r w:rsidR="00DB3BD0">
          <w:rPr>
            <w:webHidden/>
          </w:rPr>
          <w:instrText xml:space="preserve"> PAGEREF _Toc475001309 \h </w:instrText>
        </w:r>
        <w:r w:rsidR="00DB3BD0">
          <w:rPr>
            <w:webHidden/>
          </w:rPr>
        </w:r>
        <w:r w:rsidR="00DB3BD0">
          <w:rPr>
            <w:webHidden/>
          </w:rPr>
          <w:fldChar w:fldCharType="separate"/>
        </w:r>
        <w:r w:rsidR="00C87EB4">
          <w:rPr>
            <w:webHidden/>
          </w:rPr>
          <w:t>43</w:t>
        </w:r>
        <w:r w:rsidR="00DB3BD0">
          <w:rPr>
            <w:webHidden/>
          </w:rPr>
          <w:fldChar w:fldCharType="end"/>
        </w:r>
      </w:hyperlink>
    </w:p>
    <w:p w:rsidR="00DB3BD0" w:rsidRDefault="009312C9">
      <w:pPr>
        <w:pStyle w:val="Verzeichnis1"/>
        <w:tabs>
          <w:tab w:val="right" w:leader="dot" w:pos="4383"/>
        </w:tabs>
        <w:rPr>
          <w:rFonts w:asciiTheme="minorHAnsi" w:eastAsiaTheme="minorEastAsia" w:hAnsiTheme="minorHAnsi" w:cstheme="minorBidi"/>
          <w:b w:val="0"/>
          <w:noProof/>
        </w:rPr>
      </w:pPr>
      <w:hyperlink w:anchor="_Toc475001310" w:history="1">
        <w:r w:rsidR="00DB3BD0" w:rsidRPr="00EF3D0B">
          <w:rPr>
            <w:rStyle w:val="Hyperlink"/>
            <w:noProof/>
          </w:rPr>
          <w:t>Geschäftsbereich des Staatsministeriums für Arbeit und Soziales, Familie und Integration</w:t>
        </w:r>
        <w:r w:rsidR="00DB3BD0">
          <w:rPr>
            <w:noProof/>
            <w:webHidden/>
          </w:rPr>
          <w:tab/>
        </w:r>
        <w:r w:rsidR="00DB3BD0">
          <w:rPr>
            <w:noProof/>
            <w:webHidden/>
          </w:rPr>
          <w:fldChar w:fldCharType="begin"/>
        </w:r>
        <w:r w:rsidR="00DB3BD0">
          <w:rPr>
            <w:noProof/>
            <w:webHidden/>
          </w:rPr>
          <w:instrText xml:space="preserve"> PAGEREF _Toc475001310 \h </w:instrText>
        </w:r>
        <w:r w:rsidR="00DB3BD0">
          <w:rPr>
            <w:noProof/>
            <w:webHidden/>
          </w:rPr>
        </w:r>
        <w:r w:rsidR="00DB3BD0">
          <w:rPr>
            <w:noProof/>
            <w:webHidden/>
          </w:rPr>
          <w:fldChar w:fldCharType="separate"/>
        </w:r>
        <w:r w:rsidR="00C87EB4">
          <w:rPr>
            <w:noProof/>
            <w:webHidden/>
          </w:rPr>
          <w:t>44</w:t>
        </w:r>
        <w:r w:rsidR="00DB3BD0">
          <w:rPr>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11" w:history="1">
        <w:r w:rsidR="00DB3BD0" w:rsidRPr="00EF3D0B">
          <w:rPr>
            <w:rStyle w:val="Hyperlink"/>
          </w:rPr>
          <w:t>Meyer, Peter (FREIE WÄHLER)</w:t>
        </w:r>
        <w:r w:rsidR="00DB3BD0" w:rsidRPr="00EF3D0B">
          <w:rPr>
            <w:rStyle w:val="Hyperlink"/>
          </w:rPr>
          <w:br/>
          <w:t>Ergebnis des Gutachtens im Auftrag des Staatsministeriums für Arbeit und Soziales, Familie und Integration zur Zusammenfassung von Klinik Herzog</w:t>
        </w:r>
        <w:r w:rsidR="00C0610E">
          <w:rPr>
            <w:rStyle w:val="Hyperlink"/>
          </w:rPr>
          <w:softHyphen/>
        </w:r>
        <w:r w:rsidR="00DB3BD0" w:rsidRPr="00EF3D0B">
          <w:rPr>
            <w:rStyle w:val="Hyperlink"/>
          </w:rPr>
          <w:t>höhe und Höhenklinik</w:t>
        </w:r>
        <w:r w:rsidR="00DB3BD0">
          <w:rPr>
            <w:webHidden/>
          </w:rPr>
          <w:tab/>
        </w:r>
        <w:r w:rsidR="00DB3BD0">
          <w:rPr>
            <w:webHidden/>
          </w:rPr>
          <w:fldChar w:fldCharType="begin"/>
        </w:r>
        <w:r w:rsidR="00DB3BD0">
          <w:rPr>
            <w:webHidden/>
          </w:rPr>
          <w:instrText xml:space="preserve"> PAGEREF _Toc475001311 \h </w:instrText>
        </w:r>
        <w:r w:rsidR="00DB3BD0">
          <w:rPr>
            <w:webHidden/>
          </w:rPr>
        </w:r>
        <w:r w:rsidR="00DB3BD0">
          <w:rPr>
            <w:webHidden/>
          </w:rPr>
          <w:fldChar w:fldCharType="separate"/>
        </w:r>
        <w:r w:rsidR="00C87EB4">
          <w:rPr>
            <w:webHidden/>
          </w:rPr>
          <w:t>44</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12" w:history="1">
        <w:r w:rsidR="00DB3BD0" w:rsidRPr="00EF3D0B">
          <w:rPr>
            <w:rStyle w:val="Hyperlink"/>
          </w:rPr>
          <w:t>Rauscher, Doris (SPD)</w:t>
        </w:r>
        <w:r w:rsidR="00DB3BD0" w:rsidRPr="00EF3D0B">
          <w:rPr>
            <w:rStyle w:val="Hyperlink"/>
          </w:rPr>
          <w:br/>
          <w:t>Anforderungen für Maßnahmen der Ferienbetreuung in Bayern</w:t>
        </w:r>
        <w:r w:rsidR="00DB3BD0">
          <w:rPr>
            <w:webHidden/>
          </w:rPr>
          <w:tab/>
        </w:r>
        <w:r w:rsidR="00DB3BD0">
          <w:rPr>
            <w:webHidden/>
          </w:rPr>
          <w:fldChar w:fldCharType="begin"/>
        </w:r>
        <w:r w:rsidR="00DB3BD0">
          <w:rPr>
            <w:webHidden/>
          </w:rPr>
          <w:instrText xml:space="preserve"> PAGEREF _Toc475001312 \h </w:instrText>
        </w:r>
        <w:r w:rsidR="00DB3BD0">
          <w:rPr>
            <w:webHidden/>
          </w:rPr>
        </w:r>
        <w:r w:rsidR="00DB3BD0">
          <w:rPr>
            <w:webHidden/>
          </w:rPr>
          <w:fldChar w:fldCharType="separate"/>
        </w:r>
        <w:r w:rsidR="00C87EB4">
          <w:rPr>
            <w:webHidden/>
          </w:rPr>
          <w:t>44</w:t>
        </w:r>
        <w:r w:rsidR="00DB3BD0">
          <w:rPr>
            <w:webHidden/>
          </w:rPr>
          <w:fldChar w:fldCharType="end"/>
        </w:r>
      </w:hyperlink>
    </w:p>
    <w:p w:rsidR="00C0610E" w:rsidRDefault="00C0610E">
      <w:pPr>
        <w:pStyle w:val="Verzeichnis1"/>
        <w:tabs>
          <w:tab w:val="right" w:leader="dot" w:pos="4383"/>
        </w:tabs>
        <w:rPr>
          <w:rStyle w:val="Hyperlink"/>
          <w:noProof/>
        </w:rPr>
      </w:pPr>
    </w:p>
    <w:p w:rsidR="00DB3BD0" w:rsidRDefault="009312C9">
      <w:pPr>
        <w:pStyle w:val="Verzeichnis1"/>
        <w:tabs>
          <w:tab w:val="right" w:leader="dot" w:pos="4383"/>
        </w:tabs>
        <w:rPr>
          <w:rFonts w:asciiTheme="minorHAnsi" w:eastAsiaTheme="minorEastAsia" w:hAnsiTheme="minorHAnsi" w:cstheme="minorBidi"/>
          <w:b w:val="0"/>
          <w:noProof/>
        </w:rPr>
      </w:pPr>
      <w:hyperlink w:anchor="_Toc475001313" w:history="1">
        <w:r w:rsidR="00DB3BD0" w:rsidRPr="00EF3D0B">
          <w:rPr>
            <w:rStyle w:val="Hyperlink"/>
            <w:noProof/>
          </w:rPr>
          <w:t>Geschäftsbereich des Staatsministeriums für Gesundheit und Pflege</w:t>
        </w:r>
        <w:r w:rsidR="00DB3BD0">
          <w:rPr>
            <w:noProof/>
            <w:webHidden/>
          </w:rPr>
          <w:tab/>
        </w:r>
        <w:r w:rsidR="00DB3BD0">
          <w:rPr>
            <w:noProof/>
            <w:webHidden/>
          </w:rPr>
          <w:fldChar w:fldCharType="begin"/>
        </w:r>
        <w:r w:rsidR="00DB3BD0">
          <w:rPr>
            <w:noProof/>
            <w:webHidden/>
          </w:rPr>
          <w:instrText xml:space="preserve"> PAGEREF _Toc475001313 \h </w:instrText>
        </w:r>
        <w:r w:rsidR="00DB3BD0">
          <w:rPr>
            <w:noProof/>
            <w:webHidden/>
          </w:rPr>
        </w:r>
        <w:r w:rsidR="00DB3BD0">
          <w:rPr>
            <w:noProof/>
            <w:webHidden/>
          </w:rPr>
          <w:fldChar w:fldCharType="separate"/>
        </w:r>
        <w:r w:rsidR="00C87EB4">
          <w:rPr>
            <w:noProof/>
            <w:webHidden/>
          </w:rPr>
          <w:t>46</w:t>
        </w:r>
        <w:r w:rsidR="00DB3BD0">
          <w:rPr>
            <w:noProof/>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14" w:history="1">
        <w:r w:rsidR="00DB3BD0" w:rsidRPr="00EF3D0B">
          <w:rPr>
            <w:rStyle w:val="Hyperlink"/>
          </w:rPr>
          <w:t>Celina, Kerstin (BÜNDNIS 90/DIE GRÜNEN)</w:t>
        </w:r>
        <w:r w:rsidR="00DB3BD0" w:rsidRPr="00EF3D0B">
          <w:rPr>
            <w:rStyle w:val="Hyperlink"/>
          </w:rPr>
          <w:br/>
          <w:t>Missstände in der Seniorenresidenz Gleusdorf</w:t>
        </w:r>
        <w:r w:rsidR="00DB3BD0">
          <w:rPr>
            <w:webHidden/>
          </w:rPr>
          <w:tab/>
        </w:r>
        <w:r w:rsidR="00DB3BD0">
          <w:rPr>
            <w:webHidden/>
          </w:rPr>
          <w:fldChar w:fldCharType="begin"/>
        </w:r>
        <w:r w:rsidR="00DB3BD0">
          <w:rPr>
            <w:webHidden/>
          </w:rPr>
          <w:instrText xml:space="preserve"> PAGEREF _Toc475001314 \h </w:instrText>
        </w:r>
        <w:r w:rsidR="00DB3BD0">
          <w:rPr>
            <w:webHidden/>
          </w:rPr>
        </w:r>
        <w:r w:rsidR="00DB3BD0">
          <w:rPr>
            <w:webHidden/>
          </w:rPr>
          <w:fldChar w:fldCharType="separate"/>
        </w:r>
        <w:r w:rsidR="00C87EB4">
          <w:rPr>
            <w:webHidden/>
          </w:rPr>
          <w:t>46</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15" w:history="1">
        <w:r w:rsidR="00DB3BD0" w:rsidRPr="00EF3D0B">
          <w:rPr>
            <w:rStyle w:val="Hyperlink"/>
          </w:rPr>
          <w:t>Osgyan, Verena (BÜNDNIS 90/DIE GRÜNEN)</w:t>
        </w:r>
        <w:r w:rsidR="00DB3BD0" w:rsidRPr="00EF3D0B">
          <w:rPr>
            <w:rStyle w:val="Hyperlink"/>
          </w:rPr>
          <w:br/>
          <w:t>Datenschutzskandal am Klinikum Ingolstadt</w:t>
        </w:r>
        <w:r w:rsidR="00DB3BD0">
          <w:rPr>
            <w:webHidden/>
          </w:rPr>
          <w:tab/>
        </w:r>
        <w:r w:rsidR="00DB3BD0">
          <w:rPr>
            <w:webHidden/>
          </w:rPr>
          <w:fldChar w:fldCharType="begin"/>
        </w:r>
        <w:r w:rsidR="00DB3BD0">
          <w:rPr>
            <w:webHidden/>
          </w:rPr>
          <w:instrText xml:space="preserve"> PAGEREF _Toc475001315 \h </w:instrText>
        </w:r>
        <w:r w:rsidR="00DB3BD0">
          <w:rPr>
            <w:webHidden/>
          </w:rPr>
        </w:r>
        <w:r w:rsidR="00DB3BD0">
          <w:rPr>
            <w:webHidden/>
          </w:rPr>
          <w:fldChar w:fldCharType="separate"/>
        </w:r>
        <w:r w:rsidR="00C87EB4">
          <w:rPr>
            <w:webHidden/>
          </w:rPr>
          <w:t>47</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16" w:history="1">
        <w:r w:rsidR="00DB3BD0" w:rsidRPr="00EF3D0B">
          <w:rPr>
            <w:rStyle w:val="Hyperlink"/>
          </w:rPr>
          <w:t>Petersen, Kathi (SPD)</w:t>
        </w:r>
        <w:r w:rsidR="00DB3BD0" w:rsidRPr="00EF3D0B">
          <w:rPr>
            <w:rStyle w:val="Hyperlink"/>
          </w:rPr>
          <w:br/>
          <w:t>Hospiz- und Palliativversorgung in Bayern</w:t>
        </w:r>
        <w:r w:rsidR="00DB3BD0">
          <w:rPr>
            <w:webHidden/>
          </w:rPr>
          <w:tab/>
        </w:r>
        <w:r w:rsidR="00DB3BD0">
          <w:rPr>
            <w:webHidden/>
          </w:rPr>
          <w:fldChar w:fldCharType="begin"/>
        </w:r>
        <w:r w:rsidR="00DB3BD0">
          <w:rPr>
            <w:webHidden/>
          </w:rPr>
          <w:instrText xml:space="preserve"> PAGEREF _Toc475001316 \h </w:instrText>
        </w:r>
        <w:r w:rsidR="00DB3BD0">
          <w:rPr>
            <w:webHidden/>
          </w:rPr>
        </w:r>
        <w:r w:rsidR="00DB3BD0">
          <w:rPr>
            <w:webHidden/>
          </w:rPr>
          <w:fldChar w:fldCharType="separate"/>
        </w:r>
        <w:r w:rsidR="00C87EB4">
          <w:rPr>
            <w:webHidden/>
          </w:rPr>
          <w:t>48</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17" w:history="1">
        <w:r w:rsidR="00DB3BD0" w:rsidRPr="00EF3D0B">
          <w:rPr>
            <w:rStyle w:val="Hyperlink"/>
          </w:rPr>
          <w:t>Steinberger, Rosi (BÜNDNIS 90/DIE GRÜNEN)</w:t>
        </w:r>
        <w:r w:rsidR="00DB3BD0" w:rsidRPr="00EF3D0B">
          <w:rPr>
            <w:rStyle w:val="Hyperlink"/>
          </w:rPr>
          <w:br/>
          <w:t>Anzahl der Gynäkologinnen und Gynä</w:t>
        </w:r>
        <w:r w:rsidR="00C0610E">
          <w:rPr>
            <w:rStyle w:val="Hyperlink"/>
          </w:rPr>
          <w:softHyphen/>
        </w:r>
        <w:r w:rsidR="00DB3BD0" w:rsidRPr="00EF3D0B">
          <w:rPr>
            <w:rStyle w:val="Hyperlink"/>
          </w:rPr>
          <w:t>kologen in der Stadt und im Landkreis Landshut</w:t>
        </w:r>
        <w:r w:rsidR="00DB3BD0">
          <w:rPr>
            <w:webHidden/>
          </w:rPr>
          <w:tab/>
        </w:r>
        <w:r w:rsidR="00DB3BD0">
          <w:rPr>
            <w:webHidden/>
          </w:rPr>
          <w:fldChar w:fldCharType="begin"/>
        </w:r>
        <w:r w:rsidR="00DB3BD0">
          <w:rPr>
            <w:webHidden/>
          </w:rPr>
          <w:instrText xml:space="preserve"> PAGEREF _Toc475001317 \h </w:instrText>
        </w:r>
        <w:r w:rsidR="00DB3BD0">
          <w:rPr>
            <w:webHidden/>
          </w:rPr>
        </w:r>
        <w:r w:rsidR="00DB3BD0">
          <w:rPr>
            <w:webHidden/>
          </w:rPr>
          <w:fldChar w:fldCharType="separate"/>
        </w:r>
        <w:r w:rsidR="00C87EB4">
          <w:rPr>
            <w:webHidden/>
          </w:rPr>
          <w:t>49</w:t>
        </w:r>
        <w:r w:rsidR="00DB3BD0">
          <w:rPr>
            <w:webHidden/>
          </w:rPr>
          <w:fldChar w:fldCharType="end"/>
        </w:r>
      </w:hyperlink>
    </w:p>
    <w:p w:rsidR="00DB3BD0" w:rsidRDefault="009312C9">
      <w:pPr>
        <w:pStyle w:val="Verzeichnis2"/>
        <w:tabs>
          <w:tab w:val="right" w:leader="dot" w:pos="4383"/>
        </w:tabs>
        <w:rPr>
          <w:rFonts w:asciiTheme="minorHAnsi" w:eastAsiaTheme="minorEastAsia" w:hAnsiTheme="minorHAnsi" w:cstheme="minorBidi"/>
          <w:sz w:val="22"/>
        </w:rPr>
      </w:pPr>
      <w:hyperlink w:anchor="_Toc475001318" w:history="1">
        <w:r w:rsidR="00DB3BD0" w:rsidRPr="00EF3D0B">
          <w:rPr>
            <w:rStyle w:val="Hyperlink"/>
          </w:rPr>
          <w:t>Waldmann, Ruth (SPD)</w:t>
        </w:r>
        <w:r w:rsidR="00DB3BD0" w:rsidRPr="00EF3D0B">
          <w:rPr>
            <w:rStyle w:val="Hyperlink"/>
          </w:rPr>
          <w:br/>
          <w:t>Ambulantisierung vollstationärer Pflegeeinrichtungen</w:t>
        </w:r>
        <w:r w:rsidR="00DB3BD0">
          <w:rPr>
            <w:webHidden/>
          </w:rPr>
          <w:tab/>
        </w:r>
        <w:r w:rsidR="00DB3BD0">
          <w:rPr>
            <w:webHidden/>
          </w:rPr>
          <w:fldChar w:fldCharType="begin"/>
        </w:r>
        <w:r w:rsidR="00DB3BD0">
          <w:rPr>
            <w:webHidden/>
          </w:rPr>
          <w:instrText xml:space="preserve"> PAGEREF _Toc475001318 \h </w:instrText>
        </w:r>
        <w:r w:rsidR="00DB3BD0">
          <w:rPr>
            <w:webHidden/>
          </w:rPr>
        </w:r>
        <w:r w:rsidR="00DB3BD0">
          <w:rPr>
            <w:webHidden/>
          </w:rPr>
          <w:fldChar w:fldCharType="separate"/>
        </w:r>
        <w:r w:rsidR="00C87EB4">
          <w:rPr>
            <w:webHidden/>
          </w:rPr>
          <w:t>49</w:t>
        </w:r>
        <w:r w:rsidR="00DB3BD0">
          <w:rPr>
            <w:webHidden/>
          </w:rPr>
          <w:fldChar w:fldCharType="end"/>
        </w:r>
      </w:hyperlink>
    </w:p>
    <w:p w:rsidR="008A671A" w:rsidRDefault="00CF77F6" w:rsidP="006E0274">
      <w:pPr>
        <w:pStyle w:val="Verzeichnis1"/>
      </w:pPr>
      <w:r>
        <w:fldChar w:fldCharType="end"/>
      </w:r>
    </w:p>
    <w:p w:rsidR="00C84F6F" w:rsidRDefault="00C84F6F" w:rsidP="00D45EB8">
      <w:pPr>
        <w:spacing w:before="120"/>
      </w:pPr>
    </w:p>
    <w:p w:rsidR="00C0610E" w:rsidRDefault="00C0610E" w:rsidP="00D45EB8">
      <w:pPr>
        <w:spacing w:before="120"/>
      </w:pPr>
    </w:p>
    <w:p w:rsidR="00C0610E" w:rsidRDefault="00C0610E" w:rsidP="00D45EB8">
      <w:pPr>
        <w:spacing w:before="120"/>
      </w:pPr>
    </w:p>
    <w:p w:rsidR="00C0610E" w:rsidRDefault="00C0610E" w:rsidP="00D45EB8">
      <w:pPr>
        <w:spacing w:before="120"/>
      </w:pPr>
    </w:p>
    <w:p w:rsidR="00C0610E" w:rsidRDefault="00C0610E" w:rsidP="00D45EB8">
      <w:pPr>
        <w:spacing w:before="120"/>
        <w:sectPr w:rsidR="00C0610E"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DB3BD0" w:rsidP="00DB3BD0">
      <w:pPr>
        <w:pStyle w:val="LTUeberschrRessort"/>
      </w:pPr>
      <w:r>
        <w:lastRenderedPageBreak/>
        <w:t>Geschäftsbereich der Staatskanzlei</w:t>
      </w:r>
      <w:r>
        <w:fldChar w:fldCharType="begin"/>
      </w:r>
      <w:r>
        <w:instrText xml:space="preserve"> TC </w:instrText>
      </w:r>
      <w:r w:rsidR="00FD4D2F">
        <w:instrText>„</w:instrText>
      </w:r>
      <w:bookmarkStart w:id="3" w:name="_Toc475001257"/>
      <w:r>
        <w:instrText>Geschäftsbereich der Staatskanzlei</w:instrText>
      </w:r>
      <w:bookmarkEnd w:id="3"/>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Georg</w:t>
            </w:r>
            <w:r w:rsidRPr="00DB3BD0">
              <w:rPr>
                <w:b/>
              </w:rPr>
              <w:br/>
              <w:t>Rosenthal</w:t>
            </w:r>
            <w:r w:rsidRPr="00DB3BD0">
              <w:rPr>
                <w:b/>
              </w:rPr>
              <w:br/>
            </w:r>
            <w:r w:rsidRPr="00DB3BD0">
              <w:t>(SPD)</w:t>
            </w:r>
            <w:r>
              <w:fldChar w:fldCharType="begin"/>
            </w:r>
            <w:r>
              <w:instrText xml:space="preserve"> TC </w:instrText>
            </w:r>
            <w:r w:rsidR="00FD4D2F">
              <w:instrText>„</w:instrText>
            </w:r>
            <w:bookmarkStart w:id="4" w:name="_Toc475001258"/>
            <w:r>
              <w:instrText>Rosenthal, Georg (SPD)</w:instrText>
            </w:r>
            <w:r>
              <w:br/>
              <w:instrText>Projekte zur Bekämpfung von Fluchtursachen</w:instrText>
            </w:r>
            <w:bookmarkEnd w:id="4"/>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die Staatsministerin für Europaangelegenheiten und regionale Beziehungen, Dr. Beate Merk, von der Staatsregierung den Auftrag hat, konkrete Projekte zur</w:t>
            </w:r>
            <w:r w:rsidR="00FD4D2F">
              <w:t xml:space="preserve"> </w:t>
            </w:r>
            <w:r>
              <w:t>Bekämpfung von Fluchtursachen in Höhe von 20 Mio. Euro zu identifizieren, frage ich die Staatsregierung, in welchem Zeitrahmen das Konzept erarbeitet werden soll, wie das</w:t>
            </w:r>
            <w:r w:rsidR="00FD4D2F">
              <w:t xml:space="preserve"> </w:t>
            </w:r>
            <w:r>
              <w:t>Parlament dabei einbezogen wird</w:t>
            </w:r>
            <w:r w:rsidR="00FD4D2F">
              <w:t xml:space="preserve"> </w:t>
            </w:r>
            <w:r>
              <w:t>und wie die Kriterien bei der Auswahl der Projekte lauten?</w:t>
            </w:r>
          </w:p>
          <w:p w:rsidR="00DB3BD0" w:rsidRDefault="00DB3BD0" w:rsidP="00DB3BD0">
            <w:pPr>
              <w:pStyle w:val="LTAnfrageText"/>
            </w:pPr>
          </w:p>
        </w:tc>
      </w:tr>
    </w:tbl>
    <w:p w:rsidR="00DB3BD0" w:rsidRDefault="00DB3BD0" w:rsidP="0067586E">
      <w:pPr>
        <w:pStyle w:val="LTUeberschrAntwortRessort"/>
        <w:spacing w:before="720"/>
      </w:pPr>
      <w:r>
        <w:t>Antwort der Staatskanzlei</w:t>
      </w:r>
    </w:p>
    <w:p w:rsidR="00DB3BD0" w:rsidRDefault="00DB3BD0" w:rsidP="0067586E">
      <w:pPr>
        <w:pStyle w:val="LTAntwortRessortText"/>
        <w:spacing w:before="360"/>
      </w:pPr>
      <w:r>
        <w:t>Die Staatsregierung hat auf ihrer Klausurtagung in St. Quirin Ende Juli 2016 das von der Staatsministerin für Europaangelegenheiten und regionale Beziehungen, Dr. Beate Merk, vorg</w:t>
      </w:r>
      <w:r>
        <w:t>e</w:t>
      </w:r>
      <w:r>
        <w:t xml:space="preserve">legte Konzept für ein Sonderprogramm </w:t>
      </w:r>
      <w:r w:rsidR="00FD4D2F">
        <w:t>„</w:t>
      </w:r>
      <w:r>
        <w:t>Perspektiven für Flüchtlinge in ihren Heimatländern</w:t>
      </w:r>
      <w:r w:rsidR="00FD4D2F">
        <w:t>“</w:t>
      </w:r>
      <w:r>
        <w:t xml:space="preserve"> g</w:t>
      </w:r>
      <w:r>
        <w:t>e</w:t>
      </w:r>
      <w:r>
        <w:t xml:space="preserve">billigt und die Durchführung des Sonderprogramms in den Jahren 2017 und 2018 beschlossen. In diesem Konzept waren die vier Schwerpunktländer des bayerischen Engagements im Bereich Fluchtursachenbekämpfung </w:t>
      </w:r>
      <w:r w:rsidR="007F4A87">
        <w:t>–</w:t>
      </w:r>
      <w:r>
        <w:t xml:space="preserve"> Nord-Irak, Libanon, Senegal und Tunesien </w:t>
      </w:r>
      <w:r w:rsidR="007F4A87">
        <w:t>–</w:t>
      </w:r>
      <w:r>
        <w:t xml:space="preserve"> bereits benannt. Gleiches gilt für die maßgeblichen Handlungsfelder, die für ein Engagement der Staatsregierung definiert wurden (insb</w:t>
      </w:r>
      <w:r w:rsidR="007F4A87">
        <w:t>esondere</w:t>
      </w:r>
      <w:r>
        <w:t xml:space="preserve"> schulische und berufliche Bildung, Gesundheits- und Wasse</w:t>
      </w:r>
      <w:r>
        <w:t>r</w:t>
      </w:r>
      <w:r>
        <w:t>versorgung sowie die Schaffung von Erwerbsmöglichkeiten und eine Verbesserung von Verwa</w:t>
      </w:r>
      <w:r>
        <w:t>l</w:t>
      </w:r>
      <w:r>
        <w:t xml:space="preserve">tungsstrukturen). </w:t>
      </w:r>
    </w:p>
    <w:p w:rsidR="00DB3BD0" w:rsidRDefault="00DB3BD0" w:rsidP="0067586E">
      <w:pPr>
        <w:pStyle w:val="LTAntwortRessortText"/>
        <w:spacing w:before="360"/>
      </w:pPr>
      <w:r>
        <w:t>Für alle vier Länder liegen konkrete Projektvorschläge vor, die den Maßgaben des Sonderpr</w:t>
      </w:r>
      <w:r>
        <w:t>o</w:t>
      </w:r>
      <w:r>
        <w:t xml:space="preserve">gramms entsprechen. Teilweise sind bereits konkrete Projekte identifiziert, die </w:t>
      </w:r>
      <w:r w:rsidR="007F4A87">
        <w:t xml:space="preserve">– </w:t>
      </w:r>
      <w:r>
        <w:t xml:space="preserve">nach Billigung der politischen Spitze </w:t>
      </w:r>
      <w:r w:rsidR="007F4A87">
        <w:t>–</w:t>
      </w:r>
      <w:r>
        <w:t xml:space="preserve"> gefördert und umgesetzt werden können. </w:t>
      </w:r>
    </w:p>
    <w:p w:rsidR="00DB3BD0" w:rsidRDefault="00DB3BD0" w:rsidP="0067586E">
      <w:pPr>
        <w:pStyle w:val="LTAntwortRessortText"/>
        <w:spacing w:before="360"/>
      </w:pPr>
      <w:r>
        <w:t>Folgende Kriterien sind bei der Projektauswahl maßgebend:</w:t>
      </w:r>
    </w:p>
    <w:p w:rsidR="00DB3BD0" w:rsidRPr="007F4A87" w:rsidRDefault="00DB3BD0" w:rsidP="00DB3BD0">
      <w:pPr>
        <w:pStyle w:val="LTAntwortRessortText"/>
        <w:rPr>
          <w:u w:val="single"/>
        </w:rPr>
      </w:pPr>
      <w:r w:rsidRPr="007F4A87">
        <w:rPr>
          <w:u w:val="single"/>
        </w:rPr>
        <w:t>Allgemeine Kriterien:</w:t>
      </w:r>
    </w:p>
    <w:p w:rsidR="00DB3BD0" w:rsidRDefault="00DB3BD0" w:rsidP="007F4A87">
      <w:pPr>
        <w:pStyle w:val="LTAntwortRessortText"/>
        <w:numPr>
          <w:ilvl w:val="0"/>
          <w:numId w:val="24"/>
        </w:numPr>
        <w:spacing w:before="120"/>
        <w:ind w:left="1054" w:hanging="357"/>
      </w:pPr>
      <w:r>
        <w:t>Projektdauer</w:t>
      </w:r>
      <w:r w:rsidR="007F4A87">
        <w:t xml:space="preserve"> maximal zwei Jahre (2017 bis </w:t>
      </w:r>
      <w:r>
        <w:t>2018),</w:t>
      </w:r>
    </w:p>
    <w:p w:rsidR="00DB3BD0" w:rsidRDefault="00DB3BD0" w:rsidP="00CA71B0">
      <w:pPr>
        <w:pStyle w:val="LTAntwortRessortText"/>
        <w:numPr>
          <w:ilvl w:val="0"/>
          <w:numId w:val="24"/>
        </w:numPr>
        <w:spacing w:before="120"/>
        <w:ind w:left="1054" w:hanging="357"/>
      </w:pPr>
      <w:r>
        <w:t>Gewährleistung eines schnellen Projektbeginns nach Auftragserteilung,</w:t>
      </w:r>
    </w:p>
    <w:p w:rsidR="00DB3BD0" w:rsidRDefault="00DB3BD0" w:rsidP="00CA71B0">
      <w:pPr>
        <w:pStyle w:val="LTAntwortRessortText"/>
        <w:numPr>
          <w:ilvl w:val="0"/>
          <w:numId w:val="24"/>
        </w:numPr>
        <w:spacing w:before="120"/>
        <w:ind w:left="1054" w:hanging="357"/>
      </w:pPr>
      <w:r>
        <w:t xml:space="preserve">Sichtbarkeit und Eigenständigkeit des bayerischen Engagements, </w:t>
      </w:r>
    </w:p>
    <w:p w:rsidR="00DB3BD0" w:rsidRDefault="00DB3BD0" w:rsidP="00CA71B0">
      <w:pPr>
        <w:pStyle w:val="LTAntwortRessortText"/>
        <w:numPr>
          <w:ilvl w:val="0"/>
          <w:numId w:val="24"/>
        </w:numPr>
        <w:spacing w:before="120"/>
        <w:ind w:left="1054" w:hanging="357"/>
      </w:pPr>
      <w:r>
        <w:t>Nachhaltigkeit und Breitenwirkung (d.h. Projekte, die einer möglichst großen Anzahl von Personen zugutekommen).</w:t>
      </w:r>
    </w:p>
    <w:p w:rsidR="0067586E" w:rsidRDefault="0067586E">
      <w:pPr>
        <w:rPr>
          <w:u w:val="single"/>
        </w:rPr>
      </w:pPr>
      <w:r>
        <w:rPr>
          <w:u w:val="single"/>
        </w:rPr>
        <w:br w:type="page"/>
      </w:r>
    </w:p>
    <w:p w:rsidR="00DB3BD0" w:rsidRPr="007F4A87" w:rsidRDefault="00DB3BD0" w:rsidP="00DB3BD0">
      <w:pPr>
        <w:pStyle w:val="LTAntwortRessortText"/>
        <w:rPr>
          <w:u w:val="single"/>
        </w:rPr>
      </w:pPr>
      <w:r w:rsidRPr="007F4A87">
        <w:rPr>
          <w:u w:val="single"/>
        </w:rPr>
        <w:lastRenderedPageBreak/>
        <w:t>Länderspezifische Kriterien:</w:t>
      </w:r>
    </w:p>
    <w:p w:rsidR="00DB3BD0" w:rsidRDefault="00DB3BD0" w:rsidP="007F4A87">
      <w:pPr>
        <w:pStyle w:val="LTAntwortRessortText"/>
        <w:numPr>
          <w:ilvl w:val="0"/>
          <w:numId w:val="24"/>
        </w:numPr>
        <w:spacing w:before="60"/>
        <w:ind w:left="1054" w:hanging="357"/>
      </w:pPr>
      <w:r w:rsidRPr="007F4A87">
        <w:rPr>
          <w:b/>
        </w:rPr>
        <w:t>Nordirak und Libanon:</w:t>
      </w:r>
      <w:r>
        <w:t xml:space="preserve"> Lebensbedingungen verbessern</w:t>
      </w:r>
      <w:r w:rsidR="007F4A87">
        <w:tab/>
      </w:r>
      <w:r w:rsidR="007F4A87">
        <w:br/>
      </w:r>
      <w:r>
        <w:t>Projekte in den Bereichen schulische und berufliche Bildung, Gesundheit, Wasserve</w:t>
      </w:r>
      <w:r>
        <w:t>r</w:t>
      </w:r>
      <w:r>
        <w:t>sorgung</w:t>
      </w:r>
      <w:r w:rsidR="007F4A87">
        <w:t>,</w:t>
      </w:r>
      <w:r>
        <w:t xml:space="preserve"> </w:t>
      </w:r>
    </w:p>
    <w:p w:rsidR="00DB3BD0" w:rsidRDefault="00DB3BD0" w:rsidP="00CA71B0">
      <w:pPr>
        <w:pStyle w:val="LTAntwortRessortText"/>
        <w:numPr>
          <w:ilvl w:val="0"/>
          <w:numId w:val="24"/>
        </w:numPr>
        <w:spacing w:before="120"/>
        <w:ind w:left="1054" w:hanging="357"/>
      </w:pPr>
      <w:r w:rsidRPr="007F4A87">
        <w:rPr>
          <w:b/>
        </w:rPr>
        <w:t>Tunesien:</w:t>
      </w:r>
      <w:r>
        <w:t xml:space="preserve"> Stabilität stärken</w:t>
      </w:r>
      <w:r w:rsidR="007F4A87">
        <w:tab/>
      </w:r>
      <w:r w:rsidR="007F4A87">
        <w:br/>
      </w:r>
      <w:r>
        <w:t>Projekte in den Bereichen: Zusammenarbeit Staat, Verwaltung, Gesellschaft; Bildung und Wissenschaft; wirtschaftliche Zusammenarbeit; Infrastruktur; Umwelt und Klim</w:t>
      </w:r>
      <w:r>
        <w:t>a</w:t>
      </w:r>
      <w:r w:rsidR="00E003A4">
        <w:t>schutz,</w:t>
      </w:r>
    </w:p>
    <w:p w:rsidR="00DB3BD0" w:rsidRPr="007F4A87" w:rsidRDefault="00DB3BD0" w:rsidP="00CA71B0">
      <w:pPr>
        <w:pStyle w:val="LTAntwortRessortText"/>
        <w:numPr>
          <w:ilvl w:val="0"/>
          <w:numId w:val="24"/>
        </w:numPr>
        <w:spacing w:before="120"/>
        <w:ind w:left="1054" w:hanging="357"/>
      </w:pPr>
      <w:r w:rsidRPr="007F4A87">
        <w:rPr>
          <w:b/>
        </w:rPr>
        <w:t>Senegal:</w:t>
      </w:r>
      <w:r w:rsidRPr="007F4A87">
        <w:t xml:space="preserve"> Bekämpfung von Fluchtursachen durch Verbesserung von Lebens- und Ble</w:t>
      </w:r>
      <w:r w:rsidRPr="007F4A87">
        <w:t>i</w:t>
      </w:r>
      <w:r w:rsidRPr="007F4A87">
        <w:t>beperspektiven vor Ort, in</w:t>
      </w:r>
      <w:r w:rsidR="007F4A87">
        <w:t>sbesondere</w:t>
      </w:r>
      <w:r w:rsidRPr="007F4A87">
        <w:t xml:space="preserve"> die Schaffung von Erwerbsmöglichkeiten. Die Möglichkeit der Integration von Rückkehrern (abgelehnte Asylbewerber</w:t>
      </w:r>
      <w:r w:rsidR="007F4A87">
        <w:t xml:space="preserve">innen und </w:t>
      </w:r>
      <w:r w:rsidR="000C74C3">
        <w:br/>
      </w:r>
      <w:r w:rsidR="007F4A87">
        <w:t>-bewerber</w:t>
      </w:r>
      <w:r w:rsidRPr="007F4A87">
        <w:t xml:space="preserve"> aus dem Senegal) in die Projekte ist ebenfalls zu berücksichtigen.</w:t>
      </w:r>
    </w:p>
    <w:p w:rsidR="00DB3BD0" w:rsidRDefault="00DB3BD0" w:rsidP="00DB3BD0">
      <w:pPr>
        <w:pStyle w:val="LTAntwortRessortText"/>
      </w:pPr>
      <w:r>
        <w:t>Bei der Auswahl in Betracht kommender Projektpartner (für die Umsetzung der Projekte) kommt es darauf an, dass diese aufgrund ihrer fundierten und langjährigen Erfahrung im betreffenden Land und/oder aufgrund einer früheren bzw. laufenden erfolgreichen Zusammenarbeit mit der Staatsregierung die Gewähr einer verlässlichen, effektiven und effizienten, eigenverantwortl</w:t>
      </w:r>
      <w:r>
        <w:t>i</w:t>
      </w:r>
      <w:r>
        <w:t>chen Projektabwicklung bieten.</w:t>
      </w:r>
    </w:p>
    <w:p w:rsidR="00DB3BD0" w:rsidRDefault="00DB3BD0" w:rsidP="00DB3BD0">
      <w:pPr>
        <w:pStyle w:val="LTAntwortRessortText"/>
      </w:pPr>
      <w:r>
        <w:t xml:space="preserve">Eine formelle Beteiligung des Landtags bei der Umsetzung des Sonderprogramms </w:t>
      </w:r>
      <w:r w:rsidR="00FD4D2F">
        <w:t>„</w:t>
      </w:r>
      <w:r>
        <w:t>Perspekt</w:t>
      </w:r>
      <w:r>
        <w:t>i</w:t>
      </w:r>
      <w:r>
        <w:t>ven für Flüchtlinge in ihren Heimatländern</w:t>
      </w:r>
      <w:r w:rsidR="00FD4D2F">
        <w:t>“</w:t>
      </w:r>
      <w:r>
        <w:t xml:space="preserve"> ist nicht vorgesehen. Eine fortlaufende Konsultation und Information in den entsprechenden Gremien ist aber selbstverständlich.</w:t>
      </w:r>
    </w:p>
    <w:p w:rsidR="007F4A87" w:rsidRDefault="007F4A87">
      <w:pPr>
        <w:rPr>
          <w:rFonts w:cs="Arial"/>
          <w:b/>
          <w:sz w:val="22"/>
          <w:szCs w:val="22"/>
        </w:rPr>
      </w:pPr>
      <w:r>
        <w:br w:type="page"/>
      </w:r>
    </w:p>
    <w:p w:rsidR="00DB3BD0" w:rsidRDefault="00DB3BD0" w:rsidP="00DB3BD0">
      <w:pPr>
        <w:pStyle w:val="LTUeberschrRessort"/>
      </w:pPr>
      <w:r>
        <w:lastRenderedPageBreak/>
        <w:t>Geschäftsbereich des Staatsministeriums des Innern, für Bau und Verkehr</w:t>
      </w:r>
      <w:r>
        <w:fldChar w:fldCharType="begin"/>
      </w:r>
      <w:r>
        <w:instrText xml:space="preserve"> TC </w:instrText>
      </w:r>
      <w:r w:rsidR="00FD4D2F">
        <w:instrText>„</w:instrText>
      </w:r>
      <w:bookmarkStart w:id="5" w:name="_Toc475001259"/>
      <w:r>
        <w:instrText>Geschäftsbereich des Staatsministeriums des Innern, für Bau und Verkehr</w:instrText>
      </w:r>
      <w:bookmarkEnd w:id="5"/>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Prof. (Univ. L</w:t>
            </w:r>
            <w:r w:rsidRPr="00DB3BD0">
              <w:rPr>
                <w:b/>
              </w:rPr>
              <w:t>i</w:t>
            </w:r>
            <w:r w:rsidRPr="00DB3BD0">
              <w:rPr>
                <w:b/>
              </w:rPr>
              <w:t>ma) Dr. Peter</w:t>
            </w:r>
            <w:r w:rsidRPr="00DB3BD0">
              <w:rPr>
                <w:b/>
              </w:rPr>
              <w:br/>
              <w:t>Bauer</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6" w:name="_Toc475001260"/>
            <w:r>
              <w:instrText>Prof. (Univ. Lima) Dr. Bauer, Peter (FREIE WÄHLER)</w:instrText>
            </w:r>
            <w:r>
              <w:br/>
              <w:instrText>Kriminalaktennachweis (KAN)</w:instrText>
            </w:r>
            <w:bookmarkEnd w:id="6"/>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ist ihr bekannt, dass kleinkriminelle Serientäter nicht in einer bundesweiten, zentralen Datenbank über die Ländergrenzen hinweg erfasst und somit von der Polizei nicht abgefragt werden können, ist es nach Auffassung der Staatsregierung zu verantworten, dass somit kein bundesweiter Datenaustausch über Kleinkriminelle im Gegensatz zu schw</w:t>
            </w:r>
            <w:r>
              <w:t>e</w:t>
            </w:r>
            <w:r>
              <w:t>ren Straftaten erfolgt und plant die Staatsregierung, diese Regelung künftig auf Bundesebene durchzusetzen?</w:t>
            </w:r>
          </w:p>
          <w:p w:rsidR="00DB3BD0" w:rsidRDefault="00DB3BD0" w:rsidP="00DB3BD0">
            <w:pPr>
              <w:pStyle w:val="LTAnfrageText"/>
            </w:pPr>
          </w:p>
        </w:tc>
      </w:tr>
    </w:tbl>
    <w:p w:rsidR="00DB3BD0" w:rsidRDefault="00DB3BD0" w:rsidP="00DB3BD0">
      <w:pPr>
        <w:pStyle w:val="LTUeberschrAntwortRessort"/>
      </w:pPr>
      <w:r>
        <w:t>Antwort des Staatsministeriums des Innern, für Bau und Verkehr</w:t>
      </w:r>
    </w:p>
    <w:p w:rsidR="00DB3BD0" w:rsidRDefault="00DB3BD0" w:rsidP="00DB3BD0">
      <w:pPr>
        <w:pStyle w:val="LTAntwortRessortText"/>
      </w:pPr>
      <w:r>
        <w:t xml:space="preserve">Die Bayerische Polizei führt Kriminalaktennachweise landesweit einheitlich nach den Richtlinien für die Führung polizeilicher personenbezogener Sammlungen. Gespeichert werden </w:t>
      </w:r>
      <w:r w:rsidR="007F4A87">
        <w:t>–</w:t>
      </w:r>
      <w:r>
        <w:t xml:space="preserve"> mit en</w:t>
      </w:r>
      <w:r>
        <w:t>t</w:t>
      </w:r>
      <w:r>
        <w:t xml:space="preserve">sprechenden Ausnahmen </w:t>
      </w:r>
      <w:r w:rsidR="007F4A87">
        <w:t>–</w:t>
      </w:r>
      <w:r>
        <w:t xml:space="preserve"> auf Landesebene etwa personenbezogene Daten von Beschuldi</w:t>
      </w:r>
      <w:r>
        <w:t>g</w:t>
      </w:r>
      <w:r>
        <w:t>ten im Rahmen eines strafrechtlichen Ermittlungsverfahrens.</w:t>
      </w:r>
    </w:p>
    <w:p w:rsidR="00DB3BD0" w:rsidRDefault="00DB3BD0" w:rsidP="00DB3BD0">
      <w:pPr>
        <w:pStyle w:val="LTAntwortRessortText"/>
      </w:pPr>
      <w:r>
        <w:t>Für die Speicherung auf höherer Ebene, also auf Bundesebene, die wiederum nach einheitl</w:t>
      </w:r>
      <w:r>
        <w:t>i</w:t>
      </w:r>
      <w:r>
        <w:t>chen Vorschriften erfolgt, müssen bestimmte Kriterien erfüllt sein, wie beispielsweise das Vorli</w:t>
      </w:r>
      <w:r>
        <w:t>e</w:t>
      </w:r>
      <w:r>
        <w:t>gen eines Verbrechens oder eines schweren Vergehens. Andere Straftaten können auf Bunde</w:t>
      </w:r>
      <w:r>
        <w:t>s</w:t>
      </w:r>
      <w:r>
        <w:t xml:space="preserve">ebene gespeichert werden, wenn es sich um solche von </w:t>
      </w:r>
      <w:r w:rsidR="00FD4D2F">
        <w:t>„</w:t>
      </w:r>
      <w:r>
        <w:t>überregionaler Bedeutsamkeit</w:t>
      </w:r>
      <w:r w:rsidR="00FD4D2F">
        <w:t>“</w:t>
      </w:r>
      <w:r>
        <w:t xml:space="preserve"> ha</w:t>
      </w:r>
      <w:r>
        <w:t>n</w:t>
      </w:r>
      <w:r>
        <w:t>delt, wozu auch eine gewohnheits-, gewerbs- oder bandenmäßige Begehung zählen kann.</w:t>
      </w:r>
    </w:p>
    <w:p w:rsidR="00DB3BD0" w:rsidRDefault="00DB3BD0" w:rsidP="00DB3BD0">
      <w:pPr>
        <w:pStyle w:val="LTAntwortRessortText"/>
      </w:pPr>
      <w:r>
        <w:t>Im Rahmen der polizeilichen Sachbearbeitung ist in jedem Einzelfall zu prüfen, inwiefern diese Merkmale vorliegen und damit eine zentrale, bundesweite Erfassung und Speicherung in zentr</w:t>
      </w:r>
      <w:r>
        <w:t>a</w:t>
      </w:r>
      <w:r>
        <w:t>len, bundesweiten Datenbanken möglich ist.</w:t>
      </w: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Margarete</w:t>
            </w:r>
            <w:r w:rsidRPr="00DB3BD0">
              <w:rPr>
                <w:b/>
              </w:rPr>
              <w:br/>
              <w:t>Bause</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7" w:name="_Toc475001261"/>
            <w:r>
              <w:instrText>Bause, Margarete (BÜNDNIS 90/DIE GRÜNEN)</w:instrText>
            </w:r>
            <w:r>
              <w:br/>
              <w:instrText>Asylbewerberinnen und -bewerber aus der Türkei</w:instrText>
            </w:r>
            <w:bookmarkEnd w:id="7"/>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 xml:space="preserve">Ich frage die Staatsregierung, wie viele Asylbewerberinnen und -bewerber aus der Türkei sind in Bayern untergebracht, ist Asylbewerberinnen und </w:t>
            </w:r>
            <w:r w:rsidR="007F4A87">
              <w:br/>
            </w:r>
            <w:r>
              <w:t>-bewerbern aus der Türkei der Zugang zu Arbeit und der Besuch von Sch</w:t>
            </w:r>
            <w:r>
              <w:t>u</w:t>
            </w:r>
            <w:r>
              <w:t>len (Berufsschulen sind hier ebenfalls zu berücksichtigen) auch nach einer Ablehnung ihres Asylantrages möglich, und gibt es seitens der Staatsregi</w:t>
            </w:r>
            <w:r>
              <w:t>e</w:t>
            </w:r>
            <w:r>
              <w:t>rung einen Erlass an die Ausländerbehörden, für türkische Asylbewerberi</w:t>
            </w:r>
            <w:r>
              <w:t>n</w:t>
            </w:r>
            <w:r>
              <w:t>nen und -bewerber nach der Ablehnung ihres Asylantrages bzw. während des Asylverfahrens den Zugang zu Arbeit und den Besuch der Schulen (B</w:t>
            </w:r>
            <w:r>
              <w:t>e</w:t>
            </w:r>
            <w:r>
              <w:t>rufsschulen sind hier ebenfalls zu berücksichtigen) zu verhindern (bitte den Wortlaut eines möglichen Erlasses der Antwort beifügen)?</w:t>
            </w:r>
          </w:p>
          <w:p w:rsidR="00DB3BD0" w:rsidRDefault="00DB3BD0" w:rsidP="00DB3BD0">
            <w:pPr>
              <w:pStyle w:val="LTAnfrageText"/>
            </w:pPr>
          </w:p>
        </w:tc>
      </w:tr>
    </w:tbl>
    <w:p w:rsidR="00E640D1" w:rsidRDefault="00E640D1" w:rsidP="00DB3BD0">
      <w:pPr>
        <w:pStyle w:val="LTUeberschrAntwortRessort"/>
      </w:pPr>
    </w:p>
    <w:p w:rsidR="00DB3BD0" w:rsidRDefault="00DB3BD0" w:rsidP="00DB3BD0">
      <w:pPr>
        <w:pStyle w:val="LTUeberschrAntwortRessort"/>
      </w:pPr>
      <w:r>
        <w:lastRenderedPageBreak/>
        <w:t>Antwort des Staatsministeriums des Innern, für Bau und Verkehr</w:t>
      </w:r>
    </w:p>
    <w:p w:rsidR="00DB3BD0" w:rsidRDefault="00DB3BD0" w:rsidP="00DB3BD0">
      <w:pPr>
        <w:pStyle w:val="LTAntwortRessortText"/>
      </w:pPr>
      <w:r>
        <w:t>Zum 31.</w:t>
      </w:r>
      <w:r w:rsidR="00DD14C6">
        <w:t xml:space="preserve"> Januar </w:t>
      </w:r>
      <w:r>
        <w:t>2017 hielten sich in Bayern gemäß Ausländerzentralregister 524 türkische Asy</w:t>
      </w:r>
      <w:r>
        <w:t>l</w:t>
      </w:r>
      <w:r>
        <w:t>bewerbe</w:t>
      </w:r>
      <w:r w:rsidR="00DD14C6">
        <w:t>rinnen und -</w:t>
      </w:r>
      <w:r>
        <w:t>bewerber auf. Für den Zugang zu Arbeit gelten für abgelehnte türkische Asylbewer</w:t>
      </w:r>
      <w:r w:rsidR="00DD14C6">
        <w:t>berinnen und -</w:t>
      </w:r>
      <w:r>
        <w:t>bewerber die allgemeinen aufenthaltsrechtlichen Bestimmungen zur Ausländerbeschäftigung. Soweit die altersmäßigen und sonstigen Voraussetzungen vorliegen, unterliegen auch die abgele</w:t>
      </w:r>
      <w:r w:rsidR="00DD14C6">
        <w:t>hnten Asylbewerberinnen und -</w:t>
      </w:r>
      <w:r>
        <w:t>bewerbern aus der Türkei der Schu</w:t>
      </w:r>
      <w:r>
        <w:t>l</w:t>
      </w:r>
      <w:r>
        <w:t>pflicht, einschließlich der Pflicht zum Besuch der Berufsschule. Besondere Vollzugshinweise für die Ausländerbehörden betreffend türkische Asylbewerber</w:t>
      </w:r>
      <w:r w:rsidR="00DD14C6">
        <w:t>innen und -bewerber</w:t>
      </w:r>
      <w:r>
        <w:t xml:space="preserve"> im laufenden Verfahren und nach Ablehnung eines Asylantrags gibt es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00CD0DB5">
              <w:rPr>
                <w:b/>
              </w:rPr>
              <w:t>Florian</w:t>
            </w:r>
            <w:r w:rsidR="00CD0DB5">
              <w:rPr>
                <w:b/>
              </w:rPr>
              <w:br/>
              <w:t>von B</w:t>
            </w:r>
            <w:r w:rsidRPr="00DB3BD0">
              <w:rPr>
                <w:b/>
              </w:rPr>
              <w:t>runn</w:t>
            </w:r>
            <w:r w:rsidRPr="00DB3BD0">
              <w:rPr>
                <w:b/>
              </w:rPr>
              <w:br/>
            </w:r>
            <w:r w:rsidRPr="00DB3BD0">
              <w:t>(SPD)</w:t>
            </w:r>
            <w:r>
              <w:fldChar w:fldCharType="begin"/>
            </w:r>
            <w:r>
              <w:instrText xml:space="preserve"> TC </w:instrText>
            </w:r>
            <w:r w:rsidR="00FD4D2F">
              <w:instrText>„</w:instrText>
            </w:r>
            <w:bookmarkStart w:id="8" w:name="_Toc475001262"/>
            <w:r>
              <w:instrText>Brunn, Florian (SPD)</w:instrText>
            </w:r>
            <w:r>
              <w:br/>
              <w:instrText>Jodl-Gedenkstein auf der Fraueninsel</w:instrText>
            </w:r>
            <w:bookmarkEnd w:id="8"/>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ein Gedenkstein auf dem Friedhof der Fraueninsel im Chiemsee für den in den Nürnberger Prozessen als Hauptkriegsverbrecher zum Tode verurteilten Alfred Jodl, Chef des Wehrmachtführungsstabs des Oberko</w:t>
            </w:r>
            <w:r>
              <w:t>m</w:t>
            </w:r>
            <w:r>
              <w:t>mandos der Wehrmacht, kontroverse öffentliche Debatten auslöst, frage ich die Staatsregierung, wegen welcher konkreten Verbrechen, insbesondere Verbrechen gegen die Menschlichkeit, Alfred Jodl in Nürnberg zum Tode verurteilt wurde, ob es aus der Sicht der Staatsregierung rechtlich zulässig ist, ein derartiges Denkmal für einen verurteilten NS-Kriegsverbrecher zu dulden, und seit wann die Staatsregierung über die Existenz dieses Geden</w:t>
            </w:r>
            <w:r>
              <w:t>k</w:t>
            </w:r>
            <w:r>
              <w:t xml:space="preserve">steins </w:t>
            </w:r>
            <w:r w:rsidR="00CA71B0">
              <w:t>–</w:t>
            </w:r>
            <w:r>
              <w:t xml:space="preserve"> in Form eines Eisernen Kreuzes </w:t>
            </w:r>
            <w:r w:rsidR="00CA71B0">
              <w:t>–</w:t>
            </w:r>
            <w:r>
              <w:t xml:space="preserve"> für einen verurteilten Kriegsve</w:t>
            </w:r>
            <w:r>
              <w:t>r</w:t>
            </w:r>
            <w:r>
              <w:t>brecher informiert ist?</w:t>
            </w:r>
          </w:p>
          <w:p w:rsidR="00DB3BD0" w:rsidRDefault="00DB3BD0" w:rsidP="00DB3BD0">
            <w:pPr>
              <w:pStyle w:val="LTAnfrageText"/>
            </w:pPr>
          </w:p>
        </w:tc>
      </w:tr>
    </w:tbl>
    <w:p w:rsidR="00DB3BD0" w:rsidRDefault="00DB3BD0" w:rsidP="00DB3BD0">
      <w:pPr>
        <w:pStyle w:val="LTUeberschrAntwortRessort"/>
      </w:pPr>
      <w:r>
        <w:t>Antwort des Staatsministeriums des Innern, für Bau und Verkehr</w:t>
      </w:r>
    </w:p>
    <w:p w:rsidR="00DB3BD0" w:rsidRDefault="00DB3BD0" w:rsidP="00DB3BD0">
      <w:pPr>
        <w:pStyle w:val="LTAntwortRessortText"/>
      </w:pPr>
      <w:r>
        <w:t>Die Staatsregierung hat den Landtag bereits im Rahmen von Petitionen, die in der Angelege</w:t>
      </w:r>
      <w:r>
        <w:t>n</w:t>
      </w:r>
      <w:r>
        <w:t xml:space="preserve">heit an den Landtag gerichtet worden waren, über den Sachverhalt des so genannten </w:t>
      </w:r>
      <w:r w:rsidR="00FD4D2F">
        <w:t>„</w:t>
      </w:r>
      <w:r>
        <w:t>Jodl-Grabs</w:t>
      </w:r>
      <w:r w:rsidR="00FD4D2F">
        <w:t>“</w:t>
      </w:r>
      <w:r>
        <w:t xml:space="preserve"> auf der Fraueninsel (Gemeinde Chiemsee) und dessen rechtliche Bewertung unterric</w:t>
      </w:r>
      <w:r>
        <w:t>h</w:t>
      </w:r>
      <w:r>
        <w:t>tet. Auf diese Stellungnahme und die Behandlung der Petitionen im Ausschuss für Wissenschaft und Kunst des Landtags nimmt die Staatsregierung Bezug. Alfred Jodl wurde als einer der Hauptkriegsverbrecher in den Nürnberger Prozessen wegen Verbrechen gegen die Menschlic</w:t>
      </w:r>
      <w:r>
        <w:t>h</w:t>
      </w:r>
      <w:r>
        <w:t>keit, Verbrechen gegen den Frieden, Kriegsverbrechen und Verschwörung zum Tod durch den Strang verurteilt. Welche Verbrechen das internationale Militärtribunal seinem Schuldspruch im Ein</w:t>
      </w:r>
      <w:r w:rsidR="00CA71B0">
        <w:t>zelnen zug</w:t>
      </w:r>
      <w:r>
        <w:t>runde ge</w:t>
      </w:r>
      <w:r w:rsidR="00CA71B0">
        <w:t>legt hat, kann durch das Studi</w:t>
      </w:r>
      <w:r>
        <w:t>um der allgemein und öffentlich für jede</w:t>
      </w:r>
      <w:r>
        <w:t>r</w:t>
      </w:r>
      <w:r>
        <w:t>mann zugänglichen geschichtswissenschaftlichen Fachliteratur und einschlägiger</w:t>
      </w:r>
      <w:r w:rsidR="00E003A4">
        <w:t xml:space="preserve"> historischer Materialien ohne W</w:t>
      </w:r>
      <w:r>
        <w:t>eiteres nachvollzogen werden. So wurden die Verhandlungsprotokolle und Materialien des Nürnberger Prozesses auf Anordnung des gerichtsführenden internationalen M</w:t>
      </w:r>
      <w:r>
        <w:t>i</w:t>
      </w:r>
      <w:r>
        <w:t>litärtribunals nach Abschluss der Verhandlungen publiziert. Wesentliche Teile dieser Publikation stehen in digitaler Fassung im Internet zur Verfügung.</w:t>
      </w:r>
    </w:p>
    <w:p w:rsidR="00DB3BD0" w:rsidRDefault="00CA71B0" w:rsidP="00DB3BD0">
      <w:pPr>
        <w:pStyle w:val="LTAntwortRessortText"/>
      </w:pPr>
      <w:r>
        <w:t>Beim so</w:t>
      </w:r>
      <w:r w:rsidR="00DB3BD0">
        <w:t>genannten Jodl-Grab auf dem Friedhof der Fraueninsel handelt es sich nicht um ein ö</w:t>
      </w:r>
      <w:r w:rsidR="00DB3BD0">
        <w:t>f</w:t>
      </w:r>
      <w:r w:rsidR="00DB3BD0">
        <w:t>fentliches Denkmal für einen verurteilten NS-Kriegsverbrecher, sondern um ein im Eigentum der Grabnutzungsberechtigten stehendes Familiengrab, das seit 1953 besteht und in dem die be</w:t>
      </w:r>
      <w:r w:rsidR="00DB3BD0">
        <w:t>i</w:t>
      </w:r>
      <w:r w:rsidR="00DB3BD0">
        <w:t>den Ehefrauen von Alfred Jodl bestattet sind. Ob das Grab unverändert noch bis zum Auslaufen des Nut</w:t>
      </w:r>
      <w:r>
        <w:t xml:space="preserve">zungsrechts am 25. Januar </w:t>
      </w:r>
      <w:r w:rsidR="00DB3BD0">
        <w:t>2018 geduldet werden kann, ist eine Ermessensentsche</w:t>
      </w:r>
      <w:r w:rsidR="00DB3BD0">
        <w:t>i</w:t>
      </w:r>
      <w:r w:rsidR="00DB3BD0">
        <w:t>dung, die die Gemeinde als Friedhofsträgerin im Rahmen ihres kommunalen Selbstverwaltung</w:t>
      </w:r>
      <w:r w:rsidR="00DB3BD0">
        <w:t>s</w:t>
      </w:r>
      <w:r w:rsidR="00DB3BD0">
        <w:t>rechts eigenverantwortlich zu treffen hat. Sie hat nach Abwägung aller Umstände entschieden, dass das Nutzungsrecht über den 25</w:t>
      </w:r>
      <w:r>
        <w:t xml:space="preserve">. Januar </w:t>
      </w:r>
      <w:r w:rsidR="00DB3BD0">
        <w:t>2018 hinaus nicht mehr verlängert wird und das Grab anschließend zu beseitigen ist. Dabei hat sie in ihre Überlegungen sowohl die Eigentum</w:t>
      </w:r>
      <w:r w:rsidR="00DB3BD0">
        <w:t>s</w:t>
      </w:r>
      <w:r w:rsidR="00DB3BD0">
        <w:lastRenderedPageBreak/>
        <w:t>rechte der Familie als auch den Umstand einbezogen, dass der Grabstein nach ihren Erkenn</w:t>
      </w:r>
      <w:r w:rsidR="00DB3BD0">
        <w:t>t</w:t>
      </w:r>
      <w:r w:rsidR="00DB3BD0">
        <w:t>nissen, die vom Landesamt für Verfassungsschutz bestätigt worden sind, bis dahin kein Anzi</w:t>
      </w:r>
      <w:r w:rsidR="00DB3BD0">
        <w:t>e</w:t>
      </w:r>
      <w:r w:rsidR="00DB3BD0">
        <w:t>hungspunkt für Personen oder Gruppen mit einschlägigem rechtsextremem Gedankengut war. Die Würde des Friedhofs war daher nicht beeinträchtigt. Maßnahmen der staatlichen Komm</w:t>
      </w:r>
      <w:r w:rsidR="00DB3BD0">
        <w:t>u</w:t>
      </w:r>
      <w:r w:rsidR="00DB3BD0">
        <w:t>nalaufsicht wären unzulässig, da die Gemeinde den gesetzlichen Rahmen ihres Ermessens nicht überschritten und nicht gegen Rechtsvorschriften verstoßen hat. Es gibt auch keine rechtl</w:t>
      </w:r>
      <w:r w:rsidR="00DB3BD0">
        <w:t>i</w:t>
      </w:r>
      <w:r w:rsidR="00DB3BD0">
        <w:t>chen Vorschriften, die es verbieten, mit der Inschrift eines Grabmals an dort nicht bestattete F</w:t>
      </w:r>
      <w:r w:rsidR="00DB3BD0">
        <w:t>a</w:t>
      </w:r>
      <w:r w:rsidR="00DB3BD0">
        <w:t>milienangehörige zu erinnern.</w:t>
      </w:r>
    </w:p>
    <w:p w:rsidR="0021513E" w:rsidRDefault="0021513E" w:rsidP="00DB3BD0">
      <w:pPr>
        <w:pStyle w:val="LTAntwortRessortText"/>
        <w:rPr>
          <w:b/>
        </w:rPr>
      </w:pPr>
      <w:r>
        <w:rPr>
          <w:b/>
        </w:rPr>
        <w:t>Ergänzende Antwort des Staatsministeriums des Innern, für Bau und Verkehr vom 20. Februar 2017:</w:t>
      </w:r>
    </w:p>
    <w:p w:rsidR="0021513E" w:rsidRDefault="0021513E" w:rsidP="00DB3BD0">
      <w:pPr>
        <w:pStyle w:val="LTAntwortRessortText"/>
      </w:pPr>
      <w:r w:rsidRPr="0021513E">
        <w:t>Der Grabstein wurde nach Auskunft der Gemeinde in der jetzigen Form in der Zeit ab Ende A</w:t>
      </w:r>
      <w:r w:rsidRPr="0021513E">
        <w:t>u</w:t>
      </w:r>
      <w:r w:rsidRPr="0021513E">
        <w:t>gust 1953 auf dem öffentlich zugänglichen Friedhof der Fraueninsel errichtet. Abgesehen von der erstmaligen Befassun</w:t>
      </w:r>
      <w:r>
        <w:t xml:space="preserve">g der Kommunalabteilung im Staatsministerium des Innern, für Bau und Verkehr </w:t>
      </w:r>
      <w:r w:rsidRPr="0021513E">
        <w:t xml:space="preserve">mit einer Petition an den </w:t>
      </w:r>
      <w:r>
        <w:t xml:space="preserve">Landtag vom 23. April </w:t>
      </w:r>
      <w:r w:rsidRPr="0021513E">
        <w:t>2014 ist eine Kenntnis der Staat</w:t>
      </w:r>
      <w:r w:rsidRPr="0021513E">
        <w:t>s</w:t>
      </w:r>
      <w:r w:rsidRPr="0021513E">
        <w:t>regierung von diesem seit August 1953 öffentlich zugänglichen Grabstein schon zu einem früh</w:t>
      </w:r>
      <w:r w:rsidRPr="0021513E">
        <w:t>e</w:t>
      </w:r>
      <w:r w:rsidRPr="0021513E">
        <w:t>ren Zeitpunkt nicht ausgeschlossen. Von einer entsprechenden Abfrage in den einzelnen Re</w:t>
      </w:r>
      <w:r w:rsidRPr="0021513E">
        <w:t>s</w:t>
      </w:r>
      <w:r w:rsidRPr="0021513E">
        <w:t>sorts wurde abgesehen, da die u.a. händische Sichtung aller noch vorhandenen Aktenbestände und eine Abfrage bei allen ausgeschiedenen und aktiven Mitarbeiterinnen und Mitarbeitern e</w:t>
      </w:r>
      <w:r w:rsidRPr="0021513E">
        <w:t>i</w:t>
      </w:r>
      <w:r w:rsidRPr="0021513E">
        <w:t>nen unverhältnismäßig hohen Aufwand bedeuten würde.</w:t>
      </w:r>
    </w:p>
    <w:p w:rsidR="0067586E" w:rsidRPr="0021513E" w:rsidRDefault="0067586E"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Dr. Hans Jü</w:t>
            </w:r>
            <w:r w:rsidRPr="00DB3BD0">
              <w:rPr>
                <w:b/>
              </w:rPr>
              <w:t>r</w:t>
            </w:r>
            <w:r w:rsidRPr="00DB3BD0">
              <w:rPr>
                <w:b/>
              </w:rPr>
              <w:t>gen</w:t>
            </w:r>
            <w:r w:rsidRPr="00DB3BD0">
              <w:rPr>
                <w:b/>
              </w:rPr>
              <w:br/>
              <w:t>Fahn</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9" w:name="_Toc475001263"/>
            <w:r>
              <w:instrText>Dr. Fahn, Hans Jürgen (FREIE WÄHLER)</w:instrText>
            </w:r>
            <w:r>
              <w:br/>
              <w:instrText>Informationen zum Bayerischen Straßeninformationssystem (BAYSIS)</w:instrText>
            </w:r>
            <w:bookmarkEnd w:id="9"/>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das Bayerische Straßeninformationssystem (BAYSIS) die zentrale Informationsplattform der Bayerischen Straßenbauverwaltung ist und der Erfassung, Pflege und Auswertung straßenbezogener Fachinformationen dient, frage ich die Staatsregierung, ob die hier erfassten Verkehrsdaten sowie die Daten zum Straßenbestand (hier insbesondere die Fahrbahnbre</w:t>
            </w:r>
            <w:r>
              <w:t>i</w:t>
            </w:r>
            <w:r>
              <w:t>te) den Fachbehörden einen ersten Überblick über die Belastung einer Str</w:t>
            </w:r>
            <w:r>
              <w:t>a</w:t>
            </w:r>
            <w:r>
              <w:t>ße, deren Verkehrssicherheit sowie die Notwendigkeit bzw. Durchführbarkeit von verkehrlichen Veränderungen in dieser Straße geben und ob zur Beric</w:t>
            </w:r>
            <w:r>
              <w:t>h</w:t>
            </w:r>
            <w:r>
              <w:t>tigung einer Straßenbreite in BAYSIS eine konkrete Vermessung vor Ort durchgeführt werden muss oder ob die Ermittlung der Regelstraßenbreite auch anhand des hinterlegten Kartenmaterials und der Luftaufnahmen in BAYSIS erfolgen kann?</w:t>
            </w:r>
          </w:p>
          <w:p w:rsidR="00DB3BD0" w:rsidRDefault="00DB3BD0" w:rsidP="00DB3BD0">
            <w:pPr>
              <w:pStyle w:val="LTAnfrageText"/>
            </w:pPr>
          </w:p>
        </w:tc>
      </w:tr>
    </w:tbl>
    <w:p w:rsidR="00DB3BD0" w:rsidRDefault="00DB3BD0" w:rsidP="0067586E">
      <w:pPr>
        <w:pStyle w:val="LTUeberschrAntwortRessort"/>
        <w:spacing w:before="720"/>
      </w:pPr>
      <w:r>
        <w:t>Antwort des Staatsministeriums des Innern, für Bau und Verkehr</w:t>
      </w:r>
    </w:p>
    <w:p w:rsidR="00DB3BD0" w:rsidRDefault="00DB3BD0" w:rsidP="00DB3BD0">
      <w:pPr>
        <w:pStyle w:val="LTAntwortRessortText"/>
      </w:pPr>
      <w:r>
        <w:t>Das Bayerische Straßeninformationssystem (BAYSIS) ist die zentrale Informationsplattform der Bayerischen Straßenbauverwaltung. BAYSIS bildet das überörtliche Straßennetz des Freista</w:t>
      </w:r>
      <w:r>
        <w:t>a</w:t>
      </w:r>
      <w:r>
        <w:t>tes Bayern und seine wesentlichen Eigenschaften ab. Es dient der Erfassung, Pflege, Auswe</w:t>
      </w:r>
      <w:r>
        <w:t>r</w:t>
      </w:r>
      <w:r>
        <w:t>tung und Bereitstellung straßenbezogener Fachinformationen. Diese Informationen stehen in Teilen im Internet auch der Öffentlichkeit zur Verfügung.</w:t>
      </w:r>
    </w:p>
    <w:p w:rsidR="00DB3BD0" w:rsidRDefault="0067586E" w:rsidP="00DB3BD0">
      <w:pPr>
        <w:pStyle w:val="LTAntwortRessortText"/>
      </w:pPr>
      <w:r>
        <w:br w:type="column"/>
      </w:r>
      <w:r w:rsidR="00DB3BD0">
        <w:lastRenderedPageBreak/>
        <w:t>Für die Straßen in Verwaltung des Freistaat</w:t>
      </w:r>
      <w:r w:rsidR="00CA71B0">
        <w:t>e</w:t>
      </w:r>
      <w:r w:rsidR="00DB3BD0">
        <w:t xml:space="preserve">s </w:t>
      </w:r>
      <w:r w:rsidR="00CA71B0">
        <w:t>Bayern stehen mit BAYSIS u.</w:t>
      </w:r>
      <w:r w:rsidR="00DB3BD0">
        <w:t>a. folgende Fachi</w:t>
      </w:r>
      <w:r w:rsidR="00DB3BD0">
        <w:t>n</w:t>
      </w:r>
      <w:r w:rsidR="00DB3BD0">
        <w:t>formationen zur Verfügung:</w:t>
      </w:r>
    </w:p>
    <w:p w:rsidR="00DB3BD0" w:rsidRDefault="00CA71B0" w:rsidP="00CA71B0">
      <w:pPr>
        <w:pStyle w:val="LTAntwortRessortText"/>
        <w:numPr>
          <w:ilvl w:val="0"/>
          <w:numId w:val="25"/>
        </w:numPr>
        <w:spacing w:before="120"/>
        <w:ind w:left="1054" w:hanging="357"/>
      </w:pPr>
      <w:r>
        <w:t>Straßennetz (z.</w:t>
      </w:r>
      <w:r w:rsidR="00DB3BD0">
        <w:t>B. Abschnittsfolge, Straßenlänge, Linienzug in der Karte),</w:t>
      </w:r>
    </w:p>
    <w:p w:rsidR="00DB3BD0" w:rsidRDefault="00CA71B0" w:rsidP="00E640D1">
      <w:pPr>
        <w:pStyle w:val="LTAntwortRessortText"/>
        <w:numPr>
          <w:ilvl w:val="0"/>
          <w:numId w:val="25"/>
        </w:numPr>
        <w:spacing w:before="120"/>
        <w:ind w:left="1054" w:hanging="357"/>
      </w:pPr>
      <w:r>
        <w:t>Bestand (z.</w:t>
      </w:r>
      <w:r w:rsidR="00DB3BD0">
        <w:t>B. Querschnittsdaten),</w:t>
      </w:r>
    </w:p>
    <w:p w:rsidR="00DB3BD0" w:rsidRDefault="00CA71B0" w:rsidP="00E640D1">
      <w:pPr>
        <w:pStyle w:val="LTAntwortRessortText"/>
        <w:numPr>
          <w:ilvl w:val="0"/>
          <w:numId w:val="25"/>
        </w:numPr>
        <w:spacing w:before="120"/>
        <w:ind w:left="1054" w:hanging="357"/>
      </w:pPr>
      <w:r>
        <w:t>Verkehr (z.</w:t>
      </w:r>
      <w:r w:rsidR="00DB3BD0">
        <w:t>B. Straßenverkehrszählung),</w:t>
      </w:r>
    </w:p>
    <w:p w:rsidR="00DB3BD0" w:rsidRDefault="00CA71B0" w:rsidP="00E640D1">
      <w:pPr>
        <w:pStyle w:val="LTAntwortRessortText"/>
        <w:numPr>
          <w:ilvl w:val="0"/>
          <w:numId w:val="25"/>
        </w:numPr>
        <w:spacing w:before="120"/>
        <w:ind w:left="1054" w:hanging="357"/>
      </w:pPr>
      <w:r>
        <w:t>Erhaltung (z.</w:t>
      </w:r>
      <w:r w:rsidR="00DB3BD0">
        <w:t>B. Zustandserfassung),</w:t>
      </w:r>
    </w:p>
    <w:p w:rsidR="00DB3BD0" w:rsidRDefault="00CA71B0" w:rsidP="00E640D1">
      <w:pPr>
        <w:pStyle w:val="LTAntwortRessortText"/>
        <w:numPr>
          <w:ilvl w:val="0"/>
          <w:numId w:val="25"/>
        </w:numPr>
        <w:spacing w:before="120"/>
        <w:ind w:left="1054" w:hanging="357"/>
      </w:pPr>
      <w:r>
        <w:t>Verkehrssicherheit (z.</w:t>
      </w:r>
      <w:r w:rsidR="00DB3BD0">
        <w:t>B. Unfallhäufungen),</w:t>
      </w:r>
    </w:p>
    <w:p w:rsidR="00DB3BD0" w:rsidRDefault="00CA71B0" w:rsidP="00E640D1">
      <w:pPr>
        <w:pStyle w:val="LTAntwortRessortText"/>
        <w:numPr>
          <w:ilvl w:val="0"/>
          <w:numId w:val="25"/>
        </w:numPr>
        <w:spacing w:before="120"/>
        <w:ind w:left="1054" w:hanging="357"/>
      </w:pPr>
      <w:r>
        <w:t>Bauwerke (z.</w:t>
      </w:r>
      <w:r w:rsidR="00DB3BD0">
        <w:t>B. Abmessung, Tragfähigkeit).</w:t>
      </w:r>
    </w:p>
    <w:p w:rsidR="00DB3BD0" w:rsidRDefault="00DB3BD0" w:rsidP="00DB3BD0">
      <w:pPr>
        <w:pStyle w:val="LTAntwortRessortText"/>
      </w:pPr>
      <w:r>
        <w:t>Die Straßenbreiten sind grundsätzli</w:t>
      </w:r>
      <w:r w:rsidR="00CA71B0">
        <w:t>ch in der Straßendatenbank TT-SI</w:t>
      </w:r>
      <w:r>
        <w:t>B</w:t>
      </w:r>
      <w:r w:rsidR="00CA71B0">
        <w:rPr>
          <w:rFonts w:cs="Arial"/>
        </w:rPr>
        <w:t>®</w:t>
      </w:r>
      <w:r>
        <w:t xml:space="preserve"> erfasst und können als Fachinformation abgerufen werden. Sie basieren regelmäßig auf früheren Vermessungen nach durchgeführten Neu- oder Ausbaumaßnahmen. Unabhängig davon besteht im BAYSIS-Karten</w:t>
      </w:r>
      <w:r w:rsidR="00CA71B0">
        <w:softHyphen/>
      </w:r>
      <w:r>
        <w:t>fenster die Möglichkeit, Entfernungen zu messen. Dadurch kann auch die Straßenbreite abg</w:t>
      </w:r>
      <w:r>
        <w:t>e</w:t>
      </w:r>
      <w:r>
        <w:t>schätzt werden. Es muss dabei jedoch beachtet werden, dass die Rasterbilder eine begrenzte Auflösung besitzen und von daher die gemessene Größe nur eine entsprechende Genauigkeit (von rund +/- 20 cm) aufweisen kann.</w:t>
      </w:r>
    </w:p>
    <w:p w:rsidR="00DB3BD0" w:rsidRDefault="00DB3BD0" w:rsidP="00DB3BD0">
      <w:pPr>
        <w:pStyle w:val="LTAntwortRessortText"/>
      </w:pPr>
      <w:r>
        <w:t>Insofern stehen für einen ersten Überblick zur Beurteilung der Situation viele wichtige Fachi</w:t>
      </w:r>
      <w:r>
        <w:t>n</w:t>
      </w:r>
      <w:r>
        <w:t>formationen zur Verfügung. Im Einzelfall können zur Beurteilung der Notwendigkeit bzw. Durc</w:t>
      </w:r>
      <w:r>
        <w:t>h</w:t>
      </w:r>
      <w:r>
        <w:t>führbarkeit von verkehrlichen Veränderungen dennoch ergänzende Erhebungen oder etwa eine Bestandsvermessung erforderlich sein. Dies trifft insbesondere dann zu, wenn es sich um ve</w:t>
      </w:r>
      <w:r>
        <w:t>r</w:t>
      </w:r>
      <w:r>
        <w:t>kehrliche Fragestellungen unter schwierigen Randbedingungen</w:t>
      </w:r>
      <w:r w:rsidR="00CA71B0">
        <w:t xml:space="preserve"> und beengten Verhältnissen (z.</w:t>
      </w:r>
      <w:r>
        <w:t>B. Ortsdurch</w:t>
      </w:r>
      <w:r w:rsidR="00CA71B0">
        <w:softHyphen/>
      </w:r>
      <w:r>
        <w:t>fah</w:t>
      </w:r>
      <w:r w:rsidR="00CA71B0">
        <w:t>r</w:t>
      </w:r>
      <w:r>
        <w:t>ten) handelt.</w:t>
      </w:r>
    </w:p>
    <w:p w:rsidR="0067586E" w:rsidRDefault="0067586E"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Prof. Dr. Peter Paul</w:t>
            </w:r>
            <w:r w:rsidRPr="00DB3BD0">
              <w:rPr>
                <w:b/>
              </w:rPr>
              <w:br/>
              <w:t>Gantzer</w:t>
            </w:r>
            <w:r w:rsidRPr="00DB3BD0">
              <w:rPr>
                <w:b/>
              </w:rPr>
              <w:br/>
            </w:r>
            <w:r w:rsidRPr="00DB3BD0">
              <w:t>(SPD)</w:t>
            </w:r>
            <w:r>
              <w:fldChar w:fldCharType="begin"/>
            </w:r>
            <w:r>
              <w:instrText xml:space="preserve"> TC </w:instrText>
            </w:r>
            <w:r w:rsidR="00FD4D2F">
              <w:instrText>„</w:instrText>
            </w:r>
            <w:bookmarkStart w:id="10" w:name="_Toc475001264"/>
            <w:r>
              <w:instrText>Prof. Dr. Gantzer, Peter Paul (SPD)</w:instrText>
            </w:r>
            <w:r>
              <w:br/>
              <w:instrText>Kriminalität im Bereich des Polizeipräsidiums München im Jahr 2016</w:instrText>
            </w:r>
            <w:bookmarkEnd w:id="10"/>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ist es richtig, dass die Kriminalität im Bereich des Polizeipräsidiums München im Jahr 2016 zugenommen hat, in welchen Feldern und weswegen werden die vorliegenden Zahlen nicht sofort verö</w:t>
            </w:r>
            <w:r>
              <w:t>f</w:t>
            </w:r>
            <w:r>
              <w:t>fentlicht?</w:t>
            </w:r>
          </w:p>
          <w:p w:rsidR="00DB3BD0" w:rsidRDefault="00DB3BD0" w:rsidP="00DB3BD0">
            <w:pPr>
              <w:pStyle w:val="LTAnfrageText"/>
            </w:pPr>
          </w:p>
        </w:tc>
      </w:tr>
    </w:tbl>
    <w:p w:rsidR="00DB3BD0" w:rsidRDefault="00DB3BD0" w:rsidP="0067586E">
      <w:pPr>
        <w:pStyle w:val="LTUeberschrAntwortRessort"/>
        <w:spacing w:before="840"/>
      </w:pPr>
      <w:r>
        <w:t>Antwort des Staatsministeriums des Innern, für Bau und Verkehr</w:t>
      </w:r>
    </w:p>
    <w:p w:rsidR="00DB3BD0" w:rsidRDefault="00DB3BD0" w:rsidP="00DB3BD0">
      <w:pPr>
        <w:pStyle w:val="LTAntwortRessortText"/>
      </w:pPr>
      <w:r>
        <w:t>Die Zahlen der Polizeilichen Kriminalstatistik (PKS) für das Kalenderjahr 2016 sind noch nicht abschließend erhoben, ausgewertet und geprüft. Geprüfte und valide Zahlen im Sinne der A</w:t>
      </w:r>
      <w:r>
        <w:t>n</w:t>
      </w:r>
      <w:r>
        <w:t>frage</w:t>
      </w:r>
      <w:r w:rsidR="00CA71B0">
        <w:t xml:space="preserve"> zum Plenum</w:t>
      </w:r>
      <w:r>
        <w:t xml:space="preserve"> werden zur PKS-Pressekonferenz im März 2017 vorliegen.</w:t>
      </w:r>
    </w:p>
    <w:p w:rsidR="0067586E" w:rsidRDefault="0067586E" w:rsidP="00DB3BD0">
      <w:pPr>
        <w:pStyle w:val="LTAntwortRessortText"/>
      </w:pP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w:t>
            </w:r>
            <w:r w:rsidRPr="00DB3BD0">
              <w:br/>
            </w:r>
            <w:r w:rsidRPr="00DB3BD0">
              <w:rPr>
                <w:b/>
              </w:rPr>
              <w:t>Alexandra</w:t>
            </w:r>
            <w:r w:rsidRPr="00DB3BD0">
              <w:rPr>
                <w:b/>
              </w:rPr>
              <w:br/>
              <w:t>Hiersemann</w:t>
            </w:r>
            <w:r w:rsidRPr="00DB3BD0">
              <w:rPr>
                <w:b/>
              </w:rPr>
              <w:br/>
            </w:r>
            <w:r w:rsidRPr="00DB3BD0">
              <w:t>(SPD)</w:t>
            </w:r>
            <w:r>
              <w:fldChar w:fldCharType="begin"/>
            </w:r>
            <w:r>
              <w:instrText xml:space="preserve"> TC </w:instrText>
            </w:r>
            <w:r w:rsidR="00FD4D2F">
              <w:instrText>„</w:instrText>
            </w:r>
            <w:bookmarkStart w:id="11" w:name="_Toc475001265"/>
            <w:r>
              <w:instrText>Hiersemann, Alexandra (SPD)</w:instrText>
            </w:r>
            <w:r>
              <w:br/>
              <w:instrText>Stellungnahme des Staatsministeriums des Innern, für Bau und Verkehr im Rahmen des Konsultationsverfahrens nach Ziff. 60a.1.3.2 der Allgemeinen Verwaltungsvorschrift zum Aufenthaltsgesetz</w:instrText>
            </w:r>
            <w:bookmarkEnd w:id="11"/>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die oberste Ausländerbehörde von Schleswig-Holstein eine dre</w:t>
            </w:r>
            <w:r>
              <w:t>i</w:t>
            </w:r>
            <w:r>
              <w:t>monatige Aussetzung von Abschiebungen nach Afghanistan gemäß § 60a Abs. 1 des Aufenthaltsgesetzes (AufenthG) angeordnet hat, um vor der Durchführung aufenthaltsbeendender Maßnahmen sicherstellen zu können, dass die Sicherheitslage aufenthaltsbeendenden Maßnahmen nicht entg</w:t>
            </w:r>
            <w:r>
              <w:t>e</w:t>
            </w:r>
            <w:r>
              <w:t>gensteht, frage ich die Staatsregierung, ob das Staatsministerium des I</w:t>
            </w:r>
            <w:r>
              <w:t>n</w:t>
            </w:r>
            <w:r>
              <w:t>nern, für Bau und Verkehr und wenn ja, mit welchem wörtlichen Inhalt im Konsultationsverfahren gemäß Ziff. 60a.1.3.2 der Allgemeinen Verwaltung</w:t>
            </w:r>
            <w:r>
              <w:t>s</w:t>
            </w:r>
            <w:r>
              <w:t>vorschrift zum Aufenthaltsgesetz eine Stellungnahme gegenüber dem Mini</w:t>
            </w:r>
            <w:r>
              <w:t>s</w:t>
            </w:r>
            <w:r>
              <w:t>terium für Inneres und Bundesangelegenheiten des Landes Schleswig-Holstein abgegeben hat?</w:t>
            </w:r>
          </w:p>
          <w:p w:rsidR="00DB3BD0" w:rsidRDefault="00DB3BD0" w:rsidP="00DB3BD0">
            <w:pPr>
              <w:pStyle w:val="LTAnfrageText"/>
            </w:pPr>
          </w:p>
        </w:tc>
      </w:tr>
    </w:tbl>
    <w:p w:rsidR="00DB3BD0" w:rsidRDefault="00DB3BD0" w:rsidP="0067586E">
      <w:pPr>
        <w:pStyle w:val="LTUeberschrAntwortRessort"/>
        <w:spacing w:before="720"/>
      </w:pPr>
      <w:r>
        <w:t>Antwort des Staatsministeriums des Innern, für Bau und Verkehr</w:t>
      </w:r>
    </w:p>
    <w:p w:rsidR="00DB3BD0" w:rsidRDefault="00CA71B0" w:rsidP="00DB3BD0">
      <w:pPr>
        <w:pStyle w:val="LTAntwortRessortText"/>
      </w:pPr>
      <w:r>
        <w:t xml:space="preserve">Der Staatsminister des Innern, für Bau und Verkehr, Joachim Herrmann, hat mit Schreiben vom 27. Januar </w:t>
      </w:r>
      <w:r w:rsidR="00DB3BD0">
        <w:t>2017 Stellung genommen. Der wörtliche Inhalt lautete wie folgt:</w:t>
      </w:r>
    </w:p>
    <w:p w:rsidR="00DB3BD0" w:rsidRDefault="00FD4D2F" w:rsidP="00CA71B0">
      <w:pPr>
        <w:pStyle w:val="LTAntwortRessortText"/>
        <w:spacing w:before="120"/>
      </w:pPr>
      <w:r>
        <w:t>„</w:t>
      </w:r>
      <w:r w:rsidR="00DB3BD0">
        <w:t>Konsultation zur vorübergehenden Aussetzung der Abschiebungen nach Afghanistan gem. §</w:t>
      </w:r>
      <w:r w:rsidR="000C74C3">
        <w:t> </w:t>
      </w:r>
      <w:r w:rsidR="00DB3BD0">
        <w:t>60a AufenthG</w:t>
      </w:r>
    </w:p>
    <w:p w:rsidR="00DB3BD0" w:rsidRDefault="00DB3BD0" w:rsidP="00CA71B0">
      <w:pPr>
        <w:pStyle w:val="LTAntwortRessortText"/>
        <w:spacing w:before="120"/>
      </w:pPr>
      <w:r>
        <w:t>Sehr geehrter Herr Kollege, lieber Herr Studt,</w:t>
      </w:r>
    </w:p>
    <w:p w:rsidR="00DB3BD0" w:rsidRDefault="00DB3BD0" w:rsidP="00CA71B0">
      <w:pPr>
        <w:pStyle w:val="LTAntwortRessortText"/>
        <w:spacing w:before="120"/>
      </w:pPr>
      <w:r>
        <w:t>Ihr Schreiben vom 10. Januar 2017 zur vorübergehenden Aussetzung der Abschiebungen nach Afghanistan habe ich erhalten.</w:t>
      </w:r>
    </w:p>
    <w:p w:rsidR="00DB3BD0" w:rsidRDefault="00DB3BD0" w:rsidP="00CA71B0">
      <w:pPr>
        <w:pStyle w:val="LTAntwortRessortText"/>
        <w:spacing w:before="120"/>
      </w:pPr>
      <w:r>
        <w:t>Wie auch unsere Amtskollegen, Herr Bundesminister des Inne</w:t>
      </w:r>
      <w:r w:rsidR="00CA71B0">
        <w:t>rn Dr. de Maizière und Herr Mi</w:t>
      </w:r>
      <w:r>
        <w:t>ni</w:t>
      </w:r>
      <w:r>
        <w:t>s</w:t>
      </w:r>
      <w:r>
        <w:t>ter Caffier, bin ich der Auffassung, dass eine vorübergeh</w:t>
      </w:r>
      <w:r w:rsidR="00CA71B0">
        <w:t>ende Aussetzung der Abschiebun</w:t>
      </w:r>
      <w:r>
        <w:t>gen nach Afghanistan abzulehnen ist und ein völlig falsches Signal wäre.</w:t>
      </w:r>
    </w:p>
    <w:p w:rsidR="00DB3BD0" w:rsidRDefault="00DB3BD0" w:rsidP="00CA71B0">
      <w:pPr>
        <w:pStyle w:val="LTAntwortRessortText"/>
        <w:spacing w:before="120"/>
      </w:pPr>
      <w:r>
        <w:t>Die Einschätzung des Bundesinnenministeriums und des A</w:t>
      </w:r>
      <w:r w:rsidR="00CA71B0">
        <w:t>uswärtigen Amtes lassen Rückfüh</w:t>
      </w:r>
      <w:r w:rsidR="00CA71B0">
        <w:t>r</w:t>
      </w:r>
      <w:r>
        <w:t>rungen in gesicherte afghanische Provinzen zu. Bedrohungen durch radikale Kräfte sind nicht a</w:t>
      </w:r>
      <w:r>
        <w:t>l</w:t>
      </w:r>
      <w:r>
        <w:t>lein ein Problem Afghanistans, sondern auch in vielen Teilen der Welt leider allgegenwärtig. A</w:t>
      </w:r>
      <w:r>
        <w:t>f</w:t>
      </w:r>
      <w:r>
        <w:t>ghanische Sicherheitskräfte sorgen mit Unterstützung deutscher Bundeswehrsoldaten und Pol</w:t>
      </w:r>
      <w:r>
        <w:t>i</w:t>
      </w:r>
      <w:r>
        <w:t xml:space="preserve">zisten für die Sicherheit der dort lebenden Menschen und </w:t>
      </w:r>
      <w:r w:rsidR="00CA71B0">
        <w:t>für eine weitere Stabilisierung</w:t>
      </w:r>
      <w:r>
        <w:t xml:space="preserve"> des Landes.</w:t>
      </w:r>
    </w:p>
    <w:p w:rsidR="00DB3BD0" w:rsidRDefault="00DB3BD0" w:rsidP="00CA71B0">
      <w:pPr>
        <w:pStyle w:val="LTAntwortRessortText"/>
        <w:spacing w:before="120"/>
      </w:pPr>
      <w:r>
        <w:t xml:space="preserve">Eine Aussetzung wäre vor diesem Hintergrund nicht nur ein falsches Signal an die </w:t>
      </w:r>
      <w:r w:rsidR="00CA71B0">
        <w:t>Öffentlich</w:t>
      </w:r>
      <w:r>
        <w:t>keit, sondern auch eine Abkehr vom rechtlich gebotenen Vollzug</w:t>
      </w:r>
      <w:r w:rsidR="00CA71B0">
        <w:t xml:space="preserve"> des Asyl- und des Aufenthalts</w:t>
      </w:r>
      <w:r>
        <w:t>g</w:t>
      </w:r>
      <w:r>
        <w:t>e</w:t>
      </w:r>
      <w:r>
        <w:t>setzes.</w:t>
      </w:r>
    </w:p>
    <w:p w:rsidR="00CA71B0" w:rsidRDefault="00DB3BD0" w:rsidP="00CA71B0">
      <w:pPr>
        <w:pStyle w:val="LTAntwortRessortText"/>
        <w:spacing w:before="120"/>
      </w:pPr>
      <w:r>
        <w:t xml:space="preserve">Mit freundlichen Grüßen </w:t>
      </w:r>
    </w:p>
    <w:p w:rsidR="0067586E" w:rsidRDefault="00DB3BD0" w:rsidP="00CA71B0">
      <w:pPr>
        <w:pStyle w:val="LTAntwortRessortText"/>
        <w:spacing w:before="120"/>
      </w:pPr>
      <w:r>
        <w:t>Joachim Herrmann</w:t>
      </w:r>
      <w:r w:rsidR="00FD4D2F">
        <w:t>“</w:t>
      </w:r>
    </w:p>
    <w:p w:rsidR="0067586E" w:rsidRDefault="0067586E">
      <w:r>
        <w:br w:type="page"/>
      </w:r>
    </w:p>
    <w:p w:rsidR="00DB3BD0" w:rsidRDefault="00DB3BD0" w:rsidP="00CA71B0">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67586E">
        <w:tc>
          <w:tcPr>
            <w:tcW w:w="2039" w:type="dxa"/>
            <w:shd w:val="clear" w:color="auto" w:fill="auto"/>
          </w:tcPr>
          <w:p w:rsidR="00DB3BD0" w:rsidRPr="00DB3BD0" w:rsidRDefault="0067586E" w:rsidP="00DB3BD0">
            <w:pPr>
              <w:pStyle w:val="LTNumAnfrageIni1"/>
            </w:pPr>
            <w:r>
              <w:br w:type="column"/>
            </w:r>
            <w:r w:rsidR="00DB3BD0" w:rsidRPr="00DB3BD0">
              <w:t>Abgeordnete</w:t>
            </w:r>
            <w:r w:rsidR="00DB3BD0" w:rsidRPr="00DB3BD0">
              <w:br/>
            </w:r>
            <w:r w:rsidR="00DB3BD0" w:rsidRPr="00DB3BD0">
              <w:rPr>
                <w:b/>
              </w:rPr>
              <w:t>Christine</w:t>
            </w:r>
            <w:r w:rsidR="00DB3BD0" w:rsidRPr="00DB3BD0">
              <w:rPr>
                <w:b/>
              </w:rPr>
              <w:br/>
              <w:t>Kamm</w:t>
            </w:r>
            <w:r w:rsidR="00DB3BD0" w:rsidRPr="00DB3BD0">
              <w:rPr>
                <w:b/>
              </w:rPr>
              <w:br/>
            </w:r>
            <w:r w:rsidR="00DB3BD0" w:rsidRPr="00DB3BD0">
              <w:t>(BÜNDNIS 90/DIE GR</w:t>
            </w:r>
            <w:r w:rsidR="00DB3BD0" w:rsidRPr="00DB3BD0">
              <w:t>Ü</w:t>
            </w:r>
            <w:r w:rsidR="00DB3BD0" w:rsidRPr="00DB3BD0">
              <w:t>NEN)</w:t>
            </w:r>
            <w:r w:rsidR="00DB3BD0">
              <w:fldChar w:fldCharType="begin"/>
            </w:r>
            <w:r w:rsidR="00DB3BD0">
              <w:instrText xml:space="preserve"> TC </w:instrText>
            </w:r>
            <w:r w:rsidR="00FD4D2F">
              <w:instrText>„</w:instrText>
            </w:r>
            <w:bookmarkStart w:id="12" w:name="_Toc475001266"/>
            <w:r w:rsidR="00DB3BD0">
              <w:instrText>Kamm, Christine (BÜNDNIS 90/DIE GRÜNEN)</w:instrText>
            </w:r>
            <w:r w:rsidR="00DB3BD0">
              <w:br/>
              <w:instrText>Sammelabschiebungen nach Afghanistan</w:instrText>
            </w:r>
            <w:bookmarkEnd w:id="12"/>
            <w:r w:rsidR="00DB3BD0">
              <w:instrText xml:space="preserve"> </w:instrText>
            </w:r>
            <w:r w:rsidR="00FD4D2F">
              <w:instrText>„</w:instrText>
            </w:r>
            <w:r w:rsidR="00DB3BD0">
              <w:instrText xml:space="preserve"> \l 2 </w:instrText>
            </w:r>
            <w:r w:rsidR="00DB3BD0">
              <w:fldChar w:fldCharType="end"/>
            </w:r>
          </w:p>
        </w:tc>
        <w:tc>
          <w:tcPr>
            <w:tcW w:w="7040" w:type="dxa"/>
            <w:shd w:val="clear" w:color="auto" w:fill="auto"/>
          </w:tcPr>
          <w:p w:rsidR="00DB3BD0" w:rsidRDefault="00DB3BD0" w:rsidP="00DB3BD0">
            <w:pPr>
              <w:pStyle w:val="LTAnfrageText"/>
            </w:pPr>
            <w:r>
              <w:t>Ich frage die Staatsregierung, wie viele Personen bei den Sammelabschi</w:t>
            </w:r>
            <w:r>
              <w:t>e</w:t>
            </w:r>
            <w:r>
              <w:t>bungen am 14. Dezember 2016 und 23. Januar 2017 aus Bayern nach A</w:t>
            </w:r>
            <w:r>
              <w:t>f</w:t>
            </w:r>
            <w:r>
              <w:t>ghanistan dabei waren (bitte detaillierte Auflistung der Aufenthaltsorte in Bayern und die jeweilige Dauer der Aufenthalte in der Bundesrepublik Deutschland angeben), wie viele der am 14. Dezember 2016 und 23. Januar 2017 zur Abschiebung vorgesehenen Personen hatten vorher an der B</w:t>
            </w:r>
            <w:r>
              <w:t>e</w:t>
            </w:r>
            <w:r>
              <w:t>schaffung ihrer Ausweispapiere mitgewirkt und/oder waren in Deutschland oder Europa straffällig geworden (bitte die jeweiligen Delikte angeben)?</w:t>
            </w:r>
          </w:p>
          <w:p w:rsidR="00DB3BD0" w:rsidRDefault="00DB3BD0" w:rsidP="00DB3BD0">
            <w:pPr>
              <w:pStyle w:val="LTAnfrageText"/>
            </w:pPr>
          </w:p>
        </w:tc>
      </w:tr>
    </w:tbl>
    <w:p w:rsidR="00DB3BD0" w:rsidRDefault="00DB3BD0" w:rsidP="00E640D1">
      <w:pPr>
        <w:pStyle w:val="LTUeberschrAntwortRessort"/>
        <w:spacing w:before="360"/>
      </w:pPr>
      <w:r>
        <w:t>Antwort des Staatsministeriums des Innern, für Bau und Verkehr</w:t>
      </w:r>
    </w:p>
    <w:p w:rsidR="00DB3BD0" w:rsidRDefault="00DB3BD0" w:rsidP="00DB3BD0">
      <w:pPr>
        <w:pStyle w:val="LTAntwortRessortText"/>
      </w:pPr>
      <w:r>
        <w:t>Für</w:t>
      </w:r>
      <w:r w:rsidR="00CA71B0">
        <w:t xml:space="preserve"> die Sammelabschiebung am 14. Dezember </w:t>
      </w:r>
      <w:r>
        <w:t>2016 waren aus Bayern 21 vollziehbar ausre</w:t>
      </w:r>
      <w:r>
        <w:t>i</w:t>
      </w:r>
      <w:r>
        <w:t>sepflichtige afghanische Männer vorgesehen, von denen acht abgeschoben werden konnten. Für die Sammelab</w:t>
      </w:r>
      <w:r w:rsidR="00CA71B0">
        <w:t xml:space="preserve">schiebung am 23. Januar </w:t>
      </w:r>
      <w:r>
        <w:t>2017 waren aus Bayern 38 vollziehbar ausreis</w:t>
      </w:r>
      <w:r>
        <w:t>e</w:t>
      </w:r>
      <w:r>
        <w:t>pflichtige afghanische Männer vorgesehen, von denen 18 abgeschoben werden konnten. Die weiteren angefragten detaillierten Angaben können in der Kürze der zur Beantwortung der A</w:t>
      </w:r>
      <w:r>
        <w:t>n</w:t>
      </w:r>
      <w:r>
        <w:t>frage zum Plenum zur Verfügung stehenden Zeit nicht zuverlässig ermittelt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Ruth</w:t>
            </w:r>
            <w:r w:rsidRPr="00DB3BD0">
              <w:rPr>
                <w:b/>
              </w:rPr>
              <w:br/>
              <w:t>Müller</w:t>
            </w:r>
            <w:r w:rsidRPr="00DB3BD0">
              <w:rPr>
                <w:b/>
              </w:rPr>
              <w:br/>
            </w:r>
            <w:r w:rsidRPr="00DB3BD0">
              <w:t>(SPD)</w:t>
            </w:r>
            <w:r>
              <w:fldChar w:fldCharType="begin"/>
            </w:r>
            <w:r>
              <w:instrText xml:space="preserve"> TC </w:instrText>
            </w:r>
            <w:r w:rsidR="00FD4D2F">
              <w:instrText>„</w:instrText>
            </w:r>
            <w:bookmarkStart w:id="13" w:name="_Toc475001267"/>
            <w:r>
              <w:instrText>Müller, Ruth (SPD)</w:instrText>
            </w:r>
            <w:r>
              <w:br/>
              <w:instrText>Ganzheitliches Konzept\</w:instrText>
            </w:r>
            <w:r w:rsidR="00FD4D2F">
              <w:instrText>“</w:instrText>
            </w:r>
            <w:r>
              <w:instrText xml:space="preserve"> zur Verteilung der 2000 zusätzlichen Stellen im Polizeidienst</w:instrText>
            </w:r>
            <w:bookmarkEnd w:id="13"/>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E003A4">
            <w:pPr>
              <w:pStyle w:val="LTAnfrageText"/>
            </w:pPr>
            <w:r>
              <w:t xml:space="preserve">Ich frage die Staatsregierung, ist die Zusage des Staatsministers des Innern, für Bau und Verkehr, Joachim Herrmann, auf einer CSU-Regionalkonferenz, im nördlichen Oberbayern die Polizeipräsenz </w:t>
            </w:r>
            <w:r w:rsidR="00FD4D2F">
              <w:t>„</w:t>
            </w:r>
            <w:r>
              <w:t>überproportional auszuba</w:t>
            </w:r>
            <w:r>
              <w:t>u</w:t>
            </w:r>
            <w:r>
              <w:t>en</w:t>
            </w:r>
            <w:r w:rsidR="00FD4D2F">
              <w:t>“</w:t>
            </w:r>
            <w:r w:rsidR="00E003A4">
              <w:t>,</w:t>
            </w:r>
            <w:r>
              <w:t xml:space="preserve"> Teil des in der Antwort auf meine Anfrage zum Plenum vom 23. Januar 2017 (Drs. 17/15150) seitens des Staatsministeriums des Innern, für Bau und Verkehr angesprochenen </w:t>
            </w:r>
            <w:r w:rsidR="00FD4D2F">
              <w:t>„</w:t>
            </w:r>
            <w:r>
              <w:t>ganzheitlichen Konzepts</w:t>
            </w:r>
            <w:r w:rsidR="00FD4D2F">
              <w:t>“</w:t>
            </w:r>
            <w:r>
              <w:t xml:space="preserve"> zur Verteilung der 2</w:t>
            </w:r>
            <w:r w:rsidR="00883639">
              <w:t>.</w:t>
            </w:r>
            <w:r>
              <w:t xml:space="preserve">000 zusätzlichen Stellen im Polizeidienst, und welche bayerische Region soll aus seiner Sicht </w:t>
            </w:r>
            <w:r w:rsidR="00FD4D2F">
              <w:t>„</w:t>
            </w:r>
            <w:r>
              <w:t>unterproportional</w:t>
            </w:r>
            <w:r w:rsidR="00FD4D2F">
              <w:t>“</w:t>
            </w:r>
            <w:r>
              <w:t xml:space="preserve"> bedacht werden?</w:t>
            </w:r>
          </w:p>
        </w:tc>
      </w:tr>
    </w:tbl>
    <w:p w:rsidR="00DB3BD0" w:rsidRDefault="00DB3BD0" w:rsidP="00DB3BD0">
      <w:pPr>
        <w:pStyle w:val="LTUeberschrAntwortRessort"/>
      </w:pPr>
      <w:r>
        <w:t>Antwort des Staatsministeriums des Innern, für Bau und Verkehr</w:t>
      </w:r>
    </w:p>
    <w:p w:rsidR="00DB3BD0" w:rsidRDefault="00DB3BD0" w:rsidP="00DB3BD0">
      <w:pPr>
        <w:pStyle w:val="LTAntwortRessortText"/>
      </w:pPr>
      <w:r>
        <w:t xml:space="preserve">Es ist richtig, dass sich </w:t>
      </w:r>
      <w:r w:rsidR="00CA71B0">
        <w:t>die</w:t>
      </w:r>
      <w:r>
        <w:t xml:space="preserve"> Festlegung auf das derzeit unter Federführung des Staatsminister</w:t>
      </w:r>
      <w:r>
        <w:t>i</w:t>
      </w:r>
      <w:r>
        <w:t xml:space="preserve">ums des Innern, für Bau und Verkehr </w:t>
      </w:r>
      <w:r w:rsidR="00E003A4">
        <w:t xml:space="preserve">(StMI) </w:t>
      </w:r>
      <w:r>
        <w:t>unter Einbeziehung aller Verbände der Bayerischen Polizei zu erarbeitende ganzheitliche Konzept zur belastungsorientierten Verteilung neuer Sol</w:t>
      </w:r>
      <w:r>
        <w:t>l</w:t>
      </w:r>
      <w:r>
        <w:t>stellen bezieht.</w:t>
      </w:r>
    </w:p>
    <w:p w:rsidR="00DB3BD0" w:rsidRDefault="00DB3BD0" w:rsidP="00DB3BD0">
      <w:pPr>
        <w:pStyle w:val="LTAntwortRessortText"/>
      </w:pPr>
      <w:r>
        <w:t>Die über die jeweiligen Haushaltsgesetze zur Verfügung gestellten dauerhaften Planstellen für Beamte werden den Polizeiverbänden als Sollstellen zugewiesen und ergeben dort auf Diens</w:t>
      </w:r>
      <w:r>
        <w:t>t</w:t>
      </w:r>
      <w:r>
        <w:t>stellenebene die planerische Organisationsvorgabe zur personellen Besetzung (Sollstärke). B</w:t>
      </w:r>
      <w:r>
        <w:t>e</w:t>
      </w:r>
      <w:r>
        <w:t>zogen auf die Ebene der regional zuständigen Polizeipräsidien ist es Ziel</w:t>
      </w:r>
      <w:r w:rsidR="00E003A4">
        <w:t xml:space="preserve"> des StMI</w:t>
      </w:r>
      <w:r>
        <w:t>, eine ausg</w:t>
      </w:r>
      <w:r>
        <w:t>e</w:t>
      </w:r>
      <w:r>
        <w:t>wogene und belastungsorientierte Verteilung der vorhandenen Sollstellen zu gewährleisten.</w:t>
      </w:r>
    </w:p>
    <w:p w:rsidR="00DB3BD0" w:rsidRDefault="00DB3BD0" w:rsidP="00DB3BD0">
      <w:pPr>
        <w:pStyle w:val="LTAntwortRessortText"/>
      </w:pPr>
      <w:r>
        <w:t>Bei der Belastungsorientierung spielt unter anderem der Vergleich zwischen dem prozentualen Anteil an den Sollstellen der Polizeipräsidien und dem prozentualen Anteil an der Arbeitsmenge der Polizeipräsidien eine Rolle. Das Polizeipräsidium Oberbayern Nord weist aktuell einen höh</w:t>
      </w:r>
      <w:r>
        <w:t>e</w:t>
      </w:r>
      <w:r>
        <w:lastRenderedPageBreak/>
        <w:t>ren prozentualen Anteil an der Arbeitsmenge der Polizeipräsidien als am prozentualen Anteil der Sollstellen der Polizeipräsidien auf.</w:t>
      </w:r>
    </w:p>
    <w:p w:rsidR="00DB3BD0" w:rsidRDefault="00DB3BD0" w:rsidP="00DB3BD0">
      <w:pPr>
        <w:pStyle w:val="LTAntwortRessortText"/>
      </w:pPr>
      <w:r>
        <w:t>Dieser Faktor wird im Zuge des zu erarbeitenden ganzheitlichen Konzepts zur belastungsorie</w:t>
      </w:r>
      <w:r>
        <w:t>n</w:t>
      </w:r>
      <w:r>
        <w:t>tierten Verteilung neuer Sollstellen und auch bei dessen Anwendung zur Verteilung der 2.000 Sollstellen berücksichtigt und soll zu einer zusätzlichen Zuweisung von Sollstellen für betroffene Verbände führen.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Hans-Ulrich</w:t>
            </w:r>
            <w:r w:rsidRPr="00DB3BD0">
              <w:rPr>
                <w:b/>
              </w:rPr>
              <w:br/>
              <w:t>Pfaffmann</w:t>
            </w:r>
            <w:r w:rsidRPr="00DB3BD0">
              <w:rPr>
                <w:b/>
              </w:rPr>
              <w:br/>
            </w:r>
            <w:r w:rsidRPr="00DB3BD0">
              <w:t>(SPD)</w:t>
            </w:r>
            <w:r>
              <w:fldChar w:fldCharType="begin"/>
            </w:r>
            <w:r>
              <w:instrText xml:space="preserve"> TC </w:instrText>
            </w:r>
            <w:r w:rsidR="00FD4D2F">
              <w:instrText>„</w:instrText>
            </w:r>
            <w:bookmarkStart w:id="14" w:name="_Toc475001268"/>
            <w:r>
              <w:instrText>Pfaffmann, Hans-Ulrich (SPD)</w:instrText>
            </w:r>
            <w:r>
              <w:br/>
              <w:instrText>Zwischenbilanz für den Wohnungspakt Bayern</w:instrText>
            </w:r>
            <w:bookmarkEnd w:id="14"/>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Wohnungen wurden mit dem Wo</w:t>
            </w:r>
            <w:r>
              <w:t>h</w:t>
            </w:r>
            <w:r>
              <w:t>nungspakt Bayern im Rahmen des kommunalen Förderprogramms für alle (2.</w:t>
            </w:r>
            <w:r w:rsidR="00883639">
              <w:t> </w:t>
            </w:r>
            <w:r>
              <w:t>Säule) bzw. der Wohnungsbauförderung für alle (3. Säule) im Jahr 2016 staatlich gefördert und wie viele der für die 3. Säule vorgesehenen Mittel wurden für 2017 bereits abgerufen?</w:t>
            </w:r>
          </w:p>
          <w:p w:rsidR="00DB3BD0" w:rsidRDefault="00DB3BD0" w:rsidP="00DB3BD0">
            <w:pPr>
              <w:pStyle w:val="LTAnfrageText"/>
            </w:pPr>
          </w:p>
        </w:tc>
      </w:tr>
    </w:tbl>
    <w:p w:rsidR="00DB3BD0" w:rsidRDefault="00DB3BD0" w:rsidP="00DB3BD0">
      <w:pPr>
        <w:pStyle w:val="LTUeberschrAntwortRessort"/>
      </w:pPr>
      <w:r>
        <w:t>Antwort des Staatsministeriums des Innern, für Bau und Verkehr</w:t>
      </w:r>
    </w:p>
    <w:p w:rsidR="00DB3BD0" w:rsidRDefault="00DB3BD0" w:rsidP="00DB3BD0">
      <w:pPr>
        <w:pStyle w:val="LTAntwortRessortText"/>
      </w:pPr>
      <w:r>
        <w:t>2016 wurden im Rahmen des Kommunalen Wohnraumförderungsprogramms (</w:t>
      </w:r>
      <w:r w:rsidR="00883639">
        <w:t>2.</w:t>
      </w:r>
      <w:r>
        <w:t xml:space="preserve"> Säule des Wohnungspakts Bayern) 758 Mietwohnungen mit staatlichen Mitteln gefördert. In der </w:t>
      </w:r>
      <w:r w:rsidR="00883639">
        <w:t>3.</w:t>
      </w:r>
      <w:r>
        <w:t xml:space="preserve"> Säule des Wohnungspakts Bayern, der staatlichen Wohnraum- und Studentenwohnraumförderung wurde</w:t>
      </w:r>
      <w:r w:rsidR="00E003A4">
        <w:t>n</w:t>
      </w:r>
      <w:r>
        <w:t xml:space="preserve"> der Neubau von 3.330 Mietwohnungen, der Neubau und Erwerb von 827 Eigenwohnu</w:t>
      </w:r>
      <w:r>
        <w:t>n</w:t>
      </w:r>
      <w:r>
        <w:t>gen sowie der Neu- und Umbau von 1.610 Wohnplätzen für Studierende gefördert.</w:t>
      </w:r>
      <w:r w:rsidR="00883639">
        <w:t xml:space="preserve"> </w:t>
      </w:r>
      <w:r>
        <w:t>Außerdem wurden 398 Heimplätze für Menschen mit Behinderung und 2.135 bauliche Anpassungsma</w:t>
      </w:r>
      <w:r>
        <w:t>ß</w:t>
      </w:r>
      <w:r>
        <w:t>nahmen von bestehenden Miet- und Eigenwohnungen an die Bedürfnisse von Menschen mit Behinderung gefördert.</w:t>
      </w:r>
    </w:p>
    <w:p w:rsidR="00DB3BD0" w:rsidRDefault="00DB3BD0" w:rsidP="00DB3BD0">
      <w:pPr>
        <w:pStyle w:val="LTAntwortRessortText"/>
      </w:pPr>
      <w:r>
        <w:t xml:space="preserve">In der staatlichen Wohnraumförderung wurden in 2017 bisher 15 Anträge auf Förderung von Familienheimen bewilligt. Die angefragten und angemeldeten Maßnahmen auf Förderung von Mietwohnungsvorhaben werden aktuell von den Bewilligungsstellen an den Bezirksregierungen gemeinsam mit den Wohnungsunternehmen und privaten Investoren konkretisiert und </w:t>
      </w:r>
      <w:r w:rsidR="00E003A4">
        <w:t xml:space="preserve">– </w:t>
      </w:r>
      <w:r>
        <w:t xml:space="preserve">so weit möglich </w:t>
      </w:r>
      <w:r w:rsidR="00E003A4">
        <w:t xml:space="preserve">– </w:t>
      </w:r>
      <w:r>
        <w:t>zeitnah umgesetzt. Die Mittel für die geförderten Wohnungen werden nach Baufor</w:t>
      </w:r>
      <w:r>
        <w:t>t</w:t>
      </w:r>
      <w:r>
        <w:t>schritt ausbezahlt. Bisher sind für die in 2017 geförderten Maßnahmen noch keine Mittel abger</w:t>
      </w:r>
      <w:r>
        <w:t>u</w:t>
      </w:r>
      <w:r>
        <w:t>fen worden.</w:t>
      </w:r>
    </w:p>
    <w:p w:rsidR="0067586E" w:rsidRDefault="0067586E"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Markus</w:t>
            </w:r>
            <w:r w:rsidRPr="00DB3BD0">
              <w:rPr>
                <w:b/>
              </w:rPr>
              <w:br/>
              <w:t>Rinderspacher</w:t>
            </w:r>
            <w:r w:rsidRPr="00DB3BD0">
              <w:rPr>
                <w:b/>
              </w:rPr>
              <w:br/>
            </w:r>
            <w:r w:rsidRPr="00DB3BD0">
              <w:t>(SPD)</w:t>
            </w:r>
            <w:r>
              <w:fldChar w:fldCharType="begin"/>
            </w:r>
            <w:r>
              <w:instrText xml:space="preserve"> TC </w:instrText>
            </w:r>
            <w:r w:rsidR="00FD4D2F">
              <w:instrText>„</w:instrText>
            </w:r>
            <w:bookmarkStart w:id="15" w:name="_Toc475001269"/>
            <w:r>
              <w:instrText>Rinderspacher, Markus (SPD)</w:instrText>
            </w:r>
            <w:r>
              <w:br/>
              <w:instrText>Antisemitische Straftaten in Bayern - Detailnachfrage zu angegebenen Delikten</w:instrText>
            </w:r>
            <w:bookmarkEnd w:id="15"/>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 xml:space="preserve">Ich frage die Staatsregierung, welche konkreten Taten liegen den Delikten </w:t>
            </w:r>
            <w:r w:rsidR="00FD4D2F">
              <w:t>„</w:t>
            </w:r>
            <w:r>
              <w:t>Mord</w:t>
            </w:r>
            <w:r w:rsidR="00FD4D2F">
              <w:t>“</w:t>
            </w:r>
            <w:r>
              <w:t xml:space="preserve"> und </w:t>
            </w:r>
            <w:r w:rsidR="00FD4D2F">
              <w:t>„</w:t>
            </w:r>
            <w:r>
              <w:t>Totschlag</w:t>
            </w:r>
            <w:r w:rsidR="00FD4D2F">
              <w:t>“</w:t>
            </w:r>
            <w:r>
              <w:t xml:space="preserve"> zugrunde, die das Staatsministerium des Innern, für Bau und Verkehr auf meine Anfrage zum Plenum vom 23. Januar 2017 (Drs.</w:t>
            </w:r>
            <w:r w:rsidR="00883639">
              <w:t> </w:t>
            </w:r>
            <w:r>
              <w:t>17/15150) unter antisemitische Straftaten im Jahr 2016 subsumiert hat, wann haben diese stattgefunden und was waren die Hintergründe?</w:t>
            </w:r>
          </w:p>
          <w:p w:rsidR="00DB3BD0" w:rsidRDefault="00DB3BD0" w:rsidP="00DB3BD0">
            <w:pPr>
              <w:pStyle w:val="LTAnfrageText"/>
            </w:pPr>
          </w:p>
        </w:tc>
      </w:tr>
    </w:tbl>
    <w:p w:rsidR="00DB3BD0" w:rsidRDefault="00DB3BD0" w:rsidP="00DB3BD0">
      <w:pPr>
        <w:pStyle w:val="LTUeberschrAntwortRessort"/>
      </w:pPr>
      <w:r>
        <w:lastRenderedPageBreak/>
        <w:t>Antwort des Staatsministeriums des Innern, für Bau und Verkehr</w:t>
      </w:r>
    </w:p>
    <w:p w:rsidR="00DB3BD0" w:rsidRDefault="00DB3BD0" w:rsidP="00DB3BD0">
      <w:pPr>
        <w:pStyle w:val="LTAntwortRessortText"/>
      </w:pPr>
      <w:r>
        <w:t xml:space="preserve">Nach Mitteilung des Bayerischen Landeskriminalamtes liegen den Delikten </w:t>
      </w:r>
      <w:r w:rsidR="00FD4D2F">
        <w:t>„</w:t>
      </w:r>
      <w:r>
        <w:t>Mord</w:t>
      </w:r>
      <w:r w:rsidR="00FD4D2F">
        <w:t>“</w:t>
      </w:r>
      <w:r>
        <w:t xml:space="preserve"> und </w:t>
      </w:r>
      <w:r w:rsidR="00FD4D2F">
        <w:t>„</w:t>
      </w:r>
      <w:r>
        <w:t>To</w:t>
      </w:r>
      <w:r>
        <w:t>t</w:t>
      </w:r>
      <w:r>
        <w:t>schlag</w:t>
      </w:r>
      <w:r w:rsidR="00FD4D2F">
        <w:t>“</w:t>
      </w:r>
      <w:r>
        <w:t xml:space="preserve"> folgende konkrete Taten zugrunde:</w:t>
      </w:r>
    </w:p>
    <w:p w:rsidR="00DB3BD0" w:rsidRPr="00883639" w:rsidRDefault="00DB3BD0" w:rsidP="00DB3BD0">
      <w:pPr>
        <w:pStyle w:val="LTAntwortRessortText"/>
        <w:rPr>
          <w:u w:val="single"/>
        </w:rPr>
      </w:pPr>
      <w:r w:rsidRPr="00883639">
        <w:rPr>
          <w:u w:val="single"/>
        </w:rPr>
        <w:t>Mord</w:t>
      </w:r>
      <w:r w:rsidR="00883639" w:rsidRPr="00883639">
        <w:rPr>
          <w:u w:val="single"/>
        </w:rPr>
        <w:t>:</w:t>
      </w:r>
    </w:p>
    <w:p w:rsidR="00DB3BD0" w:rsidRDefault="00DB3BD0" w:rsidP="00883639">
      <w:pPr>
        <w:pStyle w:val="LTAntwortRessortText"/>
        <w:spacing w:before="120"/>
      </w:pPr>
      <w:r>
        <w:t>Versuchter Mord zum Nachteil eines Beamten eines Spezialeinsatzkommandos (SEK) gem</w:t>
      </w:r>
      <w:r w:rsidR="00883639">
        <w:t>äß</w:t>
      </w:r>
      <w:r>
        <w:t xml:space="preserve"> §§</w:t>
      </w:r>
      <w:r w:rsidR="00883639">
        <w:t> </w:t>
      </w:r>
      <w:r>
        <w:t xml:space="preserve">211, 22, 23 </w:t>
      </w:r>
      <w:r w:rsidR="00883639">
        <w:t>des Strafgesetzbuchs (</w:t>
      </w:r>
      <w:r>
        <w:t>StGB</w:t>
      </w:r>
      <w:r w:rsidR="00883639">
        <w:t>),</w:t>
      </w:r>
    </w:p>
    <w:p w:rsidR="00883639" w:rsidRDefault="00883639" w:rsidP="00883639">
      <w:pPr>
        <w:pStyle w:val="LTAntwortRessortText"/>
        <w:spacing w:before="120"/>
      </w:pPr>
      <w:r>
        <w:t>Tatzeit: 12. Dezember</w:t>
      </w:r>
      <w:r w:rsidR="00E003A4">
        <w:t xml:space="preserve"> 2016</w:t>
      </w:r>
      <w:r>
        <w:t>,</w:t>
      </w:r>
    </w:p>
    <w:p w:rsidR="00DB3BD0" w:rsidRDefault="00DB3BD0" w:rsidP="00883639">
      <w:pPr>
        <w:pStyle w:val="LTAntwortRessortText"/>
        <w:spacing w:before="120"/>
      </w:pPr>
      <w:r>
        <w:t>Hintergründe der Tat:</w:t>
      </w:r>
    </w:p>
    <w:p w:rsidR="00DB3BD0" w:rsidRDefault="00DB3BD0" w:rsidP="00883639">
      <w:pPr>
        <w:pStyle w:val="LTAntwortRessortText"/>
        <w:spacing w:before="0"/>
      </w:pPr>
      <w:r>
        <w:t>Anlässlich des Vollzugs eines richterlichen Durchsuchungsbeschlusses drangen</w:t>
      </w:r>
      <w:r w:rsidR="000C74C3">
        <w:t xml:space="preserve"> </w:t>
      </w:r>
      <w:r w:rsidR="00E003A4">
        <w:t>SEK-</w:t>
      </w:r>
      <w:r>
        <w:t>Kräfte</w:t>
      </w:r>
      <w:r w:rsidR="000C74C3">
        <w:t xml:space="preserve"> </w:t>
      </w:r>
      <w:r w:rsidR="00E003A4">
        <w:t xml:space="preserve">in </w:t>
      </w:r>
      <w:r>
        <w:t>das Wohnobjekt des Täters ein. Dieser griff die eingesetzten Polizeibeamten mit einer ang</w:t>
      </w:r>
      <w:r>
        <w:t>e</w:t>
      </w:r>
      <w:r>
        <w:t>spitzten Metalllanze an. In einer Vernehmung äußerte der Täter aus antisemitischer Motivation gehandelt zu haben</w:t>
      </w:r>
      <w:r w:rsidR="00883639">
        <w:t>.</w:t>
      </w:r>
    </w:p>
    <w:p w:rsidR="00DB3BD0" w:rsidRPr="00883639" w:rsidRDefault="00DB3BD0" w:rsidP="00DB3BD0">
      <w:pPr>
        <w:pStyle w:val="LTAntwortRessortText"/>
        <w:rPr>
          <w:u w:val="single"/>
        </w:rPr>
      </w:pPr>
      <w:r w:rsidRPr="00883639">
        <w:rPr>
          <w:u w:val="single"/>
        </w:rPr>
        <w:t>Totschlag</w:t>
      </w:r>
      <w:r w:rsidR="00883639" w:rsidRPr="00883639">
        <w:rPr>
          <w:u w:val="single"/>
        </w:rPr>
        <w:t>:</w:t>
      </w:r>
    </w:p>
    <w:p w:rsidR="00DB3BD0" w:rsidRDefault="00DB3BD0" w:rsidP="00883639">
      <w:pPr>
        <w:pStyle w:val="LTAntwortRessortText"/>
        <w:spacing w:before="120"/>
      </w:pPr>
      <w:r>
        <w:t>Versuchter Totschlag im Rahmen einer verbalen Auseinandersetzung im U-Bahnbereich gem</w:t>
      </w:r>
      <w:r w:rsidR="00883639">
        <w:t xml:space="preserve">äß </w:t>
      </w:r>
      <w:r>
        <w:t>§§</w:t>
      </w:r>
      <w:r w:rsidR="00883639">
        <w:t> </w:t>
      </w:r>
      <w:r>
        <w:t>212, 22, 23 StGB</w:t>
      </w:r>
      <w:r w:rsidR="000C74C3">
        <w:t>,</w:t>
      </w:r>
    </w:p>
    <w:p w:rsidR="00883639" w:rsidRDefault="00DB3BD0" w:rsidP="00883639">
      <w:pPr>
        <w:pStyle w:val="LTAntwortRessortText"/>
        <w:spacing w:before="120"/>
      </w:pPr>
      <w:r>
        <w:t xml:space="preserve">Tatzeit: </w:t>
      </w:r>
      <w:r w:rsidR="00883639">
        <w:t xml:space="preserve">1. Januar </w:t>
      </w:r>
      <w:r>
        <w:t>2016</w:t>
      </w:r>
      <w:r w:rsidR="00883639">
        <w:t>,</w:t>
      </w:r>
      <w:r>
        <w:t xml:space="preserve"> </w:t>
      </w:r>
    </w:p>
    <w:p w:rsidR="00DB3BD0" w:rsidRDefault="00DB3BD0" w:rsidP="00883639">
      <w:pPr>
        <w:pStyle w:val="LTAntwortRessortText"/>
        <w:spacing w:before="120"/>
      </w:pPr>
      <w:r>
        <w:t>Hintergründe der Tat:</w:t>
      </w:r>
    </w:p>
    <w:p w:rsidR="00DB3BD0" w:rsidRDefault="00DB3BD0" w:rsidP="00883639">
      <w:pPr>
        <w:pStyle w:val="LTAntwortRessortText"/>
        <w:spacing w:before="0"/>
      </w:pPr>
      <w:r>
        <w:t>Der Täter schubste das am Tatort wartende Opfer auf das Gleis der U-Bahn und hinderte es im weiteren Verlauf daran, wieder auf den Bahnsteig zu klettern. Den eingesetzten Polizeibeamten gegenüber äußerte er eine antisemitische Motivation als Grund seines Handelns.</w:t>
      </w:r>
    </w:p>
    <w:p w:rsidR="00E640D1" w:rsidRDefault="00E640D1" w:rsidP="00883639">
      <w:pPr>
        <w:pStyle w:val="LTAntwortRessortText"/>
        <w:spacing w:before="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Florian</w:t>
            </w:r>
            <w:r w:rsidRPr="00DB3BD0">
              <w:rPr>
                <w:b/>
              </w:rPr>
              <w:br/>
              <w:t>Ritter</w:t>
            </w:r>
            <w:r w:rsidRPr="00DB3BD0">
              <w:rPr>
                <w:b/>
              </w:rPr>
              <w:br/>
            </w:r>
            <w:r w:rsidRPr="00DB3BD0">
              <w:t>(SPD)</w:t>
            </w:r>
            <w:r>
              <w:fldChar w:fldCharType="begin"/>
            </w:r>
            <w:r>
              <w:instrText xml:space="preserve"> TC </w:instrText>
            </w:r>
            <w:r w:rsidR="00FD4D2F">
              <w:instrText>„</w:instrText>
            </w:r>
            <w:bookmarkStart w:id="16" w:name="_Toc475001270"/>
            <w:r>
              <w:instrText>Ritter, Florian (SPD)</w:instrText>
            </w:r>
            <w:r>
              <w:br/>
              <w:instrText>Straftaten in bzw. um Unterkünfte für Geflüchtete (I)</w:instrText>
            </w:r>
            <w:bookmarkEnd w:id="16"/>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Straftaten mit Bezug zu Unterkünften für Geflüchtete (Gemeinschaftsunterkunft bzw. Erstaufnahme) wurden 2016 in München (bitte aufgeschlüsselt nach jeweiliger Straftat und Ver</w:t>
            </w:r>
            <w:r w:rsidR="00DB7C40">
              <w:t xml:space="preserve">stoß gegen das Ausländerrecht) </w:t>
            </w:r>
            <w:r>
              <w:t>im Vergleich zu 2015 registriert?</w:t>
            </w:r>
          </w:p>
          <w:p w:rsidR="00DB3BD0" w:rsidRDefault="00DB3BD0" w:rsidP="00DB3BD0">
            <w:pPr>
              <w:pStyle w:val="LTAnfrageText"/>
            </w:pPr>
          </w:p>
        </w:tc>
      </w:tr>
    </w:tbl>
    <w:p w:rsidR="00E640D1" w:rsidRDefault="00E640D1" w:rsidP="00DB3BD0">
      <w:pPr>
        <w:pStyle w:val="LTUeberschrAntwortRessort"/>
      </w:pPr>
    </w:p>
    <w:p w:rsidR="00DB3BD0" w:rsidRDefault="00DB3BD0" w:rsidP="0067586E">
      <w:pPr>
        <w:pStyle w:val="LTUeberschrAntwortRessort"/>
        <w:spacing w:before="0"/>
      </w:pPr>
      <w:r>
        <w:t>Antwort des Staatsministeriums des Innern, für Bau und Verkehr</w:t>
      </w:r>
    </w:p>
    <w:p w:rsidR="00DB3BD0" w:rsidRDefault="00DB3BD0" w:rsidP="00DB3BD0">
      <w:pPr>
        <w:pStyle w:val="LTAntwortRessortText"/>
      </w:pPr>
      <w:r>
        <w:t>Die Zahlen der Polizeilichen Kriminalstatistik (PKS) für das Kalenderjahr 2016 sind noch nicht abschließend erhoben, ausgewertet und geprüft. Geprüfte und valide Zahlen im Sinne der A</w:t>
      </w:r>
      <w:r>
        <w:t>n</w:t>
      </w:r>
      <w:r>
        <w:t>frage</w:t>
      </w:r>
      <w:r w:rsidR="00DB7C40">
        <w:t xml:space="preserve"> zum Plenum</w:t>
      </w:r>
      <w:r>
        <w:t xml:space="preserve"> werden zur PKS-Pressekonferenz im März 2017 vorliegen.</w:t>
      </w:r>
    </w:p>
    <w:p w:rsidR="00DB3BD0" w:rsidRDefault="00DB3BD0" w:rsidP="00DB3BD0">
      <w:pPr>
        <w:pStyle w:val="LTAntwortRessortText"/>
      </w:pPr>
      <w:r>
        <w:t xml:space="preserve">Für das Jahr 2015 wurden laut PKS mit Tatörtlichkeit </w:t>
      </w:r>
      <w:r w:rsidR="00FD4D2F">
        <w:t>„</w:t>
      </w:r>
      <w:r>
        <w:t>Asylbewerberunterkunft</w:t>
      </w:r>
      <w:r w:rsidR="00FD4D2F">
        <w:t>“</w:t>
      </w:r>
      <w:r>
        <w:t xml:space="preserve"> für die Tatortg</w:t>
      </w:r>
      <w:r>
        <w:t>e</w:t>
      </w:r>
      <w:r>
        <w:t>meinde München 13.715 Straftaten erfasst, hiervon 13.207 Straftaten gem. Aufenthaltsgesetz. Die verbleibenden 508 Straftaten beinhalten u.a. 3 Straftaten gegen die sexuelle Selbstbesti</w:t>
      </w:r>
      <w:r>
        <w:t>m</w:t>
      </w:r>
      <w:r>
        <w:t>mung, 307 Roheitsdelikte (z.B. Körperverletzung und Raub), 95 Diebstahlsdelikte, 17 Fälle des Hausfriedensbruchs, 12 Beleidigungen und 29 Sachbeschädigungen.</w:t>
      </w:r>
    </w:p>
    <w:p w:rsidR="00DB3BD0" w:rsidRDefault="00DB3BD0" w:rsidP="00DB3BD0">
      <w:pPr>
        <w:pStyle w:val="LTAntwortRessortText"/>
      </w:pPr>
      <w:r>
        <w:t>Im Jahr 2016 kam es bayernweit zu über 27.000 polizeilichen Einsätzen in Asylbewerberunte</w:t>
      </w:r>
      <w:r>
        <w:t>r</w:t>
      </w:r>
      <w:r>
        <w:t>künften, was einer Steigerung von rund 57 Prozent gegenüber dem Vorjahr entspricht.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Abgeordneter</w:t>
            </w:r>
            <w:r w:rsidRPr="00DB3BD0">
              <w:br/>
            </w:r>
            <w:r w:rsidRPr="00DB3BD0">
              <w:rPr>
                <w:b/>
              </w:rPr>
              <w:t>Franz</w:t>
            </w:r>
            <w:r w:rsidRPr="00DB3BD0">
              <w:rPr>
                <w:b/>
              </w:rPr>
              <w:br/>
              <w:t>Schindler</w:t>
            </w:r>
            <w:r w:rsidRPr="00DB3BD0">
              <w:rPr>
                <w:b/>
              </w:rPr>
              <w:br/>
            </w:r>
            <w:r w:rsidRPr="00DB3BD0">
              <w:t>(SPD)</w:t>
            </w:r>
            <w:r>
              <w:fldChar w:fldCharType="begin"/>
            </w:r>
            <w:r>
              <w:instrText xml:space="preserve"> TC </w:instrText>
            </w:r>
            <w:r w:rsidR="00FD4D2F">
              <w:instrText>„</w:instrText>
            </w:r>
            <w:bookmarkStart w:id="17" w:name="_Toc475001271"/>
            <w:r>
              <w:instrText>Schindler, Franz (SPD)</w:instrText>
            </w:r>
            <w:r>
              <w:br/>
              <w:instrText>V-Mann-Affäre im Bayerischen Landeskriminalamt</w:instrText>
            </w:r>
            <w:bookmarkEnd w:id="17"/>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die Staatsanwaltschaft Nürnberg-Fürth ausweislich eines schriftl</w:t>
            </w:r>
            <w:r>
              <w:t>i</w:t>
            </w:r>
            <w:r>
              <w:t>chen Berichts des Staatsministeriums des Innern, für Bau und Verkehr an den Landtag vom 8. Juli 2016 seit dem 5. Mai 2014 in dem Ermittlungsve</w:t>
            </w:r>
            <w:r>
              <w:t>r</w:t>
            </w:r>
            <w:r>
              <w:t>fahren Az. 300 Js 12538/14 gegen insgesamt sechs Beamte des Bayer</w:t>
            </w:r>
            <w:r>
              <w:t>i</w:t>
            </w:r>
            <w:r>
              <w:t>schen Landeskriminalamtes wegen Diebstahls in mittelbarer Täterschaft bzw. Strafvereitelung im Amt und uneidlicher Falschaussage ermittelt und in diesem Zusammenhang sowohl Wohnräume des Beschuldigten M. H.</w:t>
            </w:r>
            <w:r w:rsidR="00FD4D2F">
              <w:t xml:space="preserve"> </w:t>
            </w:r>
            <w:r>
              <w:t>als auch Diensträume im Bayerischen Landeskriminalamt durchsucht worden sind und der Beschuldigte M. H. von seiner ihm nach Einleitung des Ermit</w:t>
            </w:r>
            <w:r>
              <w:t>t</w:t>
            </w:r>
            <w:r>
              <w:t>lungsverfahrens übertragenen Aufgabe, die Sonderkommission im Rahmen der Wiederaufnahme der Ermittlungen</w:t>
            </w:r>
            <w:r w:rsidR="00FD4D2F">
              <w:t xml:space="preserve"> </w:t>
            </w:r>
            <w:r>
              <w:t xml:space="preserve"> zu dem Oktoberfestattentat zu leiten, entbunden worden ist, frage ich die Staatsregierung, weswegen der B</w:t>
            </w:r>
            <w:r>
              <w:t>e</w:t>
            </w:r>
            <w:r>
              <w:t>schuldigte M. H. als Leiter der Sonderkommission abgelöst worden ist, we</w:t>
            </w:r>
            <w:r>
              <w:t>l</w:t>
            </w:r>
            <w:r>
              <w:t>che Aufgabe er derzeit im Landeskriminalamt ausübt und bis wann mit dem Abschluss der Ermittlungen gegen ihn und fünf weitere Beamte des Lande</w:t>
            </w:r>
            <w:r>
              <w:t>s</w:t>
            </w:r>
            <w:r>
              <w:t>kriminalamts gerechnet werden kann?</w:t>
            </w:r>
          </w:p>
          <w:p w:rsidR="00DB3BD0" w:rsidRDefault="00DB3BD0" w:rsidP="00DB3BD0">
            <w:pPr>
              <w:pStyle w:val="LTAnfrageText"/>
            </w:pPr>
          </w:p>
        </w:tc>
      </w:tr>
    </w:tbl>
    <w:p w:rsidR="00DB3BD0" w:rsidRDefault="00DB3BD0" w:rsidP="00DB7C40">
      <w:pPr>
        <w:pStyle w:val="LTUeberschrAntwortRessort"/>
      </w:pPr>
      <w:r>
        <w:t>Antwort des Staatsministeriums des Innern, für Bau und Verkehr</w:t>
      </w:r>
      <w:r w:rsidR="00DB7C40">
        <w:t xml:space="preserve"> i</w:t>
      </w:r>
      <w:r>
        <w:t xml:space="preserve">m Einvernehmen mit dem Staatsministerium der Justiz </w:t>
      </w:r>
    </w:p>
    <w:p w:rsidR="00DB3BD0" w:rsidRDefault="00DB3BD0" w:rsidP="00DB3BD0">
      <w:pPr>
        <w:pStyle w:val="LTAntwortRessortText"/>
      </w:pPr>
      <w:r>
        <w:t>Mit Fortgang der Ermittlungen der Staatsanwaltschaft Nürnberg-Fürth wurde der Beamte M.</w:t>
      </w:r>
      <w:r w:rsidR="00DB7C40">
        <w:t xml:space="preserve"> H. ab 19. Dezember </w:t>
      </w:r>
      <w:r>
        <w:t xml:space="preserve">2016 einvernehmlich mit Aufgaben </w:t>
      </w:r>
      <w:r w:rsidR="00DB7C40">
        <w:t>in der Führungsgruppe des Bayerischen</w:t>
      </w:r>
      <w:r>
        <w:t xml:space="preserve"> Landeskriminalamts betraut.</w:t>
      </w:r>
    </w:p>
    <w:p w:rsidR="00DB3BD0" w:rsidRDefault="00DB3BD0" w:rsidP="00DB3BD0">
      <w:pPr>
        <w:pStyle w:val="LTAntwortRessortText"/>
      </w:pPr>
      <w:r>
        <w:t>Zwischenzeitlich hat die Staatsanwaltschaft ihre Ermittlungen gegen M. H. un</w:t>
      </w:r>
      <w:r w:rsidR="00DB7C40">
        <w:t>d fünf weitere B</w:t>
      </w:r>
      <w:r w:rsidR="00DB7C40">
        <w:t>e</w:t>
      </w:r>
      <w:r w:rsidR="00DB7C40">
        <w:t>amte des Bayerischen</w:t>
      </w:r>
      <w:r>
        <w:t xml:space="preserve"> Landeskriminalamts unter dem 6. Februar 2017 abgeschlossen, Anklage erhoben und die Anklageschrift am 9. Februar 2017 dem Landgericht Nürnberg-Fürth zugeleitet.</w:t>
      </w:r>
    </w:p>
    <w:p w:rsidR="00DB3BD0" w:rsidRDefault="00DB3BD0" w:rsidP="00DB3BD0">
      <w:pPr>
        <w:pStyle w:val="LTAntwortRessortText"/>
      </w:pPr>
      <w:r>
        <w:t>Zwei Beamten wird Diebstahl in mittelbarer Täterschaft, einem davon zusätzlich uneidliche Falschaussage und einem zusätzlich Betrug und uneidliche Falschaussage in drei Fällen zur Last gelegt. Den weiteren vier Beamten wird der Vorwurf der Strafvereitelung im Amt gemacht, einem davon zusätzlich der der uneidlichen Falschaussage.</w:t>
      </w:r>
    </w:p>
    <w:p w:rsidR="00DB3BD0" w:rsidRDefault="00DB3BD0" w:rsidP="00DB3BD0">
      <w:pPr>
        <w:pStyle w:val="LTAntwortRessortText"/>
      </w:pPr>
      <w:r>
        <w:t>Darüber hinaus wird gegen einen weiteren Beamten des Bayerischen Landeskriminalamts ermi</w:t>
      </w:r>
      <w:r>
        <w:t>t</w:t>
      </w:r>
      <w:r>
        <w:t>telt. Insoweit ist durch die Staatsanwaltschaft eine Sachbehandlung nach § 15</w:t>
      </w:r>
      <w:r w:rsidR="00DB7C40">
        <w:t>3</w:t>
      </w:r>
      <w:r>
        <w:t xml:space="preserve">a </w:t>
      </w:r>
      <w:r w:rsidR="00DB7C40">
        <w:t>der Strafpr</w:t>
      </w:r>
      <w:r w:rsidR="00DB7C40">
        <w:t>o</w:t>
      </w:r>
      <w:r w:rsidR="00DB7C40">
        <w:t>zessordnung (</w:t>
      </w:r>
      <w:r>
        <w:t>StPO</w:t>
      </w:r>
      <w:r w:rsidR="00DB7C40">
        <w:t>)</w:t>
      </w:r>
      <w:r>
        <w:t xml:space="preserve"> beabsichtigt. Hierfür soll die Zustimmung des zuständigen Gerichts eing</w:t>
      </w:r>
      <w:r>
        <w:t>e</w:t>
      </w:r>
      <w:r>
        <w:t>holt werden.</w:t>
      </w:r>
    </w:p>
    <w:p w:rsidR="00DB3BD0" w:rsidRDefault="00DB3BD0" w:rsidP="00DB3BD0">
      <w:pPr>
        <w:pStyle w:val="LTAntwortRessortText"/>
      </w:pPr>
      <w:r>
        <w:t>Vor dem Hintergrund der Anklageer</w:t>
      </w:r>
      <w:r w:rsidR="00DB7C40">
        <w:t>hebung wurde durch das Bayerische</w:t>
      </w:r>
      <w:r>
        <w:t xml:space="preserve"> Landeskriminalamt g</w:t>
      </w:r>
      <w:r>
        <w:t>e</w:t>
      </w:r>
      <w:r>
        <w:t>gen</w:t>
      </w:r>
      <w:r w:rsidR="00DB7C40">
        <w:t xml:space="preserve"> </w:t>
      </w:r>
      <w:r>
        <w:t>M.</w:t>
      </w:r>
      <w:r w:rsidR="00DB7C40">
        <w:t> </w:t>
      </w:r>
      <w:r>
        <w:t>H. sowi</w:t>
      </w:r>
      <w:r w:rsidR="00DB7C40">
        <w:t>e vier weitere Beamte des Bayerischen</w:t>
      </w:r>
      <w:r>
        <w:t xml:space="preserve"> Landeskriminalamts ein Verbot der Fü</w:t>
      </w:r>
      <w:r>
        <w:t>h</w:t>
      </w:r>
      <w:r>
        <w:t>rung der Dienstge</w:t>
      </w:r>
      <w:r w:rsidR="00DB7C40">
        <w:t>schäfte gemäß</w:t>
      </w:r>
      <w:r>
        <w:t xml:space="preserve"> § 39 S. 1 </w:t>
      </w:r>
      <w:r w:rsidR="00DB7C40">
        <w:t>des Beamtenstatusgesetzes (</w:t>
      </w:r>
      <w:r>
        <w:t>BeamtStG</w:t>
      </w:r>
      <w:r w:rsidR="00DB7C40">
        <w:t>)</w:t>
      </w:r>
      <w:r>
        <w:t xml:space="preserve"> verfügt. Ein weiterer Beamter befindet sich bereits seit dem </w:t>
      </w:r>
      <w:r w:rsidR="00DB7C40">
        <w:t xml:space="preserve">1. Februar </w:t>
      </w:r>
      <w:r>
        <w:t>2016 nicht mehr im Dienst.</w:t>
      </w: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w:t>
            </w:r>
            <w:r w:rsidRPr="00DB3BD0">
              <w:br/>
            </w:r>
            <w:r w:rsidRPr="00DB3BD0">
              <w:rPr>
                <w:b/>
              </w:rPr>
              <w:t>Gabi</w:t>
            </w:r>
            <w:r w:rsidRPr="00DB3BD0">
              <w:rPr>
                <w:b/>
              </w:rPr>
              <w:br/>
              <w:t>Schmidt</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18" w:name="_Toc475001272"/>
            <w:r>
              <w:instrText>Schmidt, Gabi (FREIE WÄHLER)</w:instrText>
            </w:r>
            <w:r>
              <w:br/>
              <w:instrText>Unfälle aufgrund schlechter Sichtverhältnisse</w:instrText>
            </w:r>
            <w:bookmarkEnd w:id="18"/>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hat sich die Anzahl von Unfällen im Str</w:t>
            </w:r>
            <w:r>
              <w:t>a</w:t>
            </w:r>
            <w:r>
              <w:t>ßenverkehr wegen schlechter Sichtverhältnisse (z.B. Dunkelheit, Nebel, Topographie etc.) zwischen 2006 und heute entwickelt, wie viele dieser U</w:t>
            </w:r>
            <w:r>
              <w:t>n</w:t>
            </w:r>
            <w:r>
              <w:t>fälle sind auch auf mangelnde Beleuchtung der Fahrzeuge (z.B. Fahren o</w:t>
            </w:r>
            <w:r>
              <w:t>h</w:t>
            </w:r>
            <w:r>
              <w:t>ne Licht) zurückzuführen und wie hat sich die Anzahl an Strafzetteln wegen Fahren ohne Lichts im genannten Zeitraum entwickelt?</w:t>
            </w:r>
          </w:p>
          <w:p w:rsidR="00DB3BD0" w:rsidRDefault="00DB3BD0" w:rsidP="00DB3BD0">
            <w:pPr>
              <w:pStyle w:val="LTAnfrageText"/>
            </w:pPr>
          </w:p>
        </w:tc>
      </w:tr>
    </w:tbl>
    <w:p w:rsidR="00DB3BD0" w:rsidRDefault="00DB3BD0" w:rsidP="0067586E">
      <w:pPr>
        <w:pStyle w:val="LTUeberschrAntwortRessort"/>
        <w:spacing w:before="720"/>
      </w:pPr>
      <w:r>
        <w:t>Antwort des Staatsministeriums des Innern, für Bau und Verkehr</w:t>
      </w:r>
    </w:p>
    <w:p w:rsidR="00DB3BD0" w:rsidRDefault="00DB3BD0" w:rsidP="00DB3BD0">
      <w:pPr>
        <w:pStyle w:val="LTAntwortRessortText"/>
      </w:pPr>
      <w:r>
        <w:t xml:space="preserve">Der Datenbestand in den polizeilichen Statistikprogramme VU-Verfahren Bayern und </w:t>
      </w:r>
      <w:r w:rsidR="00E22A87" w:rsidRPr="00E22A87">
        <w:t>Verkehr</w:t>
      </w:r>
      <w:r w:rsidR="00E22A87" w:rsidRPr="00E22A87">
        <w:t>s</w:t>
      </w:r>
      <w:r w:rsidR="00E22A87" w:rsidRPr="00E22A87">
        <w:t xml:space="preserve">ordnungswidrigkeiten in Bayern </w:t>
      </w:r>
      <w:r w:rsidR="00E22A87">
        <w:t>(</w:t>
      </w:r>
      <w:r>
        <w:t>ProVi</w:t>
      </w:r>
      <w:r w:rsidR="00E22A87">
        <w:t>)</w:t>
      </w:r>
      <w:r>
        <w:t xml:space="preserve"> ist jeweils für das laufende Jahr und für </w:t>
      </w:r>
      <w:r w:rsidR="00E22A87">
        <w:t>zehn</w:t>
      </w:r>
      <w:r>
        <w:t xml:space="preserve"> zurückli</w:t>
      </w:r>
      <w:r>
        <w:t>e</w:t>
      </w:r>
      <w:r>
        <w:t xml:space="preserve">gende Jahre abrufbar. Aus diesem Grund liegen uns keine spezifischen Daten für das Jahr 2006 vor. </w:t>
      </w:r>
      <w:r w:rsidR="00E22A87">
        <w:t xml:space="preserve">Das Staatsministerium des Innern, für Bau und Verkehr hat </w:t>
      </w:r>
      <w:r>
        <w:t xml:space="preserve">ersatzweise die Unfälle von 2007 mit heute (vorläufige </w:t>
      </w:r>
      <w:r w:rsidR="00E22A87">
        <w:t xml:space="preserve">Zahlen für 2016 mit Stand 13. Februar </w:t>
      </w:r>
      <w:r>
        <w:t>2017) ausgewertet und vergl</w:t>
      </w:r>
      <w:r>
        <w:t>i</w:t>
      </w:r>
      <w:r>
        <w:t>chen. Die Unfälle aufgrund schlechter Sichtverhältnisse gingen in diesem Zeitraum mit Ausna</w:t>
      </w:r>
      <w:r>
        <w:t>h</w:t>
      </w:r>
      <w:r>
        <w:t>me der Unfälle wegen Sichtbehinderung durch blendende Sonne oder bei Dämmerung zurück.</w:t>
      </w:r>
    </w:p>
    <w:p w:rsidR="00DB3BD0" w:rsidRDefault="00DA60D0" w:rsidP="00DB3BD0">
      <w:pPr>
        <w:pStyle w:val="LTAntwortRessortText"/>
      </w:pPr>
      <w:r w:rsidRPr="00DA60D0">
        <w:t>Im Einzelnen entwickelten sich die Verkehrsunfälle folgendermaßen:</w:t>
      </w:r>
    </w:p>
    <w:p w:rsidR="00DA60D0" w:rsidRDefault="00DA60D0" w:rsidP="00DB3BD0">
      <w:pPr>
        <w:pStyle w:val="LTAntwortRessortText"/>
      </w:pPr>
    </w:p>
    <w:tbl>
      <w:tblPr>
        <w:tblStyle w:val="TableNormal"/>
        <w:tblW w:w="8647" w:type="dxa"/>
        <w:tblInd w:w="573" w:type="dxa"/>
        <w:tblLayout w:type="fixed"/>
        <w:tblLook w:val="01E0" w:firstRow="1" w:lastRow="1" w:firstColumn="1" w:lastColumn="1" w:noHBand="0" w:noVBand="0"/>
      </w:tblPr>
      <w:tblGrid>
        <w:gridCol w:w="6096"/>
        <w:gridCol w:w="1275"/>
        <w:gridCol w:w="1276"/>
      </w:tblGrid>
      <w:tr w:rsidR="00E22A87" w:rsidRPr="00E22A87" w:rsidTr="009B09E3">
        <w:trPr>
          <w:trHeight w:hRule="exact" w:val="425"/>
        </w:trPr>
        <w:tc>
          <w:tcPr>
            <w:tcW w:w="609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74" w:lineRule="exact"/>
              <w:ind w:left="102"/>
              <w:rPr>
                <w:rFonts w:ascii="Times New Roman" w:eastAsia="Times New Roman" w:hAnsi="Times New Roman" w:cs="Times New Roman"/>
                <w:sz w:val="20"/>
                <w:szCs w:val="20"/>
              </w:rPr>
            </w:pPr>
            <w:r w:rsidRPr="00E22A87">
              <w:rPr>
                <w:rFonts w:ascii="Times New Roman" w:hAnsi="Times New Roman"/>
                <w:b/>
                <w:spacing w:val="-23"/>
                <w:sz w:val="20"/>
                <w:szCs w:val="20"/>
              </w:rPr>
              <w:t>V</w:t>
            </w:r>
            <w:r w:rsidRPr="00E22A87">
              <w:rPr>
                <w:rFonts w:ascii="Times New Roman" w:hAnsi="Times New Roman"/>
                <w:b/>
                <w:spacing w:val="-1"/>
                <w:sz w:val="20"/>
                <w:szCs w:val="20"/>
              </w:rPr>
              <w:t>er</w:t>
            </w:r>
            <w:r w:rsidRPr="00E22A87">
              <w:rPr>
                <w:rFonts w:ascii="Times New Roman" w:hAnsi="Times New Roman"/>
                <w:b/>
                <w:sz w:val="20"/>
                <w:szCs w:val="20"/>
              </w:rPr>
              <w:t>k</w:t>
            </w:r>
            <w:r w:rsidRPr="00E22A87">
              <w:rPr>
                <w:rFonts w:ascii="Times New Roman" w:hAnsi="Times New Roman"/>
                <w:b/>
                <w:spacing w:val="-1"/>
                <w:sz w:val="20"/>
                <w:szCs w:val="20"/>
              </w:rPr>
              <w:t>e</w:t>
            </w:r>
            <w:r w:rsidRPr="00E22A87">
              <w:rPr>
                <w:rFonts w:ascii="Times New Roman" w:hAnsi="Times New Roman"/>
                <w:b/>
                <w:sz w:val="20"/>
                <w:szCs w:val="20"/>
              </w:rPr>
              <w:t>h</w:t>
            </w:r>
            <w:r w:rsidRPr="00E22A87">
              <w:rPr>
                <w:rFonts w:ascii="Times New Roman" w:hAnsi="Times New Roman"/>
                <w:b/>
                <w:spacing w:val="-1"/>
                <w:sz w:val="20"/>
                <w:szCs w:val="20"/>
              </w:rPr>
              <w:t>rs</w:t>
            </w:r>
            <w:r w:rsidRPr="00E22A87">
              <w:rPr>
                <w:rFonts w:ascii="Times New Roman" w:hAnsi="Times New Roman"/>
                <w:b/>
                <w:sz w:val="20"/>
                <w:szCs w:val="20"/>
              </w:rPr>
              <w:t>un</w:t>
            </w:r>
            <w:r w:rsidRPr="00E22A87">
              <w:rPr>
                <w:rFonts w:ascii="Times New Roman" w:hAnsi="Times New Roman"/>
                <w:b/>
                <w:spacing w:val="1"/>
                <w:sz w:val="20"/>
                <w:szCs w:val="20"/>
              </w:rPr>
              <w:t>f</w:t>
            </w:r>
            <w:r w:rsidRPr="00E22A87">
              <w:rPr>
                <w:rFonts w:ascii="Times New Roman" w:hAnsi="Times New Roman"/>
                <w:b/>
                <w:sz w:val="20"/>
                <w:szCs w:val="20"/>
              </w:rPr>
              <w:t>älle</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74" w:lineRule="exact"/>
              <w:ind w:left="279"/>
              <w:rPr>
                <w:rFonts w:ascii="Times New Roman" w:eastAsia="Times New Roman" w:hAnsi="Times New Roman" w:cs="Times New Roman"/>
                <w:sz w:val="20"/>
                <w:szCs w:val="20"/>
              </w:rPr>
            </w:pPr>
            <w:r w:rsidRPr="00E22A87">
              <w:rPr>
                <w:rFonts w:ascii="Times New Roman"/>
                <w:b/>
                <w:sz w:val="20"/>
                <w:szCs w:val="20"/>
              </w:rPr>
              <w:t>2007</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74" w:lineRule="exact"/>
              <w:ind w:left="294"/>
              <w:rPr>
                <w:rFonts w:ascii="Times New Roman" w:eastAsia="Times New Roman" w:hAnsi="Times New Roman" w:cs="Times New Roman"/>
                <w:sz w:val="20"/>
                <w:szCs w:val="20"/>
              </w:rPr>
            </w:pPr>
            <w:r w:rsidRPr="00E22A87">
              <w:rPr>
                <w:rFonts w:ascii="Times New Roman"/>
                <w:b/>
                <w:sz w:val="20"/>
                <w:szCs w:val="20"/>
              </w:rPr>
              <w:t>2016</w:t>
            </w:r>
          </w:p>
        </w:tc>
      </w:tr>
      <w:tr w:rsidR="00E22A87" w:rsidRPr="00E22A87" w:rsidTr="009B09E3">
        <w:trPr>
          <w:trHeight w:hRule="exact" w:val="425"/>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E22A87">
            <w:pPr>
              <w:pStyle w:val="TableParagraph"/>
              <w:tabs>
                <w:tab w:val="left" w:pos="462"/>
              </w:tabs>
              <w:spacing w:line="269" w:lineRule="exact"/>
              <w:ind w:left="102"/>
              <w:rPr>
                <w:rFonts w:ascii="Times New Roman" w:eastAsia="Times New Roman" w:hAnsi="Times New Roman" w:cs="Times New Roman"/>
                <w:sz w:val="20"/>
                <w:szCs w:val="20"/>
              </w:rPr>
            </w:pPr>
            <w:r w:rsidRPr="00E22A87">
              <w:rPr>
                <w:rFonts w:ascii="Times New Roman" w:hAnsi="Times New Roman"/>
                <w:spacing w:val="-1"/>
                <w:sz w:val="20"/>
                <w:szCs w:val="20"/>
              </w:rPr>
              <w:t>wegen</w:t>
            </w:r>
            <w:r w:rsidRPr="00E22A87">
              <w:rPr>
                <w:rFonts w:ascii="Times New Roman" w:hAnsi="Times New Roman"/>
                <w:spacing w:val="-15"/>
                <w:sz w:val="20"/>
                <w:szCs w:val="20"/>
              </w:rPr>
              <w:t xml:space="preserve"> </w:t>
            </w:r>
            <w:r w:rsidRPr="00E22A87">
              <w:rPr>
                <w:rFonts w:ascii="Times New Roman" w:hAnsi="Times New Roman"/>
                <w:spacing w:val="-1"/>
                <w:sz w:val="20"/>
                <w:szCs w:val="20"/>
              </w:rPr>
              <w:t>Unübersichtlichkeit</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219"/>
              <w:rPr>
                <w:rFonts w:ascii="Times New Roman" w:eastAsia="Times New Roman" w:hAnsi="Times New Roman" w:cs="Times New Roman"/>
                <w:sz w:val="20"/>
                <w:szCs w:val="20"/>
              </w:rPr>
            </w:pPr>
            <w:r w:rsidRPr="00E22A87">
              <w:rPr>
                <w:rFonts w:ascii="Times New Roman"/>
                <w:sz w:val="20"/>
                <w:szCs w:val="20"/>
              </w:rPr>
              <w:t>4.184</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234"/>
              <w:rPr>
                <w:rFonts w:ascii="Times New Roman" w:eastAsia="Times New Roman" w:hAnsi="Times New Roman" w:cs="Times New Roman"/>
                <w:sz w:val="20"/>
                <w:szCs w:val="20"/>
              </w:rPr>
            </w:pPr>
            <w:r w:rsidRPr="00E22A87">
              <w:rPr>
                <w:rFonts w:ascii="Times New Roman"/>
                <w:sz w:val="20"/>
                <w:szCs w:val="20"/>
              </w:rPr>
              <w:t>2.944</w:t>
            </w:r>
          </w:p>
        </w:tc>
      </w:tr>
      <w:tr w:rsidR="00E22A87" w:rsidRPr="00E22A87" w:rsidTr="009B09E3">
        <w:trPr>
          <w:trHeight w:hRule="exact" w:val="425"/>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E22A87">
            <w:pPr>
              <w:pStyle w:val="TableParagraph"/>
              <w:tabs>
                <w:tab w:val="left" w:pos="462"/>
              </w:tabs>
              <w:spacing w:line="270" w:lineRule="exact"/>
              <w:ind w:left="102"/>
              <w:rPr>
                <w:rFonts w:ascii="Times New Roman" w:eastAsia="Times New Roman" w:hAnsi="Times New Roman" w:cs="Times New Roman"/>
                <w:sz w:val="20"/>
                <w:szCs w:val="20"/>
              </w:rPr>
            </w:pPr>
            <w:r w:rsidRPr="00E22A87">
              <w:rPr>
                <w:rFonts w:ascii="Times New Roman"/>
                <w:spacing w:val="-1"/>
                <w:sz w:val="20"/>
                <w:szCs w:val="20"/>
              </w:rPr>
              <w:t>wegen</w:t>
            </w:r>
            <w:r w:rsidRPr="00E22A87">
              <w:rPr>
                <w:rFonts w:ascii="Times New Roman"/>
                <w:spacing w:val="-7"/>
                <w:sz w:val="20"/>
                <w:szCs w:val="20"/>
              </w:rPr>
              <w:t xml:space="preserve"> </w:t>
            </w:r>
            <w:r w:rsidRPr="00E22A87">
              <w:rPr>
                <w:rFonts w:ascii="Times New Roman"/>
                <w:spacing w:val="-1"/>
                <w:sz w:val="20"/>
                <w:szCs w:val="20"/>
              </w:rPr>
              <w:t>Sichtbehinderung</w:t>
            </w:r>
            <w:r w:rsidRPr="00E22A87">
              <w:rPr>
                <w:rFonts w:ascii="Times New Roman"/>
                <w:spacing w:val="-7"/>
                <w:sz w:val="20"/>
                <w:szCs w:val="20"/>
              </w:rPr>
              <w:t xml:space="preserve"> </w:t>
            </w:r>
            <w:r w:rsidRPr="00E22A87">
              <w:rPr>
                <w:rFonts w:ascii="Times New Roman"/>
                <w:spacing w:val="-1"/>
                <w:sz w:val="20"/>
                <w:szCs w:val="20"/>
              </w:rPr>
              <w:t>durch</w:t>
            </w:r>
            <w:r w:rsidRPr="00E22A87">
              <w:rPr>
                <w:rFonts w:ascii="Times New Roman"/>
                <w:spacing w:val="-6"/>
                <w:sz w:val="20"/>
                <w:szCs w:val="20"/>
              </w:rPr>
              <w:t xml:space="preserve"> </w:t>
            </w:r>
            <w:r w:rsidRPr="00E22A87">
              <w:rPr>
                <w:rFonts w:ascii="Times New Roman"/>
                <w:spacing w:val="-1"/>
                <w:sz w:val="20"/>
                <w:szCs w:val="20"/>
              </w:rPr>
              <w:t>Nebel</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70" w:lineRule="exact"/>
              <w:ind w:left="399"/>
              <w:rPr>
                <w:rFonts w:ascii="Times New Roman" w:eastAsia="Times New Roman" w:hAnsi="Times New Roman" w:cs="Times New Roman"/>
                <w:sz w:val="20"/>
                <w:szCs w:val="20"/>
              </w:rPr>
            </w:pPr>
            <w:r w:rsidRPr="00E22A87">
              <w:rPr>
                <w:rFonts w:ascii="Times New Roman"/>
                <w:sz w:val="20"/>
                <w:szCs w:val="20"/>
              </w:rPr>
              <w:t>247</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70" w:lineRule="exact"/>
              <w:ind w:left="414"/>
              <w:rPr>
                <w:rFonts w:ascii="Times New Roman" w:eastAsia="Times New Roman" w:hAnsi="Times New Roman" w:cs="Times New Roman"/>
                <w:sz w:val="20"/>
                <w:szCs w:val="20"/>
              </w:rPr>
            </w:pPr>
            <w:r w:rsidRPr="00E22A87">
              <w:rPr>
                <w:rFonts w:ascii="Times New Roman"/>
                <w:sz w:val="20"/>
                <w:szCs w:val="20"/>
              </w:rPr>
              <w:t>209</w:t>
            </w:r>
          </w:p>
        </w:tc>
      </w:tr>
      <w:tr w:rsidR="00E22A87" w:rsidRPr="00E22A87" w:rsidTr="009B09E3">
        <w:trPr>
          <w:trHeight w:hRule="exact" w:val="479"/>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E22A87">
            <w:pPr>
              <w:pStyle w:val="TableParagraph"/>
              <w:tabs>
                <w:tab w:val="left" w:pos="462"/>
              </w:tabs>
              <w:spacing w:line="360" w:lineRule="auto"/>
              <w:ind w:left="462" w:right="251" w:hanging="360"/>
              <w:rPr>
                <w:rFonts w:ascii="Times New Roman" w:eastAsia="Times New Roman" w:hAnsi="Times New Roman" w:cs="Times New Roman"/>
                <w:sz w:val="20"/>
                <w:szCs w:val="20"/>
                <w:lang w:val="de-DE"/>
              </w:rPr>
            </w:pPr>
            <w:r w:rsidRPr="00E22A87">
              <w:rPr>
                <w:rFonts w:ascii="Times New Roman"/>
                <w:spacing w:val="-1"/>
                <w:sz w:val="20"/>
                <w:szCs w:val="20"/>
                <w:lang w:val="de-DE"/>
              </w:rPr>
              <w:t>wegen</w:t>
            </w:r>
            <w:r w:rsidRPr="00E22A87">
              <w:rPr>
                <w:rFonts w:ascii="Times New Roman"/>
                <w:spacing w:val="-6"/>
                <w:sz w:val="20"/>
                <w:szCs w:val="20"/>
                <w:lang w:val="de-DE"/>
              </w:rPr>
              <w:t xml:space="preserve"> </w:t>
            </w:r>
            <w:r w:rsidRPr="00E22A87">
              <w:rPr>
                <w:rFonts w:ascii="Times New Roman"/>
                <w:spacing w:val="-1"/>
                <w:sz w:val="20"/>
                <w:szCs w:val="20"/>
                <w:lang w:val="de-DE"/>
              </w:rPr>
              <w:t>Sichtbehinderung</w:t>
            </w:r>
            <w:r w:rsidRPr="00E22A87">
              <w:rPr>
                <w:rFonts w:ascii="Times New Roman"/>
                <w:spacing w:val="-7"/>
                <w:sz w:val="20"/>
                <w:szCs w:val="20"/>
                <w:lang w:val="de-DE"/>
              </w:rPr>
              <w:t xml:space="preserve"> </w:t>
            </w:r>
            <w:r w:rsidRPr="00E22A87">
              <w:rPr>
                <w:rFonts w:ascii="Times New Roman"/>
                <w:spacing w:val="-1"/>
                <w:sz w:val="20"/>
                <w:szCs w:val="20"/>
                <w:lang w:val="de-DE"/>
              </w:rPr>
              <w:t>durch</w:t>
            </w:r>
            <w:r w:rsidRPr="00E22A87">
              <w:rPr>
                <w:rFonts w:ascii="Times New Roman"/>
                <w:spacing w:val="-6"/>
                <w:sz w:val="20"/>
                <w:szCs w:val="20"/>
                <w:lang w:val="de-DE"/>
              </w:rPr>
              <w:t xml:space="preserve"> </w:t>
            </w:r>
            <w:r w:rsidRPr="00E22A87">
              <w:rPr>
                <w:rFonts w:ascii="Times New Roman"/>
                <w:spacing w:val="-1"/>
                <w:sz w:val="20"/>
                <w:szCs w:val="20"/>
                <w:lang w:val="de-DE"/>
              </w:rPr>
              <w:t>starken</w:t>
            </w:r>
            <w:r w:rsidRPr="00E22A87">
              <w:rPr>
                <w:rFonts w:ascii="Times New Roman"/>
                <w:spacing w:val="-5"/>
                <w:sz w:val="20"/>
                <w:szCs w:val="20"/>
                <w:lang w:val="de-DE"/>
              </w:rPr>
              <w:t xml:space="preserve"> </w:t>
            </w:r>
            <w:r w:rsidRPr="00E22A87">
              <w:rPr>
                <w:rFonts w:ascii="Times New Roman"/>
                <w:spacing w:val="-1"/>
                <w:sz w:val="20"/>
                <w:szCs w:val="20"/>
                <w:lang w:val="de-DE"/>
              </w:rPr>
              <w:t>Regen,</w:t>
            </w:r>
            <w:r w:rsidRPr="00E22A87">
              <w:rPr>
                <w:rFonts w:ascii="Times New Roman"/>
                <w:spacing w:val="-6"/>
                <w:sz w:val="20"/>
                <w:szCs w:val="20"/>
                <w:lang w:val="de-DE"/>
              </w:rPr>
              <w:t xml:space="preserve"> </w:t>
            </w:r>
            <w:r>
              <w:rPr>
                <w:rFonts w:ascii="Times New Roman"/>
                <w:sz w:val="20"/>
                <w:szCs w:val="20"/>
                <w:lang w:val="de-DE"/>
              </w:rPr>
              <w:t>Ha</w:t>
            </w:r>
            <w:r w:rsidRPr="00E22A87">
              <w:rPr>
                <w:rFonts w:ascii="Times New Roman"/>
                <w:spacing w:val="-1"/>
                <w:sz w:val="20"/>
                <w:szCs w:val="20"/>
                <w:lang w:val="de-DE"/>
              </w:rPr>
              <w:t>gel,</w:t>
            </w:r>
            <w:r w:rsidRPr="00E22A87">
              <w:rPr>
                <w:rFonts w:ascii="Times New Roman"/>
                <w:spacing w:val="-7"/>
                <w:sz w:val="20"/>
                <w:szCs w:val="20"/>
                <w:lang w:val="de-DE"/>
              </w:rPr>
              <w:t xml:space="preserve"> </w:t>
            </w:r>
            <w:r w:rsidRPr="00E22A87">
              <w:rPr>
                <w:rFonts w:ascii="Times New Roman"/>
                <w:sz w:val="20"/>
                <w:szCs w:val="20"/>
                <w:lang w:val="de-DE"/>
              </w:rPr>
              <w:t>Schnee</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399"/>
              <w:rPr>
                <w:rFonts w:ascii="Times New Roman" w:eastAsia="Times New Roman" w:hAnsi="Times New Roman" w:cs="Times New Roman"/>
                <w:sz w:val="20"/>
                <w:szCs w:val="20"/>
              </w:rPr>
            </w:pPr>
            <w:r w:rsidRPr="00E22A87">
              <w:rPr>
                <w:rFonts w:ascii="Times New Roman"/>
                <w:sz w:val="20"/>
                <w:szCs w:val="20"/>
              </w:rPr>
              <w:t>306</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414"/>
              <w:rPr>
                <w:rFonts w:ascii="Times New Roman" w:eastAsia="Times New Roman" w:hAnsi="Times New Roman" w:cs="Times New Roman"/>
                <w:sz w:val="20"/>
                <w:szCs w:val="20"/>
              </w:rPr>
            </w:pPr>
            <w:r w:rsidRPr="00E22A87">
              <w:rPr>
                <w:rFonts w:ascii="Times New Roman"/>
                <w:sz w:val="20"/>
                <w:szCs w:val="20"/>
              </w:rPr>
              <w:t>264</w:t>
            </w:r>
          </w:p>
        </w:tc>
      </w:tr>
      <w:tr w:rsidR="00E22A87" w:rsidRPr="00E22A87" w:rsidTr="009B09E3">
        <w:trPr>
          <w:trHeight w:hRule="exact" w:val="425"/>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E22A87">
            <w:pPr>
              <w:pStyle w:val="TableParagraph"/>
              <w:tabs>
                <w:tab w:val="left" w:pos="462"/>
              </w:tabs>
              <w:spacing w:line="269" w:lineRule="exact"/>
              <w:ind w:left="102"/>
              <w:rPr>
                <w:rFonts w:ascii="Times New Roman" w:eastAsia="Times New Roman" w:hAnsi="Times New Roman" w:cs="Times New Roman"/>
                <w:sz w:val="20"/>
                <w:szCs w:val="20"/>
                <w:lang w:val="de-DE"/>
              </w:rPr>
            </w:pPr>
            <w:r w:rsidRPr="00E22A87">
              <w:rPr>
                <w:rFonts w:ascii="Times New Roman"/>
                <w:spacing w:val="-1"/>
                <w:sz w:val="20"/>
                <w:szCs w:val="20"/>
                <w:lang w:val="de-DE"/>
              </w:rPr>
              <w:t>wegen</w:t>
            </w:r>
            <w:r w:rsidRPr="00E22A87">
              <w:rPr>
                <w:rFonts w:ascii="Times New Roman"/>
                <w:spacing w:val="-8"/>
                <w:sz w:val="20"/>
                <w:szCs w:val="20"/>
                <w:lang w:val="de-DE"/>
              </w:rPr>
              <w:t xml:space="preserve"> </w:t>
            </w:r>
            <w:r w:rsidRPr="00E22A87">
              <w:rPr>
                <w:rFonts w:ascii="Times New Roman"/>
                <w:spacing w:val="-1"/>
                <w:sz w:val="20"/>
                <w:szCs w:val="20"/>
                <w:lang w:val="de-DE"/>
              </w:rPr>
              <w:t>Sichtbehinderung</w:t>
            </w:r>
            <w:r w:rsidRPr="00E22A87">
              <w:rPr>
                <w:rFonts w:ascii="Times New Roman"/>
                <w:spacing w:val="-8"/>
                <w:sz w:val="20"/>
                <w:szCs w:val="20"/>
                <w:lang w:val="de-DE"/>
              </w:rPr>
              <w:t xml:space="preserve"> </w:t>
            </w:r>
            <w:r w:rsidRPr="00E22A87">
              <w:rPr>
                <w:rFonts w:ascii="Times New Roman"/>
                <w:spacing w:val="-1"/>
                <w:sz w:val="20"/>
                <w:szCs w:val="20"/>
                <w:lang w:val="de-DE"/>
              </w:rPr>
              <w:t>durch</w:t>
            </w:r>
            <w:r w:rsidRPr="00E22A87">
              <w:rPr>
                <w:rFonts w:ascii="Times New Roman"/>
                <w:spacing w:val="-8"/>
                <w:sz w:val="20"/>
                <w:szCs w:val="20"/>
                <w:lang w:val="de-DE"/>
              </w:rPr>
              <w:t xml:space="preserve"> </w:t>
            </w:r>
            <w:r w:rsidRPr="00E22A87">
              <w:rPr>
                <w:rFonts w:ascii="Times New Roman"/>
                <w:sz w:val="20"/>
                <w:szCs w:val="20"/>
                <w:lang w:val="de-DE"/>
              </w:rPr>
              <w:t>blendende</w:t>
            </w:r>
            <w:r w:rsidRPr="00E22A87">
              <w:rPr>
                <w:rFonts w:ascii="Times New Roman"/>
                <w:spacing w:val="-8"/>
                <w:sz w:val="20"/>
                <w:szCs w:val="20"/>
                <w:lang w:val="de-DE"/>
              </w:rPr>
              <w:t xml:space="preserve"> </w:t>
            </w:r>
            <w:r w:rsidRPr="00E22A87">
              <w:rPr>
                <w:rFonts w:ascii="Times New Roman"/>
                <w:sz w:val="20"/>
                <w:szCs w:val="20"/>
                <w:lang w:val="de-DE"/>
              </w:rPr>
              <w:t>Sonne</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399"/>
              <w:rPr>
                <w:rFonts w:ascii="Times New Roman" w:eastAsia="Times New Roman" w:hAnsi="Times New Roman" w:cs="Times New Roman"/>
                <w:sz w:val="20"/>
                <w:szCs w:val="20"/>
              </w:rPr>
            </w:pPr>
            <w:r w:rsidRPr="00E22A87">
              <w:rPr>
                <w:rFonts w:ascii="Times New Roman"/>
                <w:sz w:val="20"/>
                <w:szCs w:val="20"/>
              </w:rPr>
              <w:t>761</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234"/>
              <w:rPr>
                <w:rFonts w:ascii="Times New Roman" w:eastAsia="Times New Roman" w:hAnsi="Times New Roman" w:cs="Times New Roman"/>
                <w:sz w:val="20"/>
                <w:szCs w:val="20"/>
              </w:rPr>
            </w:pPr>
            <w:r w:rsidRPr="00E22A87">
              <w:rPr>
                <w:rFonts w:ascii="Times New Roman"/>
                <w:sz w:val="20"/>
                <w:szCs w:val="20"/>
              </w:rPr>
              <w:t>1.074</w:t>
            </w:r>
          </w:p>
        </w:tc>
      </w:tr>
      <w:tr w:rsidR="00E22A87" w:rsidRPr="00E22A87" w:rsidTr="00DA60D0">
        <w:trPr>
          <w:trHeight w:hRule="exact" w:val="464"/>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E22A87">
            <w:pPr>
              <w:pStyle w:val="TableParagraph"/>
              <w:tabs>
                <w:tab w:val="left" w:pos="462"/>
              </w:tabs>
              <w:spacing w:line="360" w:lineRule="auto"/>
              <w:ind w:left="462" w:hanging="360"/>
              <w:rPr>
                <w:rFonts w:ascii="Times New Roman" w:eastAsia="Times New Roman" w:hAnsi="Times New Roman" w:cs="Times New Roman"/>
                <w:sz w:val="20"/>
                <w:szCs w:val="20"/>
                <w:lang w:val="de-DE"/>
              </w:rPr>
            </w:pPr>
            <w:r w:rsidRPr="00E22A87">
              <w:rPr>
                <w:rFonts w:ascii="Times New Roman" w:eastAsia="Times New Roman" w:hAnsi="Times New Roman" w:cs="Times New Roman"/>
                <w:spacing w:val="-1"/>
                <w:sz w:val="20"/>
                <w:szCs w:val="20"/>
                <w:lang w:val="de-DE"/>
              </w:rPr>
              <w:t>wegen</w:t>
            </w:r>
            <w:r w:rsidRPr="00E22A87">
              <w:rPr>
                <w:rFonts w:ascii="Times New Roman" w:eastAsia="Times New Roman" w:hAnsi="Times New Roman" w:cs="Times New Roman"/>
                <w:spacing w:val="-5"/>
                <w:sz w:val="20"/>
                <w:szCs w:val="20"/>
                <w:lang w:val="de-DE"/>
              </w:rPr>
              <w:t xml:space="preserve"> </w:t>
            </w:r>
            <w:r w:rsidRPr="00E22A87">
              <w:rPr>
                <w:rFonts w:ascii="Times New Roman" w:eastAsia="Times New Roman" w:hAnsi="Times New Roman" w:cs="Times New Roman"/>
                <w:spacing w:val="-1"/>
                <w:sz w:val="20"/>
                <w:szCs w:val="20"/>
                <w:lang w:val="de-DE"/>
              </w:rPr>
              <w:t>Unfallursache</w:t>
            </w:r>
            <w:r w:rsidRPr="00E22A87">
              <w:rPr>
                <w:rFonts w:ascii="Times New Roman" w:eastAsia="Times New Roman" w:hAnsi="Times New Roman" w:cs="Times New Roman"/>
                <w:spacing w:val="-5"/>
                <w:sz w:val="20"/>
                <w:szCs w:val="20"/>
                <w:lang w:val="de-DE"/>
              </w:rPr>
              <w:t xml:space="preserve"> </w:t>
            </w:r>
            <w:r w:rsidRPr="00E22A87">
              <w:rPr>
                <w:rFonts w:ascii="Times New Roman" w:eastAsia="Times New Roman" w:hAnsi="Times New Roman" w:cs="Times New Roman"/>
                <w:sz w:val="20"/>
                <w:szCs w:val="20"/>
                <w:lang w:val="de-DE"/>
              </w:rPr>
              <w:t>46</w:t>
            </w:r>
            <w:r w:rsidRPr="00E22A87">
              <w:rPr>
                <w:rFonts w:ascii="Times New Roman" w:eastAsia="Times New Roman" w:hAnsi="Times New Roman" w:cs="Times New Roman"/>
                <w:spacing w:val="-2"/>
                <w:sz w:val="20"/>
                <w:szCs w:val="20"/>
                <w:lang w:val="de-DE"/>
              </w:rPr>
              <w:t xml:space="preserve"> </w:t>
            </w:r>
            <w:r w:rsidRPr="00E22A87">
              <w:rPr>
                <w:rFonts w:ascii="Times New Roman" w:eastAsia="Times New Roman" w:hAnsi="Times New Roman" w:cs="Times New Roman"/>
                <w:sz w:val="20"/>
                <w:szCs w:val="20"/>
                <w:lang w:val="de-DE"/>
              </w:rPr>
              <w:t>–</w:t>
            </w:r>
            <w:r w:rsidRPr="00E22A87">
              <w:rPr>
                <w:rFonts w:ascii="Times New Roman" w:eastAsia="Times New Roman" w:hAnsi="Times New Roman" w:cs="Times New Roman"/>
                <w:spacing w:val="-4"/>
                <w:sz w:val="20"/>
                <w:szCs w:val="20"/>
                <w:lang w:val="de-DE"/>
              </w:rPr>
              <w:t xml:space="preserve"> </w:t>
            </w:r>
            <w:r w:rsidRPr="00E22A87">
              <w:rPr>
                <w:rFonts w:ascii="Times New Roman" w:eastAsia="Times New Roman" w:hAnsi="Times New Roman" w:cs="Times New Roman"/>
                <w:spacing w:val="-1"/>
                <w:sz w:val="20"/>
                <w:szCs w:val="20"/>
                <w:lang w:val="de-DE"/>
              </w:rPr>
              <w:t>Nichtbeachten</w:t>
            </w:r>
            <w:r w:rsidRPr="00E22A87">
              <w:rPr>
                <w:rFonts w:ascii="Times New Roman" w:eastAsia="Times New Roman" w:hAnsi="Times New Roman" w:cs="Times New Roman"/>
                <w:spacing w:val="-4"/>
                <w:sz w:val="20"/>
                <w:szCs w:val="20"/>
                <w:lang w:val="de-DE"/>
              </w:rPr>
              <w:t xml:space="preserve"> </w:t>
            </w:r>
            <w:r w:rsidRPr="00E22A87">
              <w:rPr>
                <w:rFonts w:ascii="Times New Roman" w:eastAsia="Times New Roman" w:hAnsi="Times New Roman" w:cs="Times New Roman"/>
                <w:spacing w:val="-1"/>
                <w:sz w:val="20"/>
                <w:szCs w:val="20"/>
                <w:lang w:val="de-DE"/>
              </w:rPr>
              <w:t>der</w:t>
            </w:r>
            <w:r w:rsidRPr="00E22A87">
              <w:rPr>
                <w:rFonts w:ascii="Times New Roman" w:eastAsia="Times New Roman" w:hAnsi="Times New Roman" w:cs="Times New Roman"/>
                <w:spacing w:val="-3"/>
                <w:sz w:val="20"/>
                <w:szCs w:val="20"/>
                <w:lang w:val="de-DE"/>
              </w:rPr>
              <w:t xml:space="preserve"> </w:t>
            </w:r>
            <w:r>
              <w:rPr>
                <w:rFonts w:ascii="Times New Roman" w:eastAsia="Times New Roman" w:hAnsi="Times New Roman" w:cs="Times New Roman"/>
                <w:sz w:val="20"/>
                <w:szCs w:val="20"/>
                <w:lang w:val="de-DE"/>
              </w:rPr>
              <w:t>Be</w:t>
            </w:r>
            <w:r w:rsidRPr="00E22A87">
              <w:rPr>
                <w:rFonts w:ascii="Times New Roman" w:eastAsia="Times New Roman" w:hAnsi="Times New Roman" w:cs="Times New Roman"/>
                <w:spacing w:val="-1"/>
                <w:sz w:val="20"/>
                <w:szCs w:val="20"/>
                <w:lang w:val="de-DE"/>
              </w:rPr>
              <w:t>leuch</w:t>
            </w:r>
            <w:r>
              <w:rPr>
                <w:rFonts w:ascii="Times New Roman" w:eastAsia="Times New Roman" w:hAnsi="Times New Roman" w:cs="Times New Roman"/>
                <w:spacing w:val="-1"/>
                <w:sz w:val="20"/>
                <w:szCs w:val="20"/>
                <w:lang w:val="de-DE"/>
              </w:rPr>
              <w:t>tungs</w:t>
            </w:r>
            <w:r w:rsidRPr="00E22A87">
              <w:rPr>
                <w:rFonts w:ascii="Times New Roman" w:eastAsia="Times New Roman" w:hAnsi="Times New Roman" w:cs="Times New Roman"/>
                <w:spacing w:val="-1"/>
                <w:sz w:val="20"/>
                <w:szCs w:val="20"/>
                <w:lang w:val="de-DE"/>
              </w:rPr>
              <w:t>vorschriften</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72" w:lineRule="exact"/>
              <w:ind w:left="399"/>
              <w:rPr>
                <w:rFonts w:ascii="Times New Roman" w:eastAsia="Times New Roman" w:hAnsi="Times New Roman" w:cs="Times New Roman"/>
                <w:sz w:val="20"/>
                <w:szCs w:val="20"/>
              </w:rPr>
            </w:pPr>
            <w:r w:rsidRPr="00E22A87">
              <w:rPr>
                <w:rFonts w:ascii="Times New Roman"/>
                <w:sz w:val="20"/>
                <w:szCs w:val="20"/>
              </w:rPr>
              <w:t>244</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72" w:lineRule="exact"/>
              <w:ind w:left="414"/>
              <w:rPr>
                <w:rFonts w:ascii="Times New Roman" w:eastAsia="Times New Roman" w:hAnsi="Times New Roman" w:cs="Times New Roman"/>
                <w:sz w:val="20"/>
                <w:szCs w:val="20"/>
              </w:rPr>
            </w:pPr>
            <w:r w:rsidRPr="00E22A87">
              <w:rPr>
                <w:rFonts w:ascii="Times New Roman"/>
                <w:sz w:val="20"/>
                <w:szCs w:val="20"/>
              </w:rPr>
              <w:t>164</w:t>
            </w:r>
          </w:p>
        </w:tc>
      </w:tr>
      <w:tr w:rsidR="00E22A87" w:rsidRPr="00E22A87" w:rsidTr="00DA60D0">
        <w:trPr>
          <w:trHeight w:hRule="exact" w:val="414"/>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9B09E3">
            <w:pPr>
              <w:pStyle w:val="TableParagraph"/>
              <w:tabs>
                <w:tab w:val="left" w:pos="462"/>
              </w:tabs>
              <w:spacing w:line="360" w:lineRule="auto"/>
              <w:ind w:left="462" w:hanging="360"/>
              <w:rPr>
                <w:rFonts w:ascii="Times New Roman" w:eastAsia="Times New Roman" w:hAnsi="Times New Roman" w:cs="Times New Roman"/>
                <w:sz w:val="20"/>
                <w:szCs w:val="20"/>
                <w:lang w:val="de-DE"/>
              </w:rPr>
            </w:pPr>
            <w:r w:rsidRPr="00E22A87">
              <w:rPr>
                <w:rFonts w:ascii="Times New Roman" w:eastAsia="Times New Roman" w:hAnsi="Times New Roman" w:cs="Times New Roman"/>
                <w:spacing w:val="-1"/>
                <w:sz w:val="20"/>
                <w:szCs w:val="20"/>
                <w:lang w:val="de-DE"/>
              </w:rPr>
              <w:t>wegen</w:t>
            </w:r>
            <w:r w:rsidRPr="00E22A87">
              <w:rPr>
                <w:rFonts w:ascii="Times New Roman" w:eastAsia="Times New Roman" w:hAnsi="Times New Roman" w:cs="Times New Roman"/>
                <w:spacing w:val="-4"/>
                <w:sz w:val="20"/>
                <w:szCs w:val="20"/>
                <w:lang w:val="de-DE"/>
              </w:rPr>
              <w:t xml:space="preserve"> </w:t>
            </w:r>
            <w:r w:rsidRPr="00E22A87">
              <w:rPr>
                <w:rFonts w:ascii="Times New Roman" w:eastAsia="Times New Roman" w:hAnsi="Times New Roman" w:cs="Times New Roman"/>
                <w:spacing w:val="-1"/>
                <w:sz w:val="20"/>
                <w:szCs w:val="20"/>
                <w:lang w:val="de-DE"/>
              </w:rPr>
              <w:t>Unfallursache</w:t>
            </w:r>
            <w:r w:rsidRPr="00E22A87">
              <w:rPr>
                <w:rFonts w:ascii="Times New Roman" w:eastAsia="Times New Roman" w:hAnsi="Times New Roman" w:cs="Times New Roman"/>
                <w:spacing w:val="-5"/>
                <w:sz w:val="20"/>
                <w:szCs w:val="20"/>
                <w:lang w:val="de-DE"/>
              </w:rPr>
              <w:t xml:space="preserve"> </w:t>
            </w:r>
            <w:r w:rsidRPr="00E22A87">
              <w:rPr>
                <w:rFonts w:ascii="Times New Roman" w:eastAsia="Times New Roman" w:hAnsi="Times New Roman" w:cs="Times New Roman"/>
                <w:sz w:val="20"/>
                <w:szCs w:val="20"/>
                <w:lang w:val="de-DE"/>
              </w:rPr>
              <w:t>50 –</w:t>
            </w:r>
            <w:r w:rsidRPr="00E22A87">
              <w:rPr>
                <w:rFonts w:ascii="Times New Roman" w:eastAsia="Times New Roman" w:hAnsi="Times New Roman" w:cs="Times New Roman"/>
                <w:spacing w:val="-9"/>
                <w:sz w:val="20"/>
                <w:szCs w:val="20"/>
                <w:lang w:val="de-DE"/>
              </w:rPr>
              <w:t xml:space="preserve"> </w:t>
            </w:r>
            <w:r w:rsidRPr="00E22A87">
              <w:rPr>
                <w:rFonts w:ascii="Times New Roman" w:eastAsia="Times New Roman" w:hAnsi="Times New Roman" w:cs="Times New Roman"/>
                <w:spacing w:val="-2"/>
                <w:sz w:val="20"/>
                <w:szCs w:val="20"/>
                <w:lang w:val="de-DE"/>
              </w:rPr>
              <w:t>Technische</w:t>
            </w:r>
            <w:r w:rsidRPr="00E22A87">
              <w:rPr>
                <w:rFonts w:ascii="Times New Roman" w:eastAsia="Times New Roman" w:hAnsi="Times New Roman" w:cs="Times New Roman"/>
                <w:spacing w:val="-4"/>
                <w:sz w:val="20"/>
                <w:szCs w:val="20"/>
                <w:lang w:val="de-DE"/>
              </w:rPr>
              <w:t xml:space="preserve"> </w:t>
            </w:r>
            <w:r w:rsidRPr="00E22A87">
              <w:rPr>
                <w:rFonts w:ascii="Times New Roman" w:eastAsia="Times New Roman" w:hAnsi="Times New Roman" w:cs="Times New Roman"/>
                <w:spacing w:val="-1"/>
                <w:sz w:val="20"/>
                <w:szCs w:val="20"/>
                <w:lang w:val="de-DE"/>
              </w:rPr>
              <w:t>Mängel</w:t>
            </w:r>
            <w:r w:rsidRPr="00E22A87">
              <w:rPr>
                <w:rFonts w:ascii="Times New Roman" w:eastAsia="Times New Roman" w:hAnsi="Times New Roman" w:cs="Times New Roman"/>
                <w:spacing w:val="-4"/>
                <w:sz w:val="20"/>
                <w:szCs w:val="20"/>
                <w:lang w:val="de-DE"/>
              </w:rPr>
              <w:t xml:space="preserve"> </w:t>
            </w:r>
            <w:r w:rsidRPr="00E22A87">
              <w:rPr>
                <w:rFonts w:ascii="Times New Roman" w:eastAsia="Times New Roman" w:hAnsi="Times New Roman" w:cs="Times New Roman"/>
                <w:sz w:val="20"/>
                <w:szCs w:val="20"/>
                <w:lang w:val="de-DE"/>
              </w:rPr>
              <w:t>der</w:t>
            </w:r>
            <w:r w:rsidRPr="00E22A87">
              <w:rPr>
                <w:rFonts w:ascii="Times New Roman" w:eastAsia="Times New Roman" w:hAnsi="Times New Roman" w:cs="Times New Roman"/>
                <w:spacing w:val="27"/>
                <w:sz w:val="20"/>
                <w:szCs w:val="20"/>
                <w:lang w:val="de-DE"/>
              </w:rPr>
              <w:t xml:space="preserve"> </w:t>
            </w:r>
            <w:r w:rsidRPr="00E22A87">
              <w:rPr>
                <w:rFonts w:ascii="Times New Roman" w:eastAsia="Times New Roman" w:hAnsi="Times New Roman" w:cs="Times New Roman"/>
                <w:spacing w:val="-1"/>
                <w:sz w:val="20"/>
                <w:szCs w:val="20"/>
                <w:lang w:val="de-DE"/>
              </w:rPr>
              <w:t>Fahr</w:t>
            </w:r>
            <w:r w:rsidR="009B09E3">
              <w:rPr>
                <w:rFonts w:ascii="Times New Roman" w:eastAsia="Times New Roman" w:hAnsi="Times New Roman" w:cs="Times New Roman"/>
                <w:spacing w:val="-1"/>
                <w:sz w:val="20"/>
                <w:szCs w:val="20"/>
                <w:lang w:val="de-DE"/>
              </w:rPr>
              <w:t>zeugbe</w:t>
            </w:r>
            <w:r w:rsidRPr="00E22A87">
              <w:rPr>
                <w:rFonts w:ascii="Times New Roman" w:eastAsia="Times New Roman" w:hAnsi="Times New Roman" w:cs="Times New Roman"/>
                <w:spacing w:val="-1"/>
                <w:sz w:val="20"/>
                <w:szCs w:val="20"/>
                <w:lang w:val="de-DE"/>
              </w:rPr>
              <w:t>leuchtung</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399"/>
              <w:rPr>
                <w:rFonts w:ascii="Times New Roman" w:eastAsia="Times New Roman" w:hAnsi="Times New Roman" w:cs="Times New Roman"/>
                <w:sz w:val="20"/>
                <w:szCs w:val="20"/>
              </w:rPr>
            </w:pPr>
            <w:r w:rsidRPr="00E22A87">
              <w:rPr>
                <w:rFonts w:ascii="Times New Roman"/>
                <w:sz w:val="20"/>
                <w:szCs w:val="20"/>
              </w:rPr>
              <w:t>176</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423"/>
              <w:rPr>
                <w:rFonts w:ascii="Times New Roman" w:eastAsia="Times New Roman" w:hAnsi="Times New Roman" w:cs="Times New Roman"/>
                <w:sz w:val="20"/>
                <w:szCs w:val="20"/>
              </w:rPr>
            </w:pPr>
            <w:r w:rsidRPr="00E22A87">
              <w:rPr>
                <w:rFonts w:ascii="Times New Roman"/>
                <w:spacing w:val="-4"/>
                <w:sz w:val="20"/>
                <w:szCs w:val="20"/>
              </w:rPr>
              <w:t>112</w:t>
            </w:r>
          </w:p>
        </w:tc>
      </w:tr>
      <w:tr w:rsidR="00E22A87" w:rsidRPr="00E22A87" w:rsidTr="009B09E3">
        <w:trPr>
          <w:trHeight w:hRule="exact" w:val="425"/>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E22A87">
            <w:pPr>
              <w:pStyle w:val="TableParagraph"/>
              <w:tabs>
                <w:tab w:val="left" w:pos="462"/>
              </w:tabs>
              <w:spacing w:line="269" w:lineRule="exact"/>
              <w:ind w:left="102"/>
              <w:rPr>
                <w:rFonts w:ascii="Times New Roman" w:eastAsia="Times New Roman" w:hAnsi="Times New Roman" w:cs="Times New Roman"/>
                <w:sz w:val="20"/>
                <w:szCs w:val="20"/>
              </w:rPr>
            </w:pPr>
            <w:r w:rsidRPr="00E22A87">
              <w:rPr>
                <w:rFonts w:ascii="Times New Roman"/>
                <w:spacing w:val="-1"/>
                <w:sz w:val="20"/>
                <w:szCs w:val="20"/>
              </w:rPr>
              <w:t>bei</w:t>
            </w:r>
            <w:r w:rsidRPr="00E22A87">
              <w:rPr>
                <w:rFonts w:ascii="Times New Roman"/>
                <w:spacing w:val="-8"/>
                <w:sz w:val="20"/>
                <w:szCs w:val="20"/>
              </w:rPr>
              <w:t xml:space="preserve"> </w:t>
            </w:r>
            <w:r w:rsidRPr="00E22A87">
              <w:rPr>
                <w:rFonts w:ascii="Times New Roman"/>
                <w:spacing w:val="-1"/>
                <w:sz w:val="20"/>
                <w:szCs w:val="20"/>
              </w:rPr>
              <w:t>Dunkelheit</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109"/>
              <w:rPr>
                <w:rFonts w:ascii="Times New Roman" w:eastAsia="Times New Roman" w:hAnsi="Times New Roman" w:cs="Times New Roman"/>
                <w:sz w:val="20"/>
                <w:szCs w:val="20"/>
              </w:rPr>
            </w:pPr>
            <w:r w:rsidRPr="00E22A87">
              <w:rPr>
                <w:rFonts w:ascii="Times New Roman"/>
                <w:spacing w:val="-2"/>
                <w:sz w:val="20"/>
                <w:szCs w:val="20"/>
              </w:rPr>
              <w:t>31.119</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114"/>
              <w:rPr>
                <w:rFonts w:ascii="Times New Roman" w:eastAsia="Times New Roman" w:hAnsi="Times New Roman" w:cs="Times New Roman"/>
                <w:sz w:val="20"/>
                <w:szCs w:val="20"/>
              </w:rPr>
            </w:pPr>
            <w:r w:rsidRPr="00E22A87">
              <w:rPr>
                <w:rFonts w:ascii="Times New Roman"/>
                <w:sz w:val="20"/>
                <w:szCs w:val="20"/>
              </w:rPr>
              <w:t>27.813</w:t>
            </w:r>
          </w:p>
        </w:tc>
      </w:tr>
      <w:tr w:rsidR="00E22A87" w:rsidRPr="00E22A87" w:rsidTr="009B09E3">
        <w:trPr>
          <w:trHeight w:hRule="exact" w:val="425"/>
        </w:trPr>
        <w:tc>
          <w:tcPr>
            <w:tcW w:w="6096" w:type="dxa"/>
            <w:tcBorders>
              <w:top w:val="single" w:sz="5" w:space="0" w:color="BEBEBE"/>
              <w:left w:val="single" w:sz="5" w:space="0" w:color="BEBEBE"/>
              <w:bottom w:val="single" w:sz="5" w:space="0" w:color="BEBEBE"/>
              <w:right w:val="single" w:sz="5" w:space="0" w:color="BEBEBE"/>
            </w:tcBorders>
            <w:vAlign w:val="center"/>
          </w:tcPr>
          <w:p w:rsidR="00E22A87" w:rsidRPr="00E22A87" w:rsidRDefault="00E22A87" w:rsidP="00DA60D0">
            <w:pPr>
              <w:pStyle w:val="TableParagraph"/>
              <w:tabs>
                <w:tab w:val="left" w:pos="462"/>
              </w:tabs>
              <w:spacing w:line="269" w:lineRule="exact"/>
              <w:ind w:left="102"/>
              <w:rPr>
                <w:rFonts w:ascii="Times New Roman" w:eastAsia="Times New Roman" w:hAnsi="Times New Roman" w:cs="Times New Roman"/>
                <w:sz w:val="20"/>
                <w:szCs w:val="20"/>
              </w:rPr>
            </w:pPr>
            <w:r w:rsidRPr="00DA60D0">
              <w:rPr>
                <w:rFonts w:ascii="Times New Roman"/>
                <w:spacing w:val="-1"/>
                <w:sz w:val="20"/>
                <w:szCs w:val="20"/>
              </w:rPr>
              <w:t>bei D</w:t>
            </w:r>
            <w:r w:rsidRPr="00DA60D0">
              <w:rPr>
                <w:rFonts w:ascii="Times New Roman"/>
                <w:spacing w:val="-1"/>
                <w:sz w:val="20"/>
                <w:szCs w:val="20"/>
              </w:rPr>
              <w:t>ä</w:t>
            </w:r>
            <w:r w:rsidRPr="00DA60D0">
              <w:rPr>
                <w:rFonts w:ascii="Times New Roman"/>
                <w:spacing w:val="-1"/>
                <w:sz w:val="20"/>
                <w:szCs w:val="20"/>
              </w:rPr>
              <w:t>mmerung</w:t>
            </w:r>
          </w:p>
        </w:tc>
        <w:tc>
          <w:tcPr>
            <w:tcW w:w="1275"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219"/>
              <w:rPr>
                <w:rFonts w:ascii="Times New Roman" w:eastAsia="Times New Roman" w:hAnsi="Times New Roman" w:cs="Times New Roman"/>
                <w:sz w:val="20"/>
                <w:szCs w:val="20"/>
              </w:rPr>
            </w:pPr>
            <w:r w:rsidRPr="00E22A87">
              <w:rPr>
                <w:rFonts w:ascii="Times New Roman"/>
                <w:sz w:val="20"/>
                <w:szCs w:val="20"/>
              </w:rPr>
              <w:t>6.592</w:t>
            </w:r>
          </w:p>
        </w:tc>
        <w:tc>
          <w:tcPr>
            <w:tcW w:w="1276" w:type="dxa"/>
            <w:tcBorders>
              <w:top w:val="single" w:sz="5" w:space="0" w:color="BEBEBE"/>
              <w:left w:val="single" w:sz="5" w:space="0" w:color="BEBEBE"/>
              <w:bottom w:val="single" w:sz="5" w:space="0" w:color="BEBEBE"/>
              <w:right w:val="single" w:sz="5" w:space="0" w:color="BEBEBE"/>
            </w:tcBorders>
          </w:tcPr>
          <w:p w:rsidR="00E22A87" w:rsidRPr="00E22A87" w:rsidRDefault="00E22A87" w:rsidP="00E9757C">
            <w:pPr>
              <w:pStyle w:val="TableParagraph"/>
              <w:spacing w:line="269" w:lineRule="exact"/>
              <w:ind w:left="234"/>
              <w:rPr>
                <w:rFonts w:ascii="Times New Roman" w:eastAsia="Times New Roman" w:hAnsi="Times New Roman" w:cs="Times New Roman"/>
                <w:sz w:val="20"/>
                <w:szCs w:val="20"/>
              </w:rPr>
            </w:pPr>
            <w:r w:rsidRPr="00E22A87">
              <w:rPr>
                <w:rFonts w:ascii="Times New Roman"/>
                <w:sz w:val="20"/>
                <w:szCs w:val="20"/>
              </w:rPr>
              <w:t>7.105</w:t>
            </w:r>
          </w:p>
        </w:tc>
      </w:tr>
    </w:tbl>
    <w:p w:rsidR="0067586E" w:rsidRDefault="00DB3BD0" w:rsidP="00DB3BD0">
      <w:pPr>
        <w:pStyle w:val="LTAntwortRessortText"/>
      </w:pPr>
      <w:r>
        <w:t xml:space="preserve">Die Bayerische Polizei ahndete das festgestellte Fahren ohne Licht (§ 17 </w:t>
      </w:r>
      <w:r w:rsidR="009B09E3">
        <w:t>der Straßenverkehr</w:t>
      </w:r>
      <w:r w:rsidR="009B09E3">
        <w:t>s</w:t>
      </w:r>
      <w:r w:rsidR="009B09E3">
        <w:t xml:space="preserve">ordnung – </w:t>
      </w:r>
      <w:r>
        <w:t>StVO) im Jahr 2016 insgesamt in 1.215 Fällen. Im Jahr 2007 wurden diesbezüglich 2.211 Verstöße beanstandet.</w:t>
      </w:r>
    </w:p>
    <w:p w:rsidR="0067586E" w:rsidRDefault="0067586E">
      <w:r>
        <w:br w:type="page"/>
      </w:r>
    </w:p>
    <w:p w:rsidR="00DB3BD0" w:rsidRDefault="00DB3BD0"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Katharina</w:t>
            </w:r>
            <w:r w:rsidRPr="00DB3BD0">
              <w:rPr>
                <w:b/>
              </w:rPr>
              <w:br/>
              <w:t>Schulze</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19" w:name="_Toc475001273"/>
            <w:r>
              <w:instrText>Schulze, Katharina (BÜNDNIS 90/DIE GRÜNEN)</w:instrText>
            </w:r>
            <w:r>
              <w:br/>
              <w:instrText>Islamistische Gefährder in Bayern</w:instrText>
            </w:r>
            <w:bookmarkEnd w:id="19"/>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Personen, die als islamistische G</w:t>
            </w:r>
            <w:r>
              <w:t>e</w:t>
            </w:r>
            <w:r>
              <w:t>fährder eingestuft werden, werden in Bayern derzeit rund um die Uhr siche</w:t>
            </w:r>
            <w:r>
              <w:t>r</w:t>
            </w:r>
            <w:r>
              <w:t>heitsbehördlich überwacht, wie vielen islamistischen Gefährdern wurden in Bayern Meldeauflagen auferlegt, gegen wie viele islamistische Gefährder mit ausländischer Staatsangehörigkeit haben die bayerischen Ausländerbehö</w:t>
            </w:r>
            <w:r>
              <w:t>r</w:t>
            </w:r>
            <w:r>
              <w:t>den Abschiebungshaft angeordnet (bitte Haftgründe angeben)?</w:t>
            </w:r>
          </w:p>
          <w:p w:rsidR="00DB3BD0" w:rsidRDefault="00DB3BD0" w:rsidP="00DB3BD0">
            <w:pPr>
              <w:pStyle w:val="LTAnfrageText"/>
            </w:pPr>
          </w:p>
        </w:tc>
      </w:tr>
    </w:tbl>
    <w:p w:rsidR="00DB3BD0" w:rsidRDefault="00DB3BD0" w:rsidP="00DB3BD0">
      <w:pPr>
        <w:pStyle w:val="LTUeberschrAntwortRessort"/>
      </w:pPr>
      <w:r>
        <w:t>Antwort des Staatsministeriums des Innern, für Bau und Verkehr</w:t>
      </w:r>
    </w:p>
    <w:p w:rsidR="00DB3BD0" w:rsidRDefault="00DB3BD0" w:rsidP="00DB3BD0">
      <w:pPr>
        <w:pStyle w:val="LTAntwortRessortText"/>
      </w:pPr>
      <w:r>
        <w:t>Gemäß bundeseinheitlicher Festlegung werden bei Gefährdern bundesweit festgelegte Sta</w:t>
      </w:r>
      <w:r>
        <w:t>n</w:t>
      </w:r>
      <w:r>
        <w:t>dardmaßnahmen getroffen. Zudem werden nach Einzelfallprüfung weitere optionale Maßna</w:t>
      </w:r>
      <w:r>
        <w:t>h</w:t>
      </w:r>
      <w:r>
        <w:t>men durchgeführt. Aus polizeieinsatztaktischen Gründen können zu den im Einzelfall getroff</w:t>
      </w:r>
      <w:r>
        <w:t>e</w:t>
      </w:r>
      <w:r>
        <w:t>nen Maßnahmen keine näheren Angaben gemacht werden.</w:t>
      </w:r>
    </w:p>
    <w:p w:rsidR="00DB3BD0" w:rsidRDefault="00505B41" w:rsidP="00DB3BD0">
      <w:pPr>
        <w:pStyle w:val="LTAntwortRessortText"/>
      </w:pPr>
      <w:r>
        <w:t>Nach Mitteilung des Bayerischen</w:t>
      </w:r>
      <w:r w:rsidR="00DB3BD0">
        <w:t xml:space="preserve"> Landeskriminalamts bestehen in Bayern aktuell bei zwei Pe</w:t>
      </w:r>
      <w:r w:rsidR="00DB3BD0">
        <w:t>r</w:t>
      </w:r>
      <w:r w:rsidR="00DB3BD0">
        <w:t>sonen, die als islamistische Gefährder eingestuft sind, Meldeauflagen.</w:t>
      </w:r>
    </w:p>
    <w:p w:rsidR="00DB3BD0" w:rsidRDefault="00DB3BD0" w:rsidP="00DB3BD0">
      <w:pPr>
        <w:pStyle w:val="LTAntwortRessortText"/>
      </w:pPr>
      <w:r>
        <w:t>Derzeit befindet sich kein islamistischer Gefährder in Abschiebehaft.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Diana</w:t>
            </w:r>
            <w:r w:rsidRPr="00DB3BD0">
              <w:rPr>
                <w:b/>
              </w:rPr>
              <w:br/>
              <w:t>Stachowitz</w:t>
            </w:r>
            <w:r w:rsidRPr="00DB3BD0">
              <w:rPr>
                <w:b/>
              </w:rPr>
              <w:br/>
            </w:r>
            <w:r w:rsidRPr="00DB3BD0">
              <w:t>(SPD)</w:t>
            </w:r>
            <w:r>
              <w:fldChar w:fldCharType="begin"/>
            </w:r>
            <w:r>
              <w:instrText xml:space="preserve"> TC </w:instrText>
            </w:r>
            <w:r w:rsidR="00FD4D2F">
              <w:instrText>„</w:instrText>
            </w:r>
            <w:bookmarkStart w:id="20" w:name="_Toc475001274"/>
            <w:r>
              <w:instrText>Stachowitz, Diana (SPD)</w:instrText>
            </w:r>
            <w:r>
              <w:br/>
              <w:instrText>Straftaten in bzw. um Unterkünfte für Geflüchtete (II)</w:instrText>
            </w:r>
            <w:bookmarkEnd w:id="20"/>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Straftaten mit Bezug zu Unterkünften für Geflüchtete (Gemeinschaftsunterkunft bzw. Erstaufnahme) wurden 2016 im Vergleich zu 2015 in München registriert, die nicht Bewohnerinnen bzw. Bewohner der Unterkünfte zugerechnet werden und in wie vielen Fälle lag eine ausländerfeindliche oder rechtsradikale Motivation zugrunde?</w:t>
            </w:r>
          </w:p>
          <w:p w:rsidR="00DB3BD0" w:rsidRDefault="00DB3BD0" w:rsidP="00DB3BD0">
            <w:pPr>
              <w:pStyle w:val="LTAnfrageText"/>
            </w:pPr>
          </w:p>
        </w:tc>
      </w:tr>
    </w:tbl>
    <w:p w:rsidR="00DB3BD0" w:rsidRDefault="00DB3BD0" w:rsidP="00505B41">
      <w:pPr>
        <w:pStyle w:val="LTUeberschrAntwortRessort"/>
      </w:pPr>
      <w:r>
        <w:t>Antwort des Staatsministeriums des Innern, für Bau und Verkehr</w:t>
      </w:r>
      <w:r w:rsidR="00505B41">
        <w:t xml:space="preserve"> n</w:t>
      </w:r>
      <w:r>
        <w:t>ach Einbindung des Bayerischen Landeskriminalamtes</w:t>
      </w:r>
      <w:r w:rsidR="00505B41">
        <w:t xml:space="preserve"> </w:t>
      </w:r>
    </w:p>
    <w:p w:rsidR="00DB3BD0" w:rsidRDefault="00DB3BD0" w:rsidP="00DB3BD0">
      <w:pPr>
        <w:pStyle w:val="LTAntwortRessortText"/>
      </w:pPr>
      <w:r>
        <w:t xml:space="preserve">Die Ergebnisse basieren auf den </w:t>
      </w:r>
      <w:r w:rsidR="00DD1AE7">
        <w:t xml:space="preserve">Meldungen der Kriminaltaktischen Anfragen in Fällen </w:t>
      </w:r>
      <w:r w:rsidR="00505B41">
        <w:t>Politisch motivierte</w:t>
      </w:r>
      <w:r w:rsidR="00910923">
        <w:t>r</w:t>
      </w:r>
      <w:r w:rsidR="00505B41" w:rsidRPr="00505B41">
        <w:t xml:space="preserve"> Kriminalität </w:t>
      </w:r>
      <w:r w:rsidR="00505B41">
        <w:t>(</w:t>
      </w:r>
      <w:r>
        <w:t>KTA-PMK-Meldungen</w:t>
      </w:r>
      <w:r w:rsidR="00DD1AE7">
        <w:t>)</w:t>
      </w:r>
      <w:r>
        <w:t xml:space="preserve"> der örtlich zuständigen Staatsschutzdienst</w:t>
      </w:r>
      <w:r w:rsidR="00505B41">
        <w:t>stellen der Bayerischen</w:t>
      </w:r>
      <w:r>
        <w:t xml:space="preserve"> Polizei, die dem </w:t>
      </w:r>
      <w:r w:rsidR="00910923">
        <w:t>Bayerischen Landeskriminalamt</w:t>
      </w:r>
      <w:r w:rsidR="00505B41" w:rsidRPr="00505B41">
        <w:t xml:space="preserve">s </w:t>
      </w:r>
      <w:r w:rsidR="00505B41">
        <w:t>(</w:t>
      </w:r>
      <w:r>
        <w:t>BLKA</w:t>
      </w:r>
      <w:r w:rsidR="00505B41">
        <w:t>)</w:t>
      </w:r>
      <w:r>
        <w:t xml:space="preserve"> im Wege des Krim</w:t>
      </w:r>
      <w:r>
        <w:t>i</w:t>
      </w:r>
      <w:r>
        <w:t xml:space="preserve">nalpolizeilichen Meldedienstes in Fällen Politisch motivierter Kriminalität </w:t>
      </w:r>
      <w:r w:rsidR="00DD1AE7">
        <w:t>(</w:t>
      </w:r>
      <w:r>
        <w:t>KPMD-PMK) übermi</w:t>
      </w:r>
      <w:r>
        <w:t>t</w:t>
      </w:r>
      <w:r>
        <w:t>telt worden sind.</w:t>
      </w:r>
    </w:p>
    <w:p w:rsidR="00DB3BD0" w:rsidRDefault="00DB3BD0" w:rsidP="00DB3BD0">
      <w:pPr>
        <w:pStyle w:val="LTAntwortRessortText"/>
      </w:pPr>
      <w:r>
        <w:t xml:space="preserve">Im Zusammenhang mit der gestellten Frage liegen dem BLKA nur Daten zu Straftaten vor, die mit Zielrichtung </w:t>
      </w:r>
      <w:r w:rsidR="00FD4D2F">
        <w:t>„</w:t>
      </w:r>
      <w:r>
        <w:t>gegen Asylunterkünfte</w:t>
      </w:r>
      <w:r w:rsidR="00FD4D2F">
        <w:t>“</w:t>
      </w:r>
      <w:r>
        <w:t xml:space="preserve"> bewertet wurden.</w:t>
      </w:r>
    </w:p>
    <w:p w:rsidR="00DB3BD0" w:rsidRDefault="00DB3BD0" w:rsidP="00DB3BD0">
      <w:pPr>
        <w:pStyle w:val="LTAntwortRessortText"/>
      </w:pPr>
      <w:r>
        <w:t xml:space="preserve">Als Filterkriterium dienten Straftaten mit Unterthema </w:t>
      </w:r>
      <w:r w:rsidR="00FD4D2F">
        <w:t>„</w:t>
      </w:r>
      <w:r>
        <w:t>gegen Asylunterkünfte</w:t>
      </w:r>
      <w:r w:rsidR="00FD4D2F">
        <w:t>“</w:t>
      </w:r>
      <w:r>
        <w:t>, die gemäß bu</w:t>
      </w:r>
      <w:r>
        <w:t>n</w:t>
      </w:r>
      <w:r>
        <w:t xml:space="preserve">desweit gültigem Themenfeldkatalog zur KTA-PMK als </w:t>
      </w:r>
      <w:r w:rsidR="00FD4D2F">
        <w:t>„</w:t>
      </w:r>
      <w:r>
        <w:t>jeder Art der Unterkunft als direktes A</w:t>
      </w:r>
      <w:r>
        <w:t>n</w:t>
      </w:r>
      <w:r>
        <w:lastRenderedPageBreak/>
        <w:t>griffsziel, d.h. zum Beispiel bestehende, im Bau befindliche sowie geplante Aufnahmeeinrichtu</w:t>
      </w:r>
      <w:r>
        <w:t>n</w:t>
      </w:r>
      <w:r>
        <w:t>gen, Gemeinschaftsunterkünfte und Wohnungen Asylbegehrender, Asylberechtigter und Pers</w:t>
      </w:r>
      <w:r>
        <w:t>o</w:t>
      </w:r>
      <w:r>
        <w:t>nen mit Flüchtlingsschutz bzw. Angriffe auf genannten Personenkreis innerhalb der Unterkunft</w:t>
      </w:r>
      <w:r w:rsidR="00FD4D2F">
        <w:t>“</w:t>
      </w:r>
      <w:r>
        <w:t xml:space="preserve"> definiert sind.</w:t>
      </w:r>
    </w:p>
    <w:p w:rsidR="00DB3BD0" w:rsidRDefault="00DB3BD0" w:rsidP="00DB3BD0">
      <w:pPr>
        <w:pStyle w:val="LTAntwortRessortText"/>
      </w:pPr>
      <w:r>
        <w:t xml:space="preserve">Die durchgeführte Analyse der Fallzahlendatenbank </w:t>
      </w:r>
      <w:r w:rsidR="00DD1AE7" w:rsidRPr="00DD1AE7">
        <w:t>Politisch motivierte</w:t>
      </w:r>
      <w:r w:rsidR="00910923">
        <w:t>r</w:t>
      </w:r>
      <w:r w:rsidR="00DD1AE7" w:rsidRPr="00DD1AE7">
        <w:t xml:space="preserve"> Kriminalität </w:t>
      </w:r>
      <w:r w:rsidR="00DD1AE7">
        <w:t>(</w:t>
      </w:r>
      <w:r>
        <w:t>PMK</w:t>
      </w:r>
      <w:r w:rsidR="00DD1AE7">
        <w:t>)</w:t>
      </w:r>
      <w:r>
        <w:t xml:space="preserve"> e</w:t>
      </w:r>
      <w:r>
        <w:t>r</w:t>
      </w:r>
      <w:r>
        <w:t xml:space="preserve">brachte für das Jahr 2015 ein Trefferbild von 14 Fällen, für das Jahr 2016 konnten </w:t>
      </w:r>
      <w:r w:rsidR="00DD1AE7">
        <w:t>zehn</w:t>
      </w:r>
      <w:r>
        <w:t xml:space="preserve"> Fälle r</w:t>
      </w:r>
      <w:r>
        <w:t>e</w:t>
      </w:r>
      <w:r>
        <w:t>cherchiert werden.</w:t>
      </w:r>
    </w:p>
    <w:p w:rsidR="00DB3BD0" w:rsidRDefault="00DB3BD0" w:rsidP="00DB3BD0">
      <w:pPr>
        <w:pStyle w:val="LTAntwortRessortText"/>
      </w:pPr>
      <w:r>
        <w:t xml:space="preserve">Die Frage nach ausländerfeindlicher bzw. rechtsradikaler Motivation wird ersatzweise durch die Auswertung des Unterthemas </w:t>
      </w:r>
      <w:r w:rsidR="00FD4D2F">
        <w:t>„</w:t>
      </w:r>
      <w:r>
        <w:t>fremdenfeindlich</w:t>
      </w:r>
      <w:r w:rsidR="00FD4D2F">
        <w:t>“</w:t>
      </w:r>
      <w:r>
        <w:t xml:space="preserve"> bzw. der Bewertung als rechtsextremistisch dargestellt.</w:t>
      </w:r>
    </w:p>
    <w:p w:rsidR="00DB3BD0" w:rsidRDefault="00DB3BD0" w:rsidP="00DB3BD0">
      <w:pPr>
        <w:pStyle w:val="LTAntwortRessortText"/>
      </w:pPr>
      <w:r>
        <w:t xml:space="preserve">Von den 14 Straftaten im Jahre 2015 sind </w:t>
      </w:r>
      <w:r w:rsidR="00DD1AE7">
        <w:t>elf</w:t>
      </w:r>
      <w:r>
        <w:t xml:space="preserve"> Fälle als fremdenfeindlich und 13 Fälle als rechts-extremistisch eingestuft worden. Im Jahre 2016 liegen bei den </w:t>
      </w:r>
      <w:r w:rsidR="00DD1AE7">
        <w:t>zehn</w:t>
      </w:r>
      <w:r>
        <w:t xml:space="preserve"> gemeldeten Fällen </w:t>
      </w:r>
      <w:r w:rsidR="00DD1AE7">
        <w:t>zehn</w:t>
      </w:r>
      <w:r>
        <w:t xml:space="preserve"> fremdenfeindliche und </w:t>
      </w:r>
      <w:r w:rsidR="00DD1AE7">
        <w:t>neun</w:t>
      </w:r>
      <w:r>
        <w:t xml:space="preserve"> rechtsextremistische Bewertungen vor (mehrere Kriterien können gleichzeitig vorkommen).</w:t>
      </w:r>
    </w:p>
    <w:p w:rsidR="00DB3BD0" w:rsidRDefault="00DB3BD0" w:rsidP="00DB3BD0">
      <w:pPr>
        <w:pStyle w:val="LTAntwortRessortText"/>
      </w:pPr>
      <w:r>
        <w:t>Die Zahlen der Polizeilichen Kriminalstatistik (PKS) für das Kalenderjahr 2016 sind noch nicht abschließend erhoben, ausgewertet und geprüft. Geprüfte und valide Zahlen im Sinne der A</w:t>
      </w:r>
      <w:r>
        <w:t>n</w:t>
      </w:r>
      <w:r>
        <w:t>frage</w:t>
      </w:r>
      <w:r w:rsidR="00DD1AE7">
        <w:t xml:space="preserve"> zum Plenum</w:t>
      </w:r>
      <w:r>
        <w:t xml:space="preserve"> werden zur PKS-Pressekonferenz im März 2017 vorliegen.</w:t>
      </w:r>
    </w:p>
    <w:p w:rsidR="0067586E" w:rsidRDefault="0067586E"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Claudia</w:t>
            </w:r>
            <w:r w:rsidRPr="00DB3BD0">
              <w:rPr>
                <w:b/>
              </w:rPr>
              <w:br/>
              <w:t>Stamm</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21" w:name="_Toc475001275"/>
            <w:r>
              <w:instrText>Stamm, Claudia (BÜNDNIS 90/DIE GRÜNEN)</w:instrText>
            </w:r>
            <w:r>
              <w:br/>
              <w:instrText>Erstaufnahme- und Rückkehrzentrum Bamberg</w:instrText>
            </w:r>
            <w:bookmarkEnd w:id="21"/>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Flüchtlinge (bitte nach Herkunftslä</w:t>
            </w:r>
            <w:r>
              <w:t>n</w:t>
            </w:r>
            <w:r>
              <w:t>dern getrennt aufführen)</w:t>
            </w:r>
            <w:r w:rsidR="00FD4D2F">
              <w:t xml:space="preserve"> </w:t>
            </w:r>
            <w:r>
              <w:t>sind 2016 und 2017 direkt nach dem Grenzübertritt in das Erstaufnahme- und Rückkehrzentrum Bamberg gebracht worden, wie viele davon haben dort mittlerweile einen Schutzstatus zugesprochen b</w:t>
            </w:r>
            <w:r>
              <w:t>e</w:t>
            </w:r>
            <w:r>
              <w:t xml:space="preserve">kommen </w:t>
            </w:r>
            <w:r w:rsidR="00FD4D2F">
              <w:t xml:space="preserve"> </w:t>
            </w:r>
            <w:r>
              <w:t>bzw. eine Ablehnung erhalten (bitte nach Nationalitäten jeweils getrennt auflisten) und wann waren die am 23. Januar 2017 aus Bamberg abgeschobenen afghanischen Flüchtlinge jeweils eingereist?</w:t>
            </w:r>
          </w:p>
          <w:p w:rsidR="00DB3BD0" w:rsidRDefault="00DB3BD0" w:rsidP="00DB3BD0">
            <w:pPr>
              <w:pStyle w:val="LTAnfrageText"/>
            </w:pPr>
          </w:p>
        </w:tc>
      </w:tr>
    </w:tbl>
    <w:p w:rsidR="00DB3BD0" w:rsidRDefault="00DB3BD0" w:rsidP="00E640D1">
      <w:pPr>
        <w:pStyle w:val="LTUeberschrAntwortRessort"/>
        <w:spacing w:before="0"/>
      </w:pPr>
      <w:r>
        <w:t xml:space="preserve">Antwort des Staatsministeriums des Innern, für Bau und Verkehr im Einvernehmen mit dem Staatsministerium für Arbeit und Soziales, Familie und Integration </w:t>
      </w:r>
    </w:p>
    <w:p w:rsidR="00DB3BD0" w:rsidRDefault="00DB3BD0" w:rsidP="00DB3BD0">
      <w:pPr>
        <w:pStyle w:val="LTAntwortRessortText"/>
      </w:pPr>
      <w:r>
        <w:t>Der Staatsregierung liegen keine Zahlen dazu vor, wie viele Flüchtlinge direkt nach dem Gren</w:t>
      </w:r>
      <w:r>
        <w:t>z</w:t>
      </w:r>
      <w:r>
        <w:t>übertritt in die Ankunfts- und Rückführungseinrichtung nach Bamberg gebracht wurden. Die Fr</w:t>
      </w:r>
      <w:r>
        <w:t>a</w:t>
      </w:r>
      <w:r>
        <w:t>ge kann ausschließlich durch die bei Grenzübertritt zuständige Behörde Bundespolizei bzw. durch die für die Beförderung von Asylbegehrenden von den Bearbeitungsstraßen/Warteräumen hin zur Einrichtung nach Bamberg zuständige Koordinierungsstelle Flüchtlingsverteilung des Bundes (angesiedelt beim Bundesamt für Güterverkehr) beantwortet werden. Bei den Asyls</w:t>
      </w:r>
      <w:r>
        <w:t>u</w:t>
      </w:r>
      <w:r>
        <w:t>chenden, die in der Aufnahmeeinrichtung Bamberg aufgenommen werden, wird statistisch nicht erfasst, ob sie direkt nach dem Grenzübertritt oder zu einem späteren Zeitpunkt dort aufgeno</w:t>
      </w:r>
      <w:r>
        <w:t>m</w:t>
      </w:r>
      <w:r>
        <w:t>men worden sind. Damit können weder Angaben zum Herkunftsland noch zum Ausgang der Asylverfahren dieses Personenkreises gemacht werden.</w:t>
      </w:r>
    </w:p>
    <w:p w:rsidR="00DB3BD0" w:rsidRDefault="00022CC6" w:rsidP="00DB3BD0">
      <w:pPr>
        <w:pStyle w:val="LTAntwortRessortText"/>
      </w:pPr>
      <w:r>
        <w:t xml:space="preserve">Am 23. Januar </w:t>
      </w:r>
      <w:r w:rsidR="00DB3BD0">
        <w:t>2017 wurde aus der Aufnahmeeinrichtung Bamberg niemand nach Afghanistan abgeschoben.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w:t>
            </w:r>
            <w:r w:rsidRPr="00DB3BD0">
              <w:br/>
            </w:r>
            <w:r w:rsidRPr="00DB3BD0">
              <w:rPr>
                <w:b/>
              </w:rPr>
              <w:t>Dr. Simone</w:t>
            </w:r>
            <w:r w:rsidRPr="00DB3BD0">
              <w:rPr>
                <w:b/>
              </w:rPr>
              <w:br/>
              <w:t>Strohmayr</w:t>
            </w:r>
            <w:r w:rsidRPr="00DB3BD0">
              <w:rPr>
                <w:b/>
              </w:rPr>
              <w:br/>
            </w:r>
            <w:r w:rsidRPr="00DB3BD0">
              <w:t>(SPD)</w:t>
            </w:r>
            <w:r>
              <w:fldChar w:fldCharType="begin"/>
            </w:r>
            <w:r>
              <w:instrText xml:space="preserve"> TC </w:instrText>
            </w:r>
            <w:r w:rsidR="00FD4D2F">
              <w:instrText>„</w:instrText>
            </w:r>
            <w:bookmarkStart w:id="22" w:name="_Toc475001276"/>
            <w:r>
              <w:instrText>Dr. Strohmayr, Simone (SPD)</w:instrText>
            </w:r>
            <w:r>
              <w:br/>
              <w:instrText>Drogentote in Bayern</w:instrText>
            </w:r>
            <w:bookmarkEnd w:id="22"/>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hoch war in Bayern im Jahr 2016 die A</w:t>
            </w:r>
            <w:r>
              <w:t>n</w:t>
            </w:r>
            <w:r>
              <w:t xml:space="preserve">zahl an Drogentoten je 100.000 Einwohner, wie hoch war diese Zahl </w:t>
            </w:r>
            <w:r w:rsidR="00416271">
              <w:t>–</w:t>
            </w:r>
            <w:r>
              <w:t xml:space="preserve"> s</w:t>
            </w:r>
            <w:r>
              <w:t>o</w:t>
            </w:r>
            <w:r>
              <w:t xml:space="preserve">weit der Staatsregierung bekannt </w:t>
            </w:r>
            <w:r w:rsidR="00416271">
              <w:t>–</w:t>
            </w:r>
            <w:r w:rsidR="00FD4D2F">
              <w:t xml:space="preserve"> </w:t>
            </w:r>
            <w:r>
              <w:t>in den anderen Bundesländern und wie hat sie sich in Bayern zwischen 2010 und 2016 entwickelt?</w:t>
            </w:r>
          </w:p>
          <w:p w:rsidR="00DB3BD0" w:rsidRDefault="00DB3BD0" w:rsidP="00DB3BD0">
            <w:pPr>
              <w:pStyle w:val="LTAnfrageText"/>
            </w:pPr>
          </w:p>
        </w:tc>
      </w:tr>
    </w:tbl>
    <w:p w:rsidR="00DB3BD0" w:rsidRDefault="00DB3BD0" w:rsidP="00DB3BD0">
      <w:pPr>
        <w:pStyle w:val="LTUeberschrAntwortRessort"/>
      </w:pPr>
      <w:r>
        <w:t>Antwort des Staatsministeriums des Innern, für Bau und Verkehr</w:t>
      </w:r>
    </w:p>
    <w:p w:rsidR="00DB3BD0" w:rsidRDefault="00DB3BD0" w:rsidP="00DB3BD0">
      <w:pPr>
        <w:pStyle w:val="LTAntwortRessortText"/>
      </w:pPr>
      <w:r>
        <w:t>Für die Jahre 2010 bis einschließlich 2015 wurde die in der folgenden Übersicht dargestellte A</w:t>
      </w:r>
      <w:r>
        <w:t>n</w:t>
      </w:r>
      <w:r w:rsidR="000C74C3">
        <w:t>zahl an Rauschgiftt</w:t>
      </w:r>
      <w:r>
        <w:t>odesfällen in Bayern festgestellt. Fallzahlen liegen bislang nur bis einschlie</w:t>
      </w:r>
      <w:r>
        <w:t>ß</w:t>
      </w:r>
      <w:r>
        <w:t>lich November 2016 vor; im Zeitraum Januar bis einschließlich November 2016 w</w:t>
      </w:r>
      <w:r w:rsidR="00416271">
        <w:t>urden in Ba</w:t>
      </w:r>
      <w:r w:rsidR="00416271">
        <w:t>y</w:t>
      </w:r>
      <w:r w:rsidR="00416271">
        <w:t>ern 274 Rauschgiftt</w:t>
      </w:r>
      <w:r>
        <w:t>odesfälle registriert.</w:t>
      </w:r>
    </w:p>
    <w:p w:rsidR="00DB3BD0" w:rsidRDefault="00DB3BD0" w:rsidP="00DB3BD0">
      <w:pPr>
        <w:pStyle w:val="LTAntwortRessortText"/>
      </w:pPr>
    </w:p>
    <w:tbl>
      <w:tblPr>
        <w:tblStyle w:val="TableNormal"/>
        <w:tblW w:w="0" w:type="auto"/>
        <w:tblInd w:w="432" w:type="dxa"/>
        <w:tblLayout w:type="fixed"/>
        <w:tblLook w:val="01E0" w:firstRow="1" w:lastRow="1" w:firstColumn="1" w:lastColumn="1" w:noHBand="0" w:noVBand="0"/>
      </w:tblPr>
      <w:tblGrid>
        <w:gridCol w:w="1366"/>
        <w:gridCol w:w="1366"/>
        <w:gridCol w:w="1363"/>
        <w:gridCol w:w="1366"/>
        <w:gridCol w:w="1366"/>
        <w:gridCol w:w="1366"/>
      </w:tblGrid>
      <w:tr w:rsidR="00DD002A" w:rsidRPr="00DD002A" w:rsidTr="00DD002A">
        <w:trPr>
          <w:trHeight w:hRule="exact" w:val="286"/>
        </w:trPr>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b/>
                <w:sz w:val="20"/>
                <w:szCs w:val="20"/>
              </w:rPr>
            </w:pPr>
            <w:r w:rsidRPr="00DD002A">
              <w:rPr>
                <w:rFonts w:ascii="Times New Roman"/>
                <w:b/>
                <w:sz w:val="20"/>
                <w:szCs w:val="20"/>
              </w:rPr>
              <w:t>2010</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b/>
                <w:sz w:val="20"/>
                <w:szCs w:val="20"/>
              </w:rPr>
            </w:pPr>
            <w:r w:rsidRPr="00DD002A">
              <w:rPr>
                <w:rFonts w:ascii="Times New Roman"/>
                <w:b/>
                <w:sz w:val="20"/>
                <w:szCs w:val="20"/>
              </w:rPr>
              <w:t>2011</w:t>
            </w:r>
          </w:p>
        </w:tc>
        <w:tc>
          <w:tcPr>
            <w:tcW w:w="1363"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b/>
                <w:sz w:val="20"/>
                <w:szCs w:val="20"/>
              </w:rPr>
            </w:pPr>
            <w:r w:rsidRPr="00DD002A">
              <w:rPr>
                <w:rFonts w:ascii="Times New Roman"/>
                <w:b/>
                <w:sz w:val="20"/>
                <w:szCs w:val="20"/>
              </w:rPr>
              <w:t>2012</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4"/>
              <w:rPr>
                <w:rFonts w:ascii="Times New Roman" w:eastAsia="Times New Roman" w:hAnsi="Times New Roman" w:cs="Times New Roman"/>
                <w:b/>
                <w:sz w:val="20"/>
                <w:szCs w:val="20"/>
              </w:rPr>
            </w:pPr>
            <w:r w:rsidRPr="00DD002A">
              <w:rPr>
                <w:rFonts w:ascii="Times New Roman"/>
                <w:b/>
                <w:sz w:val="20"/>
                <w:szCs w:val="20"/>
              </w:rPr>
              <w:t>2013</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b/>
                <w:sz w:val="20"/>
                <w:szCs w:val="20"/>
              </w:rPr>
            </w:pPr>
            <w:r w:rsidRPr="00DD002A">
              <w:rPr>
                <w:rFonts w:ascii="Times New Roman"/>
                <w:b/>
                <w:sz w:val="20"/>
                <w:szCs w:val="20"/>
              </w:rPr>
              <w:t>2014</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b/>
                <w:sz w:val="20"/>
                <w:szCs w:val="20"/>
              </w:rPr>
            </w:pPr>
            <w:r w:rsidRPr="00DD002A">
              <w:rPr>
                <w:rFonts w:ascii="Times New Roman"/>
                <w:b/>
                <w:sz w:val="20"/>
                <w:szCs w:val="20"/>
              </w:rPr>
              <w:t>2015</w:t>
            </w:r>
          </w:p>
        </w:tc>
      </w:tr>
      <w:tr w:rsidR="00DD002A" w:rsidRPr="00DD002A" w:rsidTr="00DD002A">
        <w:trPr>
          <w:trHeight w:hRule="exact" w:val="286"/>
        </w:trPr>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262</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177</w:t>
            </w:r>
          </w:p>
        </w:tc>
        <w:tc>
          <w:tcPr>
            <w:tcW w:w="1363"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213</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4"/>
              <w:rPr>
                <w:rFonts w:ascii="Times New Roman" w:eastAsia="Times New Roman" w:hAnsi="Times New Roman" w:cs="Times New Roman"/>
                <w:sz w:val="20"/>
                <w:szCs w:val="20"/>
              </w:rPr>
            </w:pPr>
            <w:r w:rsidRPr="00DD002A">
              <w:rPr>
                <w:rFonts w:ascii="Times New Roman"/>
                <w:sz w:val="20"/>
                <w:szCs w:val="20"/>
              </w:rPr>
              <w:t>230</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252</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314</w:t>
            </w:r>
          </w:p>
        </w:tc>
      </w:tr>
    </w:tbl>
    <w:p w:rsidR="00DB3BD0" w:rsidRDefault="00DB3BD0" w:rsidP="00DB3BD0">
      <w:pPr>
        <w:pStyle w:val="LTAntwortRessortText"/>
      </w:pPr>
      <w:r>
        <w:t>Für ganz Deutschland wurden in den Jahren 2010 bis 2015 die aus der folgenden Tabelle e</w:t>
      </w:r>
      <w:r>
        <w:t>r</w:t>
      </w:r>
      <w:r>
        <w:t>sichtliche Anz</w:t>
      </w:r>
      <w:r w:rsidR="000C74C3">
        <w:t>ahl von Rauschgiftt</w:t>
      </w:r>
      <w:r>
        <w:t>odesfällen registriert:</w:t>
      </w:r>
    </w:p>
    <w:p w:rsidR="00DB3BD0" w:rsidRDefault="00DB3BD0" w:rsidP="00DB3BD0">
      <w:pPr>
        <w:pStyle w:val="LTAntwortRessortText"/>
      </w:pPr>
    </w:p>
    <w:tbl>
      <w:tblPr>
        <w:tblStyle w:val="TableNormal"/>
        <w:tblW w:w="0" w:type="auto"/>
        <w:tblInd w:w="432" w:type="dxa"/>
        <w:tblLayout w:type="fixed"/>
        <w:tblLook w:val="01E0" w:firstRow="1" w:lastRow="1" w:firstColumn="1" w:lastColumn="1" w:noHBand="0" w:noVBand="0"/>
      </w:tblPr>
      <w:tblGrid>
        <w:gridCol w:w="1366"/>
        <w:gridCol w:w="1366"/>
        <w:gridCol w:w="1363"/>
        <w:gridCol w:w="1366"/>
        <w:gridCol w:w="1366"/>
        <w:gridCol w:w="1366"/>
      </w:tblGrid>
      <w:tr w:rsidR="00DD002A" w:rsidRPr="00DD002A" w:rsidTr="00DD002A">
        <w:trPr>
          <w:trHeight w:hRule="exact" w:val="288"/>
        </w:trPr>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9" w:lineRule="exact"/>
              <w:ind w:left="102"/>
              <w:rPr>
                <w:rFonts w:ascii="Times New Roman" w:eastAsia="Times New Roman" w:hAnsi="Times New Roman" w:cs="Times New Roman"/>
                <w:b/>
                <w:sz w:val="20"/>
                <w:szCs w:val="20"/>
              </w:rPr>
            </w:pPr>
            <w:r w:rsidRPr="00DD002A">
              <w:rPr>
                <w:rFonts w:ascii="Times New Roman"/>
                <w:b/>
                <w:sz w:val="20"/>
                <w:szCs w:val="20"/>
              </w:rPr>
              <w:t>2010</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9" w:lineRule="exact"/>
              <w:ind w:left="102"/>
              <w:rPr>
                <w:rFonts w:ascii="Times New Roman" w:eastAsia="Times New Roman" w:hAnsi="Times New Roman" w:cs="Times New Roman"/>
                <w:b/>
                <w:sz w:val="20"/>
                <w:szCs w:val="20"/>
              </w:rPr>
            </w:pPr>
            <w:r w:rsidRPr="00DD002A">
              <w:rPr>
                <w:rFonts w:ascii="Times New Roman"/>
                <w:b/>
                <w:sz w:val="20"/>
                <w:szCs w:val="20"/>
              </w:rPr>
              <w:t>2011</w:t>
            </w:r>
          </w:p>
        </w:tc>
        <w:tc>
          <w:tcPr>
            <w:tcW w:w="1363"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9" w:lineRule="exact"/>
              <w:ind w:left="102"/>
              <w:rPr>
                <w:rFonts w:ascii="Times New Roman" w:eastAsia="Times New Roman" w:hAnsi="Times New Roman" w:cs="Times New Roman"/>
                <w:b/>
                <w:sz w:val="20"/>
                <w:szCs w:val="20"/>
              </w:rPr>
            </w:pPr>
            <w:r w:rsidRPr="00DD002A">
              <w:rPr>
                <w:rFonts w:ascii="Times New Roman"/>
                <w:b/>
                <w:sz w:val="20"/>
                <w:szCs w:val="20"/>
              </w:rPr>
              <w:t>2012</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9" w:lineRule="exact"/>
              <w:ind w:left="104"/>
              <w:rPr>
                <w:rFonts w:ascii="Times New Roman" w:eastAsia="Times New Roman" w:hAnsi="Times New Roman" w:cs="Times New Roman"/>
                <w:b/>
                <w:sz w:val="20"/>
                <w:szCs w:val="20"/>
              </w:rPr>
            </w:pPr>
            <w:r w:rsidRPr="00DD002A">
              <w:rPr>
                <w:rFonts w:ascii="Times New Roman"/>
                <w:b/>
                <w:sz w:val="20"/>
                <w:szCs w:val="20"/>
              </w:rPr>
              <w:t>2013</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9" w:lineRule="exact"/>
              <w:ind w:left="102"/>
              <w:rPr>
                <w:rFonts w:ascii="Times New Roman" w:eastAsia="Times New Roman" w:hAnsi="Times New Roman" w:cs="Times New Roman"/>
                <w:b/>
                <w:sz w:val="20"/>
                <w:szCs w:val="20"/>
              </w:rPr>
            </w:pPr>
            <w:r w:rsidRPr="00DD002A">
              <w:rPr>
                <w:rFonts w:ascii="Times New Roman"/>
                <w:b/>
                <w:sz w:val="20"/>
                <w:szCs w:val="20"/>
              </w:rPr>
              <w:t>2014</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9" w:lineRule="exact"/>
              <w:ind w:left="102"/>
              <w:rPr>
                <w:rFonts w:ascii="Times New Roman" w:eastAsia="Times New Roman" w:hAnsi="Times New Roman" w:cs="Times New Roman"/>
                <w:b/>
                <w:sz w:val="20"/>
                <w:szCs w:val="20"/>
              </w:rPr>
            </w:pPr>
            <w:r w:rsidRPr="00DD002A">
              <w:rPr>
                <w:rFonts w:ascii="Times New Roman"/>
                <w:b/>
                <w:sz w:val="20"/>
                <w:szCs w:val="20"/>
              </w:rPr>
              <w:t>2015</w:t>
            </w:r>
          </w:p>
        </w:tc>
      </w:tr>
      <w:tr w:rsidR="00DD002A" w:rsidRPr="00DD002A" w:rsidTr="00DD002A">
        <w:trPr>
          <w:trHeight w:hRule="exact" w:val="286"/>
        </w:trPr>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1.237</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986</w:t>
            </w:r>
          </w:p>
        </w:tc>
        <w:tc>
          <w:tcPr>
            <w:tcW w:w="1363"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944</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4"/>
              <w:rPr>
                <w:rFonts w:ascii="Times New Roman" w:eastAsia="Times New Roman" w:hAnsi="Times New Roman" w:cs="Times New Roman"/>
                <w:sz w:val="20"/>
                <w:szCs w:val="20"/>
              </w:rPr>
            </w:pPr>
            <w:r w:rsidRPr="00DD002A">
              <w:rPr>
                <w:rFonts w:ascii="Times New Roman"/>
                <w:sz w:val="20"/>
                <w:szCs w:val="20"/>
              </w:rPr>
              <w:t>1.002</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1.032</w:t>
            </w:r>
          </w:p>
        </w:tc>
        <w:tc>
          <w:tcPr>
            <w:tcW w:w="1366" w:type="dxa"/>
            <w:tcBorders>
              <w:top w:val="single" w:sz="5" w:space="0" w:color="BEBEBE"/>
              <w:left w:val="single" w:sz="5" w:space="0" w:color="BEBEBE"/>
              <w:bottom w:val="single" w:sz="5" w:space="0" w:color="BEBEBE"/>
              <w:right w:val="single" w:sz="5" w:space="0" w:color="BEBEBE"/>
            </w:tcBorders>
          </w:tcPr>
          <w:p w:rsidR="00DD002A" w:rsidRPr="00DD002A" w:rsidRDefault="00DD002A" w:rsidP="00E9757C">
            <w:pPr>
              <w:pStyle w:val="TableParagraph"/>
              <w:spacing w:line="267" w:lineRule="exact"/>
              <w:ind w:left="102"/>
              <w:rPr>
                <w:rFonts w:ascii="Times New Roman" w:eastAsia="Times New Roman" w:hAnsi="Times New Roman" w:cs="Times New Roman"/>
                <w:sz w:val="20"/>
                <w:szCs w:val="20"/>
              </w:rPr>
            </w:pPr>
            <w:r w:rsidRPr="00DD002A">
              <w:rPr>
                <w:rFonts w:ascii="Times New Roman"/>
                <w:sz w:val="20"/>
                <w:szCs w:val="20"/>
              </w:rPr>
              <w:t>1.226</w:t>
            </w:r>
          </w:p>
        </w:tc>
      </w:tr>
    </w:tbl>
    <w:p w:rsidR="00DB3BD0" w:rsidRDefault="00DB3BD0" w:rsidP="00DB3BD0">
      <w:pPr>
        <w:pStyle w:val="LTAntwortRessortText"/>
      </w:pPr>
      <w:r>
        <w:t>Entsprechende statistische Werte der Länder bzw. auf Bun</w:t>
      </w:r>
      <w:r w:rsidR="00DD002A">
        <w:t>desebene zur Anzahl von Rausch</w:t>
      </w:r>
      <w:r>
        <w:t>gif</w:t>
      </w:r>
      <w:r>
        <w:t>t</w:t>
      </w:r>
      <w:r w:rsidR="00DD002A">
        <w:t>t</w:t>
      </w:r>
      <w:r>
        <w:t xml:space="preserve">odesfällen für 2016 sind </w:t>
      </w:r>
      <w:r w:rsidR="00910923">
        <w:t xml:space="preserve">dem Staatsministerium des Innern, für Bau und Verkehr </w:t>
      </w:r>
      <w:r>
        <w:t>nicht bekannt.</w:t>
      </w:r>
    </w:p>
    <w:p w:rsidR="0067586E" w:rsidRDefault="0067586E" w:rsidP="00DB3BD0">
      <w:pPr>
        <w:pStyle w:val="LTAntwortRessortText"/>
      </w:pP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Martin</w:t>
            </w:r>
            <w:r w:rsidRPr="00DB3BD0">
              <w:rPr>
                <w:b/>
              </w:rPr>
              <w:br/>
              <w:t>Stümpfig</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23" w:name="_Toc475001277"/>
            <w:r>
              <w:instrText>Stümpfig, Martin (BÜNDNIS 90/DIE GRÜNEN)</w:instrText>
            </w:r>
            <w:r>
              <w:br/>
              <w:instrText>Abschiebung eines jungen Afghanen aus Ansbach</w:instrText>
            </w:r>
            <w:bookmarkEnd w:id="23"/>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 xml:space="preserve">Ich frage die Staatsregierung, welche weiteren Schritte werden im Fall des jungen Afghanen M. J. von der Staatsregierung und </w:t>
            </w:r>
            <w:r w:rsidR="00DD002A">
              <w:t>–</w:t>
            </w:r>
            <w:r>
              <w:t xml:space="preserve"> falls bekannt </w:t>
            </w:r>
            <w:r w:rsidR="00DD002A">
              <w:t>–</w:t>
            </w:r>
            <w:r>
              <w:t xml:space="preserve"> dem Bundesamt für Migration und Flüchtlinge (BAMF ) unternommen, ist ein pol</w:t>
            </w:r>
            <w:r>
              <w:t>i</w:t>
            </w:r>
            <w:r>
              <w:t>tisches Eilverfahren, welches eine Umgehung der Aussetzung der Abschi</w:t>
            </w:r>
            <w:r>
              <w:t>e</w:t>
            </w:r>
            <w:r>
              <w:t>bung durch den Einspruch des eingeschalteten Rechtsanwaltes zur Folge hätte, geplant, hat Herr J. die Möglichkeit</w:t>
            </w:r>
            <w:r w:rsidR="002E17FC">
              <w:t xml:space="preserve">, </w:t>
            </w:r>
            <w:r>
              <w:t>am 1. September 2017 nach e</w:t>
            </w:r>
            <w:r>
              <w:t>r</w:t>
            </w:r>
            <w:r>
              <w:t>folgreich abgeschlossener Einstiegsqualifizierung zum Kfz-Mechatroniker, die er derzeit in seinem Ausbildungsbetrieb in Bechhofen absolviert, eine reguläre Ausbildung zu beginnen?</w:t>
            </w:r>
          </w:p>
          <w:p w:rsidR="00DB3BD0" w:rsidRDefault="00DB3BD0" w:rsidP="00DB3BD0">
            <w:pPr>
              <w:pStyle w:val="LTAnfrageText"/>
            </w:pPr>
          </w:p>
        </w:tc>
      </w:tr>
    </w:tbl>
    <w:p w:rsidR="00DB3BD0" w:rsidRDefault="00DB3BD0" w:rsidP="00DB3BD0">
      <w:pPr>
        <w:pStyle w:val="LTUeberschrAntwortRessort"/>
      </w:pPr>
      <w:r>
        <w:lastRenderedPageBreak/>
        <w:t>Antwort des Staatsministeriums des Innern, für Bau und Verkehr</w:t>
      </w:r>
    </w:p>
    <w:p w:rsidR="00DB3BD0" w:rsidRDefault="00DB3BD0" w:rsidP="00DB3BD0">
      <w:pPr>
        <w:pStyle w:val="LTAntwortRessortText"/>
      </w:pPr>
      <w:r>
        <w:t>Das Bundesamt für Migration und Flüchtlinge hat den Asylantrag von Herrn J. abgelehnt und ihm die Abschiebung in sein Heimatland Afghanistan angedroht. Eine Mitteilung vom Bundesamt über die Bestandskraft der Entscheidung oder die Klageerhebung liegt der zuständigen Auslä</w:t>
      </w:r>
      <w:r>
        <w:t>n</w:t>
      </w:r>
      <w:r>
        <w:t>derbehörde (noch) nicht vor. Eine Klage gegen die ablehnende Entscheidung des Bundesamtes hätte aufschiebende Wirkung.</w:t>
      </w:r>
    </w:p>
    <w:p w:rsidR="00DB3BD0" w:rsidRDefault="00DB3BD0" w:rsidP="00DB3BD0">
      <w:pPr>
        <w:pStyle w:val="LTAntwortRessortText"/>
      </w:pPr>
      <w:r>
        <w:t>Die Durchsetzung der Ausreisepflicht setzt zunächst den bestandskräftigen Abschluss des Asy</w:t>
      </w:r>
      <w:r>
        <w:t>l</w:t>
      </w:r>
      <w:r>
        <w:t>verfahrens voraus. Herr J. hält sich daher derzeit noch gestattet im Bundesgebiet auf und darf seine Einstiegsqualifizierung bis auf weiteres fortsetzen. Die Frage nach der Erteilung einer Du</w:t>
      </w:r>
      <w:r>
        <w:t>l</w:t>
      </w:r>
      <w:r>
        <w:t>dung stellt sich erst bei Vollziehbarkeit der Ausreisepflicht.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Angelika</w:t>
            </w:r>
            <w:r w:rsidRPr="00DB3BD0">
              <w:rPr>
                <w:b/>
              </w:rPr>
              <w:br/>
              <w:t>Weikert</w:t>
            </w:r>
            <w:r w:rsidRPr="00DB3BD0">
              <w:rPr>
                <w:b/>
              </w:rPr>
              <w:br/>
            </w:r>
            <w:r w:rsidRPr="00DB3BD0">
              <w:t>(SPD)</w:t>
            </w:r>
            <w:r>
              <w:fldChar w:fldCharType="begin"/>
            </w:r>
            <w:r>
              <w:instrText xml:space="preserve"> TC </w:instrText>
            </w:r>
            <w:r w:rsidR="00FD4D2F">
              <w:instrText>„</w:instrText>
            </w:r>
            <w:bookmarkStart w:id="24" w:name="_Toc475001278"/>
            <w:r>
              <w:instrText>Weikert, Angelika (SPD)</w:instrText>
            </w:r>
            <w:r>
              <w:br/>
              <w:instrText>Abschiebungen trotz anderslautender Empfehlung der Härtefallkommission</w:instrText>
            </w:r>
            <w:bookmarkEnd w:id="24"/>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Angesichts des verstärkten Bestrebens der Staatsregierung, ausreisepflic</w:t>
            </w:r>
            <w:r>
              <w:t>h</w:t>
            </w:r>
            <w:r>
              <w:t>tige Personen abzuschieben und der Möglichkeit der Härtefallkommission, ausnahmsweise die Erteilung einer Aufenthaltserlaubnis an Ausländerinnen und Ausländer zu empfehlen, die eigentlich zur Ausreise verpflichtet sind, frage ich die Staatsregierung, in welchen Fällen Ausländerinnen und Au</w:t>
            </w:r>
            <w:r>
              <w:t>s</w:t>
            </w:r>
            <w:r>
              <w:t>länder während der laufenden Härtefallprüfung ihres Falles durch die Härt</w:t>
            </w:r>
            <w:r>
              <w:t>e</w:t>
            </w:r>
            <w:r>
              <w:t>fallkommission abgeschoben wurden, in welchen Fällen Ausländerinnen und Ausländer trotz eines Härtefallersuchens der Härtefallkommission an das Staatsministerium des Innern, für Bau und Verkehr abgeschoben wurden und mit welcher Begründung dies jeweils geschah?</w:t>
            </w:r>
          </w:p>
          <w:p w:rsidR="00DB3BD0" w:rsidRDefault="00DB3BD0" w:rsidP="00DB3BD0">
            <w:pPr>
              <w:pStyle w:val="LTAnfrageText"/>
            </w:pPr>
          </w:p>
        </w:tc>
      </w:tr>
    </w:tbl>
    <w:p w:rsidR="00DB3BD0" w:rsidRDefault="00DB3BD0" w:rsidP="00E640D1">
      <w:pPr>
        <w:pStyle w:val="LTUeberschrAntwortRessort"/>
        <w:spacing w:before="240"/>
      </w:pPr>
      <w:r>
        <w:t>Antwort des Staatsministeriums des Innern, für Bau und Verkehr</w:t>
      </w:r>
    </w:p>
    <w:p w:rsidR="00DB3BD0" w:rsidRDefault="00DB3BD0" w:rsidP="00DB3BD0">
      <w:pPr>
        <w:pStyle w:val="LTAntwortRessortText"/>
      </w:pPr>
      <w:r>
        <w:t>Bisher wurde in einem Fall eine vierköpfige aserbaidschanische Familie nach negativem A</w:t>
      </w:r>
      <w:r>
        <w:t>b</w:t>
      </w:r>
      <w:r>
        <w:t>schluss der Asylverfahren abgeschoben, nachdem ein Befassungsvorschlag eines Kommiss</w:t>
      </w:r>
      <w:r>
        <w:t>i</w:t>
      </w:r>
      <w:r>
        <w:t>onsmitglieds bei der Geschäftsstelle der Härtefallkommission eingegangen war. Zum fraglichen Zeitpunkt stand ein Rückführungstermin bereits konkret fest. Nach § 23a Abs. 1 Satz 3 des Au</w:t>
      </w:r>
      <w:r>
        <w:t>f</w:t>
      </w:r>
      <w:r>
        <w:t>enthaltsgesetzes in der Fassung des Asylverfahrensbe</w:t>
      </w:r>
      <w:r w:rsidR="00DD002A">
        <w:t xml:space="preserve">schleunigungsgesetzes vom 20. Oktober </w:t>
      </w:r>
      <w:r>
        <w:t>2015 (BGBl. I 2015, 1722) ist die Annahme eines Härtefalls in der Regel ausgeschlossen, wenn ein Rückführungstermin bereits konkret feststeht. Aufenthaltsbeendigungen in Fällen, in denen die Härtefallkommission ein Ersuchen an das Staatsministerium des Innern, für Bau und Verkehr gestellt hat, sind bislang nicht erfolgt.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Johanna</w:t>
            </w:r>
            <w:r w:rsidRPr="00DB3BD0">
              <w:rPr>
                <w:b/>
              </w:rPr>
              <w:br/>
              <w:t>Werner-Muggendorfer</w:t>
            </w:r>
            <w:r w:rsidRPr="00DB3BD0">
              <w:rPr>
                <w:b/>
              </w:rPr>
              <w:br/>
            </w:r>
            <w:r w:rsidRPr="00DB3BD0">
              <w:t>(SPD)</w:t>
            </w:r>
            <w:r>
              <w:fldChar w:fldCharType="begin"/>
            </w:r>
            <w:r>
              <w:instrText xml:space="preserve"> TC </w:instrText>
            </w:r>
            <w:r w:rsidR="00FD4D2F">
              <w:instrText>„</w:instrText>
            </w:r>
            <w:bookmarkStart w:id="25" w:name="_Toc475001279"/>
            <w:r>
              <w:instrText>Werner-Muggendorfer, Johanna (SPD)</w:instrText>
            </w:r>
            <w:r>
              <w:br/>
              <w:instrText>Vollzug des Aufenthaltsgesetzes (AufenthG) durch das Landratsamt Starnberg</w:instrText>
            </w:r>
            <w:bookmarkEnd w:id="25"/>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E640D1">
            <w:pPr>
              <w:pStyle w:val="LTAnfrageText"/>
            </w:pPr>
            <w:r>
              <w:t>Ich frage die Staatsregierung, in wie vielen Fällen haben Ausländerinnen und Ausländer, bei denen das Bundesamt für Migration und Flüchtlinge (BAMF) ein Abschiebeverbot nach § 60 Abs. 5 und 7 Satz 1 des Aufenthaltsgesetzes (AufenhG) festgestellt hat und die Anspruch auf Erteilung einer Aufenthalt</w:t>
            </w:r>
            <w:r>
              <w:t>s</w:t>
            </w:r>
            <w:r>
              <w:t>erlaubnis nach § 25 Abs. 3 AufenthG haben und denen über die Antragste</w:t>
            </w:r>
            <w:r>
              <w:t>l</w:t>
            </w:r>
            <w:r>
              <w:t>lung eine Fiktionsbescheinigung nach § 81 Abs. 5 AufenthG auszustellen ist, mindestens seit September 2016 bei der Ausländerbehörde des Landrat</w:t>
            </w:r>
            <w:r>
              <w:t>s</w:t>
            </w:r>
            <w:r>
              <w:t>amts Starnberg keinen Termin für die Antragstellung zur Erteilung einer Au</w:t>
            </w:r>
            <w:r>
              <w:t>f</w:t>
            </w:r>
            <w:r>
              <w:t>enthaltserlaubnis nach § 25 Abs. 3 AufenthG erhalten, warum wurde diesen Ausländern statt einer Aufenthaltserlaubnis eine Duldung erteilt und ist der Staatsregierung bekannt, ob andere Kreisverwaltungsbehörden ebenso wie das Landratsamt Starnberg verfahren?</w:t>
            </w:r>
          </w:p>
        </w:tc>
      </w:tr>
    </w:tbl>
    <w:p w:rsidR="00DB3BD0" w:rsidRDefault="00DB3BD0" w:rsidP="00DB3BD0">
      <w:pPr>
        <w:pStyle w:val="LTUeberschrAntwortRessort"/>
      </w:pPr>
      <w:r>
        <w:lastRenderedPageBreak/>
        <w:t>Antwort des Staatsministeriums des Innern, für Bau und Verkehr</w:t>
      </w:r>
    </w:p>
    <w:p w:rsidR="00DB3BD0" w:rsidRDefault="00DB3BD0" w:rsidP="00DB3BD0">
      <w:pPr>
        <w:pStyle w:val="LTAntwortRessortText"/>
      </w:pPr>
      <w:r>
        <w:t>Nach § 25 Abs</w:t>
      </w:r>
      <w:r w:rsidR="00A870D3">
        <w:t xml:space="preserve">. 3 </w:t>
      </w:r>
      <w:r w:rsidR="002B0D52">
        <w:t>AufenthG</w:t>
      </w:r>
      <w:r w:rsidR="00A870D3">
        <w:t xml:space="preserve"> soll einem Ausländer</w:t>
      </w:r>
      <w:r>
        <w:t xml:space="preserve"> eine Aufenthaltserlaubnis erteilt werden, wenn ein Abschiebungsverbot nach § 60 Abs. 5 oder 7 </w:t>
      </w:r>
      <w:r w:rsidR="00A870D3">
        <w:t>Auf</w:t>
      </w:r>
      <w:r w:rsidR="002B0D52">
        <w:t>enthG</w:t>
      </w:r>
      <w:r>
        <w:t xml:space="preserve"> vorliegt. Auf dieser Grundlage erteilt auch das Landratsamt </w:t>
      </w:r>
      <w:r w:rsidR="00A870D3">
        <w:t xml:space="preserve">(LRA) </w:t>
      </w:r>
      <w:r>
        <w:t>Starnberg in ständiger Verwaltungspraxis eine Aufenthaltserlau</w:t>
      </w:r>
      <w:r>
        <w:t>b</w:t>
      </w:r>
      <w:r>
        <w:t xml:space="preserve">nis nach § 25 Abs. 3 </w:t>
      </w:r>
      <w:r w:rsidR="00A870D3">
        <w:t>AufenthG</w:t>
      </w:r>
      <w:r>
        <w:t xml:space="preserve"> für Ausländer, bei denen das Vorliegen eines Abschiebungsve</w:t>
      </w:r>
      <w:r>
        <w:t>r</w:t>
      </w:r>
      <w:r>
        <w:t>botes festgestellt worden ist.</w:t>
      </w:r>
    </w:p>
    <w:p w:rsidR="00DB3BD0" w:rsidRDefault="00DB3BD0" w:rsidP="00DB3BD0">
      <w:pPr>
        <w:pStyle w:val="LTAntwortRessortText"/>
      </w:pPr>
      <w:r>
        <w:t>Dafür ist nach geltendem Bundesrecht allerdings die Mitteilung des Bundesamts für Migration und Flüchtlinge (</w:t>
      </w:r>
      <w:r w:rsidR="00A870D3">
        <w:t>BAMF</w:t>
      </w:r>
      <w:r>
        <w:t xml:space="preserve">) über den Eintritt der Bestandskraft abzuwarten. Nach § 10 Abs. 1 </w:t>
      </w:r>
      <w:r w:rsidR="000C74C3">
        <w:br/>
      </w:r>
      <w:r w:rsidR="00A870D3">
        <w:t>AufenthG</w:t>
      </w:r>
      <w:r>
        <w:t xml:space="preserve"> setzt die Erteilung eines Aufenthaltstitels b</w:t>
      </w:r>
      <w:r w:rsidR="00A870D3">
        <w:t>ei vorherigem Asylantrag regel</w:t>
      </w:r>
      <w:r>
        <w:t>mäßig v</w:t>
      </w:r>
      <w:r>
        <w:t>o</w:t>
      </w:r>
      <w:r>
        <w:t>raus, dass das Asylverfahren insgesamt bestandskräftig abgeschlossen worden ist.</w:t>
      </w:r>
    </w:p>
    <w:p w:rsidR="00DB3BD0" w:rsidRDefault="00DB3BD0" w:rsidP="00DB3BD0">
      <w:pPr>
        <w:pStyle w:val="LTAntwortRessortText"/>
      </w:pPr>
      <w:r>
        <w:t xml:space="preserve">Aufgrund eines Missverständnisses hat das </w:t>
      </w:r>
      <w:r w:rsidR="00A870D3">
        <w:t>LRA</w:t>
      </w:r>
      <w:r>
        <w:t xml:space="preserve"> Starnberg nach Vorlage der Bescheide </w:t>
      </w:r>
      <w:r w:rsidR="00A870D3">
        <w:t xml:space="preserve">des BAMF </w:t>
      </w:r>
      <w:r>
        <w:t>durch die Antragsteller verschiedentlich Duldungen erteilt; tatsächlich wäre den Antra</w:t>
      </w:r>
      <w:r>
        <w:t>g</w:t>
      </w:r>
      <w:r>
        <w:t>stellern stattdessen aber die Asylgestattung zunächst zu belassen gewesen. Dies wird künftig so auch wieder gehandhabt werden. Die Zahl der Fälle, in denen zunächst eine Duldung erteilt wurde, wird statistisch nicht erfasst und ist mit vertretbarem Aufwand nicht zu ermitteln.</w:t>
      </w:r>
    </w:p>
    <w:p w:rsidR="00DB3BD0" w:rsidRDefault="00DB3BD0" w:rsidP="00DB3BD0">
      <w:pPr>
        <w:pStyle w:val="LTAntwortRessortText"/>
      </w:pPr>
      <w:r>
        <w:t xml:space="preserve">Sobald die Mitteilung über die Bestandskraft vorliegt, vergibt das </w:t>
      </w:r>
      <w:r w:rsidR="00A870D3">
        <w:t>LRA</w:t>
      </w:r>
      <w:r>
        <w:t xml:space="preserve"> Starnberg einen Termin für die Erteilung des Aufenthaltstitels. Aufgrund der hohen Zugangszahlen im Zuge der Flüch</w:t>
      </w:r>
      <w:r>
        <w:t>t</w:t>
      </w:r>
      <w:r>
        <w:t xml:space="preserve">lingskrise kommt es dabei leider immer wieder zu Verzögerungen. Das </w:t>
      </w:r>
      <w:r w:rsidR="00A870D3">
        <w:t>LRA</w:t>
      </w:r>
      <w:r>
        <w:t xml:space="preserve"> Starnberg bemüht sich, die Verfahren nach Eingang der Bestandskraftmitteilung des Bundesamts zügig abz</w:t>
      </w:r>
      <w:r>
        <w:t>u</w:t>
      </w:r>
      <w:r>
        <w:t>schließen.</w:t>
      </w:r>
    </w:p>
    <w:p w:rsidR="00E640D1" w:rsidRDefault="00E640D1">
      <w:pPr>
        <w:rPr>
          <w:rFonts w:cs="Arial"/>
          <w:b/>
          <w:sz w:val="22"/>
          <w:szCs w:val="22"/>
        </w:rPr>
      </w:pPr>
      <w:r>
        <w:br w:type="page"/>
      </w:r>
    </w:p>
    <w:p w:rsidR="00DB3BD0" w:rsidRDefault="00DB3BD0" w:rsidP="00DB3BD0">
      <w:pPr>
        <w:pStyle w:val="LTUeberschrRessort"/>
      </w:pPr>
      <w:r>
        <w:lastRenderedPageBreak/>
        <w:t>Geschäftsbereich des Staatsministeriums der Justiz</w:t>
      </w:r>
      <w:r>
        <w:fldChar w:fldCharType="begin"/>
      </w:r>
      <w:r>
        <w:instrText xml:space="preserve"> TC </w:instrText>
      </w:r>
      <w:r w:rsidR="00FD4D2F">
        <w:instrText>„</w:instrText>
      </w:r>
      <w:bookmarkStart w:id="26" w:name="_Toc475001280"/>
      <w:r>
        <w:instrText>Geschäftsbereich des Staatsministeriums der Justiz</w:instrText>
      </w:r>
      <w:bookmarkEnd w:id="26"/>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Inge</w:t>
            </w:r>
            <w:r w:rsidRPr="00DB3BD0">
              <w:rPr>
                <w:b/>
              </w:rPr>
              <w:br/>
              <w:t>Aures</w:t>
            </w:r>
            <w:r w:rsidRPr="00DB3BD0">
              <w:rPr>
                <w:b/>
              </w:rPr>
              <w:br/>
            </w:r>
            <w:r w:rsidRPr="00DB3BD0">
              <w:t>(SPD)</w:t>
            </w:r>
            <w:r>
              <w:fldChar w:fldCharType="begin"/>
            </w:r>
            <w:r>
              <w:instrText xml:space="preserve"> TC </w:instrText>
            </w:r>
            <w:r w:rsidR="00FD4D2F">
              <w:instrText>„</w:instrText>
            </w:r>
            <w:bookmarkStart w:id="27" w:name="_Toc475001281"/>
            <w:r>
              <w:instrText>Aures, Inge (SPD)</w:instrText>
            </w:r>
            <w:r>
              <w:br/>
              <w:instrText>Justizvollzugsanstalt Marktredwitz</w:instrText>
            </w:r>
            <w:bookmarkEnd w:id="27"/>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ist der aktuelle Sachstand bei der Real</w:t>
            </w:r>
            <w:r>
              <w:t>i</w:t>
            </w:r>
            <w:r>
              <w:t>sierung der geplanten Justizvollzugsanstalt in Marktredwitz, liegt ein ba</w:t>
            </w:r>
            <w:r>
              <w:t>u</w:t>
            </w:r>
            <w:r>
              <w:t>fachliches Gutachten für die möglichen Standorte vor und wann genau ist mit einem Baubeginn zu rechnen?</w:t>
            </w:r>
          </w:p>
          <w:p w:rsidR="00DB3BD0" w:rsidRDefault="00DB3BD0" w:rsidP="00DB3BD0">
            <w:pPr>
              <w:pStyle w:val="LTAnfrageText"/>
            </w:pPr>
          </w:p>
        </w:tc>
      </w:tr>
    </w:tbl>
    <w:p w:rsidR="00DB3BD0" w:rsidRDefault="00DB3BD0" w:rsidP="00DB3BD0">
      <w:pPr>
        <w:pStyle w:val="LTUeberschrAntwortRessort"/>
      </w:pPr>
      <w:r>
        <w:t>Antwort des Staatsministeriums der Justiz</w:t>
      </w:r>
    </w:p>
    <w:p w:rsidR="00DB3BD0" w:rsidRDefault="00DB3BD0" w:rsidP="00DB3BD0">
      <w:pPr>
        <w:pStyle w:val="LTAntwortRessortText"/>
      </w:pPr>
      <w:r>
        <w:t>Das Staatliche Bauamt Bayreuth hat am 15. Februar 2016 ein positives baufachliches Gutachten zu dem von der Stadt Marktredwitz als Standort für den Neubau der Justizvollzugsanstalt vorg</w:t>
      </w:r>
      <w:r>
        <w:t>e</w:t>
      </w:r>
      <w:r>
        <w:t xml:space="preserve">schlagenen Grundstücksareal </w:t>
      </w:r>
      <w:r w:rsidR="00FD4D2F">
        <w:t>„</w:t>
      </w:r>
      <w:r>
        <w:t>Rathaushütte</w:t>
      </w:r>
      <w:r w:rsidR="00FD4D2F">
        <w:t>“</w:t>
      </w:r>
      <w:r>
        <w:t xml:space="preserve"> im Stadtteil Lorenzreuth erstellt. Auf dieser Grun</w:t>
      </w:r>
      <w:r>
        <w:t>d</w:t>
      </w:r>
      <w:r>
        <w:t>lage ist am 2. März 2016 die entsprechende Standortentscheidung getroffen und öffentlich ve</w:t>
      </w:r>
      <w:r>
        <w:t>r</w:t>
      </w:r>
      <w:r>
        <w:t xml:space="preserve">kündet worden. Das Staatsministerium der Finanzen, für Landesentwicklung und Heimat </w:t>
      </w:r>
      <w:r w:rsidR="00E9757C">
        <w:t>(St</w:t>
      </w:r>
      <w:r w:rsidR="00E9757C">
        <w:t>M</w:t>
      </w:r>
      <w:r w:rsidR="00E9757C">
        <w:t xml:space="preserve">FLH) </w:t>
      </w:r>
      <w:r>
        <w:t>wurde gebeten, dem notwendigen Grunderwerb zuzustimmen und die Immobilien Freistaat Bayern mit der Aufnahme von Erwerbsverhandlungen zu beauftragen. Der Vollzug des Grun</w:t>
      </w:r>
      <w:r>
        <w:t>d</w:t>
      </w:r>
      <w:r>
        <w:t xml:space="preserve">erwerbs bleibt abzuwarten. Im Anschluss an die entsprechende Vollzugsmitteilung soll </w:t>
      </w:r>
      <w:r w:rsidR="00E9757C">
        <w:t>–</w:t>
      </w:r>
      <w:r>
        <w:t xml:space="preserve"> vorb</w:t>
      </w:r>
      <w:r>
        <w:t>e</w:t>
      </w:r>
      <w:r>
        <w:t xml:space="preserve">haltlich der insoweit erforderlichen Zustimmung des </w:t>
      </w:r>
      <w:r w:rsidR="00E9757C">
        <w:t>StMFLH –</w:t>
      </w:r>
      <w:r>
        <w:t xml:space="preserve"> unverzüglich mit der Ausschre</w:t>
      </w:r>
      <w:r>
        <w:t>i</w:t>
      </w:r>
      <w:r>
        <w:t>bung eines Architektenwettbewerbs begonnen werden. Für die daran anschließende Planungs-und Bauphase ist ein Zeitraum von etwa fünf Jahren zu veranschlagen.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8"/>
        <w:gridCol w:w="7041"/>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Eva</w:t>
            </w:r>
            <w:r w:rsidRPr="00DB3BD0">
              <w:rPr>
                <w:b/>
              </w:rPr>
              <w:br/>
              <w:t>Gottstein</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28" w:name="_Toc475001282"/>
            <w:r>
              <w:instrText>Gottstein, Eva (FREIE WÄHLER)</w:instrText>
            </w:r>
            <w:r>
              <w:br/>
              <w:instrText>Personalnot beim Generalbundesanwalt</w:instrText>
            </w:r>
            <w:bookmarkEnd w:id="28"/>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welche Konsequenzen hat die Ankündigung von Staatsministers der Justiz, Prof. Dr. Winfried Bausback, der Genera</w:t>
            </w:r>
            <w:r>
              <w:t>l</w:t>
            </w:r>
            <w:r>
              <w:t>bundesanwalt Dr. Peter Frank zusätzliches Personal zugesagt hat, insb</w:t>
            </w:r>
            <w:r>
              <w:t>e</w:t>
            </w:r>
            <w:r>
              <w:t>sondere wie viel Personal wird voraussichtlich abgeordnet und was g</w:t>
            </w:r>
            <w:r>
              <w:t>e</w:t>
            </w:r>
            <w:r>
              <w:t>schieht mit den Aufgaben, die diese Personen aktuell in Bayern erfüllen (Nachbesetzung der Stellen oder Vakanz bis zur Rückkehr der zur Genera</w:t>
            </w:r>
            <w:r>
              <w:t>l</w:t>
            </w:r>
            <w:r>
              <w:t>bundesanwaltschaft abgeordnete</w:t>
            </w:r>
            <w:r w:rsidR="001A3B0A">
              <w:t>n Beamtinnen und</w:t>
            </w:r>
            <w:r>
              <w:t xml:space="preserve"> Beamte)?</w:t>
            </w:r>
          </w:p>
          <w:p w:rsidR="00DB3BD0" w:rsidRDefault="00DB3BD0" w:rsidP="00DB3BD0">
            <w:pPr>
              <w:pStyle w:val="LTAnfrageText"/>
            </w:pPr>
          </w:p>
        </w:tc>
      </w:tr>
    </w:tbl>
    <w:p w:rsidR="00DB3BD0" w:rsidRDefault="00DB3BD0" w:rsidP="00DB3BD0">
      <w:pPr>
        <w:pStyle w:val="LTUeberschrAntwortRessort"/>
      </w:pPr>
      <w:r>
        <w:t>Antwort des Staatsministeriums der Justiz</w:t>
      </w:r>
    </w:p>
    <w:p w:rsidR="00DB3BD0" w:rsidRDefault="00DB3BD0" w:rsidP="00DB3BD0">
      <w:pPr>
        <w:pStyle w:val="LTAntwortRessortText"/>
      </w:pPr>
      <w:r>
        <w:t>Die angemessene Ausstattung der Bundesanwaltschaft mit Stellen und ihre sachgerechte B</w:t>
      </w:r>
      <w:r>
        <w:t>e</w:t>
      </w:r>
      <w:r>
        <w:t>setzung ist primär Aufgabe des Bundes. Terrorabwehr und die Verhinderung von Anschlägen sind jedoch auch eine gesamtgesellschaftliche Aufgabe. Die bayerische Justiz unterstützt daher in ständiger Übung seit vielen Jahren die Bundesanwaltschaft im Rahmen ihrer Möglichkeiten durch vorübergehende Abordnungen von Richtern und Staatsanwälten. Zusätzlich zu den b</w:t>
      </w:r>
      <w:r>
        <w:t>e</w:t>
      </w:r>
      <w:r>
        <w:t>reits sieben an die Bundesanwaltschaft abgeordneten Richtern</w:t>
      </w:r>
      <w:r w:rsidR="00E9757C">
        <w:t xml:space="preserve"> und Staatsanwälten werden zum </w:t>
      </w:r>
      <w:r>
        <w:t xml:space="preserve">1. </w:t>
      </w:r>
      <w:r w:rsidR="00E9757C">
        <w:t xml:space="preserve">März 2017 zwei weitere und zum </w:t>
      </w:r>
      <w:r>
        <w:t>1. April 2017 eine weitere Abordnung vorgenommen. Da</w:t>
      </w:r>
      <w:r>
        <w:t>r</w:t>
      </w:r>
      <w:r>
        <w:t>über hinaus wurden dem Generalbundesanwalt zwei Interessenten gemeldet, einer hat seine Bewerbung zwischenzeitlich zurückgenommen. Die Präsidenten der Oberlandesgerichte und die Generalstaatsanwälte wurden zudem gebeten, etwaige weitere Interessenten zu melden.</w:t>
      </w:r>
    </w:p>
    <w:p w:rsidR="00DB3BD0" w:rsidRDefault="00DB3BD0" w:rsidP="00DB3BD0">
      <w:pPr>
        <w:pStyle w:val="LTAntwortRessortText"/>
      </w:pPr>
      <w:r>
        <w:lastRenderedPageBreak/>
        <w:t>Zur Sicherung einer sachgerechten Aufgabenerfüllung der bayerischen Justiz kommt den B</w:t>
      </w:r>
      <w:r>
        <w:t>e</w:t>
      </w:r>
      <w:r>
        <w:t xml:space="preserve">langen der </w:t>
      </w:r>
      <w:r w:rsidR="00FD4D2F">
        <w:t>„</w:t>
      </w:r>
      <w:r>
        <w:t>abgebenden</w:t>
      </w:r>
      <w:r w:rsidR="00FD4D2F">
        <w:t>“</w:t>
      </w:r>
      <w:r>
        <w:t xml:space="preserve"> Gerichte und Staatsanwaltschaften bei der Entscheidung, ob eine A</w:t>
      </w:r>
      <w:r>
        <w:t>b</w:t>
      </w:r>
      <w:r>
        <w:t>ordnung erfolgt, besonderes Gewicht zu. Sofern dienstliche Belange einer Abordnung intere</w:t>
      </w:r>
      <w:r>
        <w:t>s</w:t>
      </w:r>
      <w:r>
        <w:t>sierter Richter und Staatsanwälte aktuell entgegenstehen, wird der Zeitpunkt des Abordnung</w:t>
      </w:r>
      <w:r>
        <w:t>s</w:t>
      </w:r>
      <w:r>
        <w:t xml:space="preserve">beginns angepasst, gegebenenfalls unterbleibt die Abordnung auch. In jedem Fall werden die in Folge der Abordnung frei werdenden Stellen unmittelbar nachbesetzt. </w:t>
      </w:r>
    </w:p>
    <w:p w:rsidR="00DB3BD0" w:rsidRDefault="00DB3BD0" w:rsidP="00DB3BD0">
      <w:pPr>
        <w:pStyle w:val="LTAntwortRessortText"/>
      </w:pPr>
      <w:r>
        <w:t>Allgemein gilt, dass zeitlich begrenzte Verwendungen außerhalb des bayerischen Justizdienstes ein wichtiger Bestandteil der Personalgewinnung und -e</w:t>
      </w:r>
      <w:r w:rsidR="00E9757C">
        <w:t>ntwicklung sind. Für viele hoch</w:t>
      </w:r>
      <w:r>
        <w:t>qualif</w:t>
      </w:r>
      <w:r>
        <w:t>i</w:t>
      </w:r>
      <w:r>
        <w:t>zierte Bewerber ist die Aussicht, die Gelegenheit zu bekommen, vorübergehend an einer Bu</w:t>
      </w:r>
      <w:r>
        <w:t>n</w:t>
      </w:r>
      <w:r>
        <w:t>desbehörde oder einem obersten Gericht des Bundes tätig zu werden, ein wichtiger Gesicht</w:t>
      </w:r>
      <w:r>
        <w:t>s</w:t>
      </w:r>
      <w:r>
        <w:t>punkt, sich für die bay</w:t>
      </w:r>
      <w:r w:rsidR="00E9757C">
        <w:t xml:space="preserve">erische Justiz zu entscheiden. </w:t>
      </w:r>
      <w:r>
        <w:t>Die im Rahmen dieser Verwendungen g</w:t>
      </w:r>
      <w:r>
        <w:t>e</w:t>
      </w:r>
      <w:r>
        <w:t>wonnenen Erkenntnisse können nach Rückkehr wieder zum Nutzen der bayerischen Justiz ei</w:t>
      </w:r>
      <w:r>
        <w:t>n</w:t>
      </w:r>
      <w:r>
        <w:t>gesetzt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Dr. Herbert</w:t>
            </w:r>
            <w:r w:rsidRPr="00DB3BD0">
              <w:rPr>
                <w:b/>
              </w:rPr>
              <w:br/>
              <w:t>Kränzlein</w:t>
            </w:r>
            <w:r w:rsidRPr="00DB3BD0">
              <w:rPr>
                <w:b/>
              </w:rPr>
              <w:br/>
            </w:r>
            <w:r w:rsidRPr="00DB3BD0">
              <w:t>(SPD)</w:t>
            </w:r>
            <w:r>
              <w:fldChar w:fldCharType="begin"/>
            </w:r>
            <w:r>
              <w:instrText xml:space="preserve"> TC </w:instrText>
            </w:r>
            <w:r w:rsidR="00FD4D2F">
              <w:instrText>„</w:instrText>
            </w:r>
            <w:bookmarkStart w:id="29" w:name="_Toc475001283"/>
            <w:r>
              <w:instrText>Dr. Kränzlein, Herbert (SPD)</w:instrText>
            </w:r>
            <w:r>
              <w:br/>
              <w:instrText>Unbesetzte Stellen zum 31. Dezember 2016 bei den Gerichten und Staatsanwaltschaften</w:instrText>
            </w:r>
            <w:bookmarkEnd w:id="29"/>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 xml:space="preserve">Ich frage die Staatsregierung, wie viele der </w:t>
            </w:r>
            <w:r w:rsidR="00352D0E">
              <w:t>im Stellenplan für die</w:t>
            </w:r>
            <w:r>
              <w:t xml:space="preserve"> Gerichte und Staatsanwaltschaften für das Haushaltsjahr 2016 ausgewiesenen Ste</w:t>
            </w:r>
            <w:r>
              <w:t>l</w:t>
            </w:r>
            <w:r>
              <w:t>len für planmäßige Beamte (Richter und Staatsanwälte) waren zum 31. D</w:t>
            </w:r>
            <w:r>
              <w:t>e</w:t>
            </w:r>
            <w:r>
              <w:t>zember</w:t>
            </w:r>
            <w:r w:rsidR="00E9757C">
              <w:t> </w:t>
            </w:r>
            <w:r>
              <w:t>2016 tatsächlich nicht besetzt (bitte Aufschlüsselung nach den B</w:t>
            </w:r>
            <w:r>
              <w:t>e</w:t>
            </w:r>
            <w:r>
              <w:t>zeichnungen in Tit. 422 01) und was waren die Gründe dafür?</w:t>
            </w:r>
          </w:p>
          <w:p w:rsidR="00DB3BD0" w:rsidRDefault="00DB3BD0" w:rsidP="00DB3BD0">
            <w:pPr>
              <w:pStyle w:val="LTAnfrageText"/>
            </w:pPr>
          </w:p>
        </w:tc>
      </w:tr>
    </w:tbl>
    <w:p w:rsidR="00DB3BD0" w:rsidRDefault="00DB3BD0" w:rsidP="00DB3BD0">
      <w:pPr>
        <w:pStyle w:val="LTUeberschrAntwortRessort"/>
      </w:pPr>
      <w:r>
        <w:t>Antwort des Staatsministeriums der Justiz</w:t>
      </w:r>
    </w:p>
    <w:p w:rsidR="00DB3BD0" w:rsidRDefault="00DB3BD0" w:rsidP="00DB3BD0">
      <w:pPr>
        <w:pStyle w:val="LTAntwortRessortText"/>
      </w:pPr>
      <w:r>
        <w:t>Die Anzahl der im Stellenplan für die Gerichte und Staatsanwaltschaften (Kap. 04 04) für das Haushaltsjahr 2016 ausgewiesenen Stellen für planmäßige Beamte (Richter und Staatsanwälte) und die Anzahl</w:t>
      </w:r>
      <w:r w:rsidR="00E9757C">
        <w:t xml:space="preserve"> der zum 31. Dezember 2016 unbe</w:t>
      </w:r>
      <w:r>
        <w:t>setzten Planstellen sowie die Gründe hierfür ergeben sich aus der nachfolgenden Zusammenstellung:</w:t>
      </w:r>
    </w:p>
    <w:p w:rsidR="00DB3BD0" w:rsidRDefault="00DB3BD0" w:rsidP="00DB3BD0">
      <w:pPr>
        <w:pStyle w:val="LTAntwortRessortText"/>
      </w:pPr>
    </w:p>
    <w:tbl>
      <w:tblPr>
        <w:tblW w:w="900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8"/>
        <w:gridCol w:w="139"/>
        <w:gridCol w:w="170"/>
        <w:gridCol w:w="2101"/>
        <w:gridCol w:w="709"/>
        <w:gridCol w:w="850"/>
        <w:gridCol w:w="1276"/>
        <w:gridCol w:w="3119"/>
      </w:tblGrid>
      <w:tr w:rsidR="00E9757C" w:rsidRPr="00EE15D3" w:rsidTr="00E9757C">
        <w:trPr>
          <w:cantSplit/>
        </w:trPr>
        <w:tc>
          <w:tcPr>
            <w:tcW w:w="638" w:type="dxa"/>
          </w:tcPr>
          <w:p w:rsidR="00E9757C" w:rsidRPr="00EE15D3" w:rsidRDefault="00E9757C" w:rsidP="00E9757C">
            <w:pPr>
              <w:rPr>
                <w:rFonts w:cs="Arial"/>
                <w:b/>
                <w:sz w:val="16"/>
                <w:szCs w:val="16"/>
              </w:rPr>
            </w:pPr>
          </w:p>
          <w:p w:rsidR="00E9757C" w:rsidRPr="00EE15D3" w:rsidRDefault="00E9757C" w:rsidP="00E9757C">
            <w:pPr>
              <w:rPr>
                <w:rFonts w:cs="Arial"/>
                <w:b/>
                <w:sz w:val="16"/>
                <w:szCs w:val="16"/>
              </w:rPr>
            </w:pPr>
            <w:r w:rsidRPr="00EE15D3">
              <w:rPr>
                <w:rFonts w:cs="Arial"/>
                <w:b/>
                <w:sz w:val="16"/>
                <w:szCs w:val="16"/>
              </w:rPr>
              <w:t xml:space="preserve">Kap. </w:t>
            </w:r>
          </w:p>
          <w:p w:rsidR="00E9757C" w:rsidRPr="00EE15D3" w:rsidRDefault="00E9757C" w:rsidP="00E9757C">
            <w:pPr>
              <w:rPr>
                <w:rFonts w:cs="Arial"/>
                <w:b/>
                <w:sz w:val="16"/>
                <w:szCs w:val="16"/>
              </w:rPr>
            </w:pPr>
            <w:r w:rsidRPr="00EE15D3">
              <w:rPr>
                <w:rFonts w:cs="Arial"/>
                <w:b/>
                <w:sz w:val="16"/>
                <w:szCs w:val="16"/>
              </w:rPr>
              <w:t>04 04</w:t>
            </w:r>
          </w:p>
        </w:tc>
        <w:tc>
          <w:tcPr>
            <w:tcW w:w="2410" w:type="dxa"/>
            <w:gridSpan w:val="3"/>
          </w:tcPr>
          <w:p w:rsidR="00E9757C" w:rsidRPr="00EE15D3" w:rsidRDefault="00E9757C" w:rsidP="00E9757C">
            <w:pPr>
              <w:rPr>
                <w:rFonts w:cs="Arial"/>
                <w:b/>
                <w:sz w:val="16"/>
                <w:szCs w:val="16"/>
              </w:rPr>
            </w:pPr>
          </w:p>
          <w:p w:rsidR="00E9757C" w:rsidRPr="00EE15D3" w:rsidRDefault="00E9757C" w:rsidP="00E9757C">
            <w:pPr>
              <w:rPr>
                <w:rFonts w:cs="Arial"/>
                <w:b/>
                <w:sz w:val="16"/>
                <w:szCs w:val="16"/>
              </w:rPr>
            </w:pPr>
            <w:r w:rsidRPr="00EE15D3">
              <w:rPr>
                <w:rFonts w:cs="Arial"/>
                <w:b/>
                <w:sz w:val="16"/>
                <w:szCs w:val="16"/>
              </w:rPr>
              <w:t>Gerichte und</w:t>
            </w:r>
          </w:p>
          <w:p w:rsidR="00E9757C" w:rsidRPr="00EE15D3" w:rsidRDefault="00E9757C" w:rsidP="00E9757C">
            <w:pPr>
              <w:rPr>
                <w:rFonts w:cs="Arial"/>
                <w:b/>
                <w:sz w:val="16"/>
                <w:szCs w:val="16"/>
              </w:rPr>
            </w:pPr>
            <w:r w:rsidRPr="00EE15D3">
              <w:rPr>
                <w:rFonts w:cs="Arial"/>
                <w:b/>
                <w:sz w:val="16"/>
                <w:szCs w:val="16"/>
              </w:rPr>
              <w:t>Staatsanwaltschaften</w:t>
            </w:r>
          </w:p>
        </w:tc>
        <w:tc>
          <w:tcPr>
            <w:tcW w:w="709" w:type="dxa"/>
          </w:tcPr>
          <w:p w:rsidR="00E9757C" w:rsidRPr="00EE15D3" w:rsidRDefault="00E9757C" w:rsidP="00E9757C">
            <w:pPr>
              <w:ind w:left="-60" w:right="-60"/>
              <w:jc w:val="center"/>
              <w:rPr>
                <w:rFonts w:cs="Arial"/>
                <w:b/>
                <w:sz w:val="16"/>
                <w:szCs w:val="16"/>
              </w:rPr>
            </w:pPr>
          </w:p>
          <w:p w:rsidR="00E9757C" w:rsidRPr="00EE15D3" w:rsidRDefault="00E9757C" w:rsidP="00E9757C">
            <w:pPr>
              <w:ind w:left="-60" w:right="-60"/>
              <w:jc w:val="center"/>
              <w:rPr>
                <w:rFonts w:cs="Arial"/>
                <w:b/>
                <w:sz w:val="16"/>
                <w:szCs w:val="16"/>
              </w:rPr>
            </w:pPr>
            <w:r w:rsidRPr="00EE15D3">
              <w:rPr>
                <w:rFonts w:cs="Arial"/>
                <w:b/>
                <w:sz w:val="16"/>
                <w:szCs w:val="16"/>
              </w:rPr>
              <w:t>BesGr.</w:t>
            </w:r>
          </w:p>
        </w:tc>
        <w:tc>
          <w:tcPr>
            <w:tcW w:w="850" w:type="dxa"/>
          </w:tcPr>
          <w:p w:rsidR="00E9757C" w:rsidRPr="00EE15D3" w:rsidRDefault="00E9757C" w:rsidP="00E9757C">
            <w:pPr>
              <w:tabs>
                <w:tab w:val="right" w:pos="604"/>
              </w:tabs>
              <w:ind w:left="-60" w:right="-60"/>
              <w:rPr>
                <w:rFonts w:cs="Arial"/>
                <w:b/>
                <w:sz w:val="16"/>
                <w:szCs w:val="16"/>
              </w:rPr>
            </w:pPr>
          </w:p>
          <w:p w:rsidR="00E9757C" w:rsidRPr="00EE15D3" w:rsidRDefault="00E9757C" w:rsidP="00E9757C">
            <w:pPr>
              <w:tabs>
                <w:tab w:val="right" w:pos="604"/>
              </w:tabs>
              <w:ind w:left="-60" w:right="-60"/>
              <w:rPr>
                <w:rFonts w:cs="Arial"/>
                <w:b/>
                <w:sz w:val="16"/>
                <w:szCs w:val="16"/>
              </w:rPr>
            </w:pPr>
            <w:r w:rsidRPr="00EE15D3">
              <w:rPr>
                <w:rFonts w:cs="Arial"/>
                <w:b/>
                <w:sz w:val="16"/>
                <w:szCs w:val="16"/>
              </w:rPr>
              <w:t>Plan-stellen gemäß Stelle</w:t>
            </w:r>
            <w:r w:rsidRPr="00EE15D3">
              <w:rPr>
                <w:rFonts w:cs="Arial"/>
                <w:b/>
                <w:sz w:val="16"/>
                <w:szCs w:val="16"/>
              </w:rPr>
              <w:t>n</w:t>
            </w:r>
            <w:r w:rsidRPr="00EE15D3">
              <w:rPr>
                <w:rFonts w:cs="Arial"/>
                <w:b/>
                <w:sz w:val="16"/>
                <w:szCs w:val="16"/>
              </w:rPr>
              <w:t>plan 2016</w:t>
            </w:r>
          </w:p>
        </w:tc>
        <w:tc>
          <w:tcPr>
            <w:tcW w:w="1276" w:type="dxa"/>
          </w:tcPr>
          <w:p w:rsidR="00E9757C" w:rsidRPr="00EE15D3" w:rsidRDefault="00E9757C" w:rsidP="00E9757C">
            <w:pPr>
              <w:tabs>
                <w:tab w:val="right" w:pos="604"/>
              </w:tabs>
              <w:ind w:left="-60" w:right="-60"/>
              <w:rPr>
                <w:rFonts w:cs="Arial"/>
                <w:b/>
                <w:sz w:val="16"/>
                <w:szCs w:val="16"/>
              </w:rPr>
            </w:pPr>
          </w:p>
          <w:p w:rsidR="00E9757C" w:rsidRPr="00EE15D3" w:rsidRDefault="00E9757C" w:rsidP="00E9757C">
            <w:pPr>
              <w:tabs>
                <w:tab w:val="right" w:pos="604"/>
              </w:tabs>
              <w:ind w:left="-60" w:right="-60"/>
              <w:rPr>
                <w:rFonts w:cs="Arial"/>
                <w:b/>
                <w:sz w:val="16"/>
                <w:szCs w:val="16"/>
              </w:rPr>
            </w:pPr>
            <w:r w:rsidRPr="00EE15D3">
              <w:rPr>
                <w:rFonts w:cs="Arial"/>
                <w:b/>
                <w:sz w:val="16"/>
                <w:szCs w:val="16"/>
                <w:u w:val="single"/>
              </w:rPr>
              <w:t>Un</w:t>
            </w:r>
            <w:r w:rsidRPr="00EE15D3">
              <w:rPr>
                <w:rFonts w:cs="Arial"/>
                <w:b/>
                <w:sz w:val="16"/>
                <w:szCs w:val="16"/>
              </w:rPr>
              <w:t>besetzte Planstellen am 31.12.2016</w:t>
            </w:r>
          </w:p>
          <w:p w:rsidR="00E9757C" w:rsidRPr="00EE15D3" w:rsidRDefault="00E9757C" w:rsidP="00E9757C">
            <w:pPr>
              <w:tabs>
                <w:tab w:val="right" w:pos="604"/>
              </w:tabs>
              <w:ind w:left="-60" w:right="-60"/>
              <w:rPr>
                <w:rFonts w:cs="Arial"/>
                <w:b/>
                <w:sz w:val="16"/>
                <w:szCs w:val="16"/>
              </w:rPr>
            </w:pPr>
            <w:r w:rsidRPr="00EE15D3">
              <w:rPr>
                <w:rFonts w:cs="Arial"/>
                <w:b/>
                <w:sz w:val="16"/>
                <w:szCs w:val="16"/>
              </w:rPr>
              <w:t xml:space="preserve">         *)</w:t>
            </w:r>
          </w:p>
        </w:tc>
        <w:tc>
          <w:tcPr>
            <w:tcW w:w="3119" w:type="dxa"/>
          </w:tcPr>
          <w:p w:rsidR="00E9757C" w:rsidRPr="00EE15D3" w:rsidRDefault="00E9757C" w:rsidP="00E9757C">
            <w:pPr>
              <w:tabs>
                <w:tab w:val="right" w:pos="604"/>
              </w:tabs>
              <w:ind w:left="-60" w:right="-60"/>
              <w:rPr>
                <w:rFonts w:cs="Arial"/>
                <w:b/>
                <w:sz w:val="16"/>
                <w:szCs w:val="16"/>
              </w:rPr>
            </w:pPr>
          </w:p>
          <w:p w:rsidR="00E9757C" w:rsidRPr="00EE15D3" w:rsidRDefault="00E9757C" w:rsidP="00E9757C">
            <w:pPr>
              <w:tabs>
                <w:tab w:val="right" w:pos="604"/>
              </w:tabs>
              <w:ind w:left="-60" w:right="-60"/>
              <w:jc w:val="center"/>
              <w:rPr>
                <w:rFonts w:cs="Arial"/>
                <w:b/>
                <w:sz w:val="16"/>
                <w:szCs w:val="16"/>
              </w:rPr>
            </w:pPr>
            <w:r w:rsidRPr="00EE15D3">
              <w:rPr>
                <w:rFonts w:cs="Arial"/>
                <w:b/>
                <w:sz w:val="16"/>
                <w:szCs w:val="16"/>
              </w:rPr>
              <w:t>Gründe</w:t>
            </w:r>
          </w:p>
        </w:tc>
      </w:tr>
      <w:tr w:rsidR="00E9757C" w:rsidRPr="00EE15D3" w:rsidTr="00E9757C">
        <w:trPr>
          <w:cantSplit/>
        </w:trPr>
        <w:tc>
          <w:tcPr>
            <w:tcW w:w="638" w:type="dxa"/>
          </w:tcPr>
          <w:p w:rsidR="00E9757C" w:rsidRPr="00EE15D3" w:rsidRDefault="00E9757C" w:rsidP="00E9757C">
            <w:pPr>
              <w:rPr>
                <w:rFonts w:cs="Arial"/>
                <w:b/>
                <w:sz w:val="16"/>
                <w:szCs w:val="16"/>
              </w:rPr>
            </w:pPr>
            <w:r w:rsidRPr="00EE15D3">
              <w:rPr>
                <w:rFonts w:cs="Arial"/>
                <w:b/>
                <w:sz w:val="16"/>
                <w:szCs w:val="16"/>
              </w:rPr>
              <w:t>Titel</w:t>
            </w:r>
          </w:p>
          <w:p w:rsidR="00E9757C" w:rsidRPr="00EE15D3" w:rsidRDefault="00E9757C" w:rsidP="00E9757C">
            <w:pPr>
              <w:jc w:val="center"/>
              <w:rPr>
                <w:rFonts w:cs="Arial"/>
                <w:b/>
                <w:sz w:val="16"/>
                <w:szCs w:val="16"/>
              </w:rPr>
            </w:pPr>
            <w:r w:rsidRPr="00EE15D3">
              <w:rPr>
                <w:rFonts w:cs="Arial"/>
                <w:b/>
                <w:sz w:val="16"/>
                <w:szCs w:val="16"/>
              </w:rPr>
              <w:t>422 01</w:t>
            </w:r>
          </w:p>
        </w:tc>
        <w:tc>
          <w:tcPr>
            <w:tcW w:w="8364" w:type="dxa"/>
            <w:gridSpan w:val="7"/>
          </w:tcPr>
          <w:p w:rsidR="00E9757C" w:rsidRPr="00EE15D3" w:rsidRDefault="00E9757C" w:rsidP="00E9757C">
            <w:pPr>
              <w:tabs>
                <w:tab w:val="right" w:pos="604"/>
              </w:tabs>
              <w:ind w:left="-60" w:right="-60"/>
              <w:rPr>
                <w:rFonts w:cs="Arial"/>
                <w:b/>
                <w:sz w:val="16"/>
                <w:szCs w:val="16"/>
              </w:rPr>
            </w:pPr>
          </w:p>
          <w:p w:rsidR="00E9757C" w:rsidRPr="00EE15D3" w:rsidRDefault="00E9757C" w:rsidP="00E9757C">
            <w:pPr>
              <w:tabs>
                <w:tab w:val="right" w:pos="604"/>
              </w:tabs>
              <w:ind w:left="-60" w:right="-60"/>
              <w:rPr>
                <w:rFonts w:cs="Arial"/>
                <w:b/>
                <w:sz w:val="16"/>
                <w:szCs w:val="16"/>
              </w:rPr>
            </w:pPr>
            <w:r w:rsidRPr="00EE15D3">
              <w:rPr>
                <w:rFonts w:cs="Arial"/>
                <w:b/>
                <w:sz w:val="16"/>
                <w:szCs w:val="16"/>
              </w:rPr>
              <w:t>Planmäßige Beamte (Richter und Staatsanwälte)</w:t>
            </w: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 Präsidentin des Oberlandesgerichts an einem Gericht mit 800 und mehr Planstellen für Richter und Richterinnen im Bezirk</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R9</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jc w:val="center"/>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Präsidenten, Präsidentinnen der Oberlandesgerichte an Gerichten mit bis zu 799 Pla</w:t>
            </w:r>
            <w:r w:rsidRPr="00EE15D3">
              <w:rPr>
                <w:rFonts w:cs="Arial"/>
                <w:sz w:val="16"/>
                <w:szCs w:val="16"/>
              </w:rPr>
              <w:t>n</w:t>
            </w:r>
            <w:r w:rsidRPr="00EE15D3">
              <w:rPr>
                <w:rFonts w:cs="Arial"/>
                <w:sz w:val="16"/>
                <w:szCs w:val="16"/>
              </w:rPr>
              <w:t>stellen für Richter und Richt</w:t>
            </w:r>
            <w:r w:rsidRPr="00EE15D3">
              <w:rPr>
                <w:rFonts w:cs="Arial"/>
                <w:sz w:val="16"/>
                <w:szCs w:val="16"/>
              </w:rPr>
              <w:t>e</w:t>
            </w:r>
            <w:r w:rsidRPr="00EE15D3">
              <w:rPr>
                <w:rFonts w:cs="Arial"/>
                <w:sz w:val="16"/>
                <w:szCs w:val="16"/>
              </w:rPr>
              <w:t>rinnen im Bezirk</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R8</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Generalstaatsanwalt, Genera</w:t>
            </w:r>
            <w:r w:rsidRPr="00EE15D3">
              <w:rPr>
                <w:rFonts w:cs="Arial"/>
                <w:sz w:val="16"/>
                <w:szCs w:val="16"/>
              </w:rPr>
              <w:t>l</w:t>
            </w:r>
            <w:r w:rsidRPr="00EE15D3">
              <w:rPr>
                <w:rFonts w:cs="Arial"/>
                <w:sz w:val="16"/>
                <w:szCs w:val="16"/>
              </w:rPr>
              <w:t>staatsanwältin als Leiter oder Leiterin einer Generalstaatsa</w:t>
            </w:r>
            <w:r w:rsidRPr="00EE15D3">
              <w:rPr>
                <w:rFonts w:cs="Arial"/>
                <w:sz w:val="16"/>
                <w:szCs w:val="16"/>
              </w:rPr>
              <w:t>n</w:t>
            </w:r>
            <w:r w:rsidRPr="00EE15D3">
              <w:rPr>
                <w:rFonts w:cs="Arial"/>
                <w:sz w:val="16"/>
                <w:szCs w:val="16"/>
              </w:rPr>
              <w:t>waltschaft mit 300 und mehr Planstellen für Staatsanwälte und Staatsanwältinnen im Bezirk</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R7</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Generalstaatsanwälte, Gen</w:t>
            </w:r>
            <w:r w:rsidRPr="00EE15D3">
              <w:rPr>
                <w:rFonts w:cs="Arial"/>
                <w:sz w:val="16"/>
                <w:szCs w:val="16"/>
              </w:rPr>
              <w:t>e</w:t>
            </w:r>
            <w:r w:rsidRPr="00EE15D3">
              <w:rPr>
                <w:rFonts w:cs="Arial"/>
                <w:sz w:val="16"/>
                <w:szCs w:val="16"/>
              </w:rPr>
              <w:t>ralstaatsanwältinnen als Leiter oder Leiterinnen von Genera</w:t>
            </w:r>
            <w:r w:rsidRPr="00EE15D3">
              <w:rPr>
                <w:rFonts w:cs="Arial"/>
                <w:sz w:val="16"/>
                <w:szCs w:val="16"/>
              </w:rPr>
              <w:t>l</w:t>
            </w:r>
            <w:r w:rsidRPr="00EE15D3">
              <w:rPr>
                <w:rFonts w:cs="Arial"/>
                <w:sz w:val="16"/>
                <w:szCs w:val="16"/>
              </w:rPr>
              <w:t>staatsanwaltschaften mit bis zu 299 Planstellen für Staatsa</w:t>
            </w:r>
            <w:r w:rsidRPr="00EE15D3">
              <w:rPr>
                <w:rFonts w:cs="Arial"/>
                <w:sz w:val="16"/>
                <w:szCs w:val="16"/>
              </w:rPr>
              <w:t>n</w:t>
            </w:r>
            <w:r w:rsidRPr="00EE15D3">
              <w:rPr>
                <w:rFonts w:cs="Arial"/>
                <w:sz w:val="16"/>
                <w:szCs w:val="16"/>
              </w:rPr>
              <w:t>wälte und Staatsanwältinnen im Bezirk</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R6</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Leitender Oberstaatsanwalt, Leitende Oberstaatsanwältin als Leiter oder Leiterin einer Staatsanwaltschaft mit 120 und mehr Planstellen für Staatsa</w:t>
            </w:r>
            <w:r w:rsidRPr="00EE15D3">
              <w:rPr>
                <w:rFonts w:cs="Arial"/>
                <w:sz w:val="16"/>
                <w:szCs w:val="16"/>
              </w:rPr>
              <w:t>n</w:t>
            </w:r>
            <w:r w:rsidRPr="00EE15D3">
              <w:rPr>
                <w:rFonts w:cs="Arial"/>
                <w:sz w:val="16"/>
                <w:szCs w:val="16"/>
              </w:rPr>
              <w:t>wälte und Staatsanwältinnen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R6</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 Präsidentin des Amtsgerichts an einem Gericht mit 151 und mehr Planstellen für Richter und Richterinnen einschließlich der Planstellen für Richter und Richterinnen der Gerichte, über die der Präsident oder die Präsidentin die Dienstaufsicht führt</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R6</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Präsidenten, Präsidentinnen der Landgerichte an Gerichten mit 151 und mehr Planstellen für Richter und Richterinnen einschließlich der Planstellen für Richter und Richterinnen der Gerichte, über die die Präside</w:t>
            </w:r>
            <w:r w:rsidRPr="00EE15D3">
              <w:rPr>
                <w:rFonts w:cs="Arial"/>
                <w:sz w:val="16"/>
                <w:szCs w:val="16"/>
              </w:rPr>
              <w:t>n</w:t>
            </w:r>
            <w:r w:rsidRPr="00EE15D3">
              <w:rPr>
                <w:rFonts w:cs="Arial"/>
                <w:sz w:val="16"/>
                <w:szCs w:val="16"/>
              </w:rPr>
              <w:t>ten oder die Präsidentinnen die Dienstaufsicht führen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R6</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Leitender Oberstaatsanwalt, Leitende Oberstaatsanwältin als Leiter oder Leiterin einer Staatsanwaltschaft mit 60 bis 119 Planstellen für Staatsa</w:t>
            </w:r>
            <w:r w:rsidRPr="00EE15D3">
              <w:rPr>
                <w:rFonts w:cs="Arial"/>
                <w:sz w:val="16"/>
                <w:szCs w:val="16"/>
              </w:rPr>
              <w:t>n</w:t>
            </w:r>
            <w:r w:rsidRPr="00EE15D3">
              <w:rPr>
                <w:rFonts w:cs="Arial"/>
                <w:sz w:val="16"/>
                <w:szCs w:val="16"/>
              </w:rPr>
              <w:t>wälte und Staatsanwältinnen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R5</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Präsidenten, Präsidentinnen der Landgerichte an Gerichten mit 81 bis 150 Planstellen für Richter und Richterinnen ei</w:t>
            </w:r>
            <w:r w:rsidRPr="00EE15D3">
              <w:rPr>
                <w:rFonts w:cs="Arial"/>
                <w:sz w:val="16"/>
                <w:szCs w:val="16"/>
              </w:rPr>
              <w:t>n</w:t>
            </w:r>
            <w:r w:rsidRPr="00EE15D3">
              <w:rPr>
                <w:rFonts w:cs="Arial"/>
                <w:sz w:val="16"/>
                <w:szCs w:val="16"/>
              </w:rPr>
              <w:t>schließlich der Planstellen für Richter und Richterinnen der Gerichte, über die die Präside</w:t>
            </w:r>
            <w:r w:rsidRPr="00EE15D3">
              <w:rPr>
                <w:rFonts w:cs="Arial"/>
                <w:sz w:val="16"/>
                <w:szCs w:val="16"/>
              </w:rPr>
              <w:t>n</w:t>
            </w:r>
            <w:r w:rsidRPr="00EE15D3">
              <w:rPr>
                <w:rFonts w:cs="Arial"/>
                <w:sz w:val="16"/>
                <w:szCs w:val="16"/>
              </w:rPr>
              <w:t>ten oder die Präsidentinnen die Dienstaufsicht führen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R5</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5</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DF03B3">
            <w:pPr>
              <w:rPr>
                <w:rFonts w:cs="Arial"/>
                <w:sz w:val="16"/>
                <w:szCs w:val="16"/>
              </w:rPr>
            </w:pPr>
            <w:r w:rsidRPr="00EE15D3">
              <w:rPr>
                <w:rFonts w:cs="Arial"/>
                <w:sz w:val="16"/>
                <w:szCs w:val="16"/>
              </w:rPr>
              <w:t>Vizepräsident, Vizepräsidentin des Oberlandesgerichts als der ständige Vertreter oder die ständige Vertreterin eines Präsidenten oder einer Präs</w:t>
            </w:r>
            <w:r w:rsidRPr="00EE15D3">
              <w:rPr>
                <w:rFonts w:cs="Arial"/>
                <w:sz w:val="16"/>
                <w:szCs w:val="16"/>
              </w:rPr>
              <w:t>i</w:t>
            </w:r>
            <w:r w:rsidRPr="00EE15D3">
              <w:rPr>
                <w:rFonts w:cs="Arial"/>
                <w:sz w:val="16"/>
                <w:szCs w:val="16"/>
              </w:rPr>
              <w:t>dentin der Besoldungsgruppe R</w:t>
            </w:r>
            <w:r w:rsidR="00DF03B3">
              <w:rPr>
                <w:rFonts w:cs="Arial"/>
                <w:sz w:val="16"/>
                <w:szCs w:val="16"/>
              </w:rPr>
              <w:t> </w:t>
            </w:r>
            <w:r w:rsidRPr="00EE15D3">
              <w:rPr>
                <w:rFonts w:cs="Arial"/>
                <w:sz w:val="16"/>
                <w:szCs w:val="16"/>
              </w:rPr>
              <w:t>9</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R5</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Leitender Oberstaatsanwalt, Leitende Oberstaatsanwältin als der ständige Vertreter oder die ständige Vertreterin eines Generalstaatsanwalts oder einer Generalstaatsanwältin der Besoldungsgruppe R 7</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R4</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Leitende Oberstaatsanwälte, Leitende Oberstaatsanwälti</w:t>
            </w:r>
            <w:r w:rsidRPr="00EE15D3">
              <w:rPr>
                <w:rFonts w:cs="Arial"/>
                <w:sz w:val="16"/>
                <w:szCs w:val="16"/>
              </w:rPr>
              <w:t>n</w:t>
            </w:r>
            <w:r w:rsidRPr="00EE15D3">
              <w:rPr>
                <w:rFonts w:cs="Arial"/>
                <w:sz w:val="16"/>
                <w:szCs w:val="16"/>
              </w:rPr>
              <w:t>nen als Leiter oder Leiterinnen von Staatsanwaltschaften mit 20 bis 59 Planstellen für Staatsanwälte und Staatsa</w:t>
            </w:r>
            <w:r w:rsidRPr="00EE15D3">
              <w:rPr>
                <w:rFonts w:cs="Arial"/>
                <w:sz w:val="16"/>
                <w:szCs w:val="16"/>
              </w:rPr>
              <w:t>n</w:t>
            </w:r>
            <w:r w:rsidRPr="00EE15D3">
              <w:rPr>
                <w:rFonts w:cs="Arial"/>
                <w:sz w:val="16"/>
                <w:szCs w:val="16"/>
              </w:rPr>
              <w:t>wältinnen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R4</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8</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Präsidenten, Präsidentinnen der Amtsgerichte an Gerichten mit 41 bis 80 Planstellen für Richter und Richterinnen ei</w:t>
            </w:r>
            <w:r w:rsidRPr="00EE15D3">
              <w:rPr>
                <w:rFonts w:cs="Arial"/>
                <w:sz w:val="16"/>
                <w:szCs w:val="16"/>
              </w:rPr>
              <w:t>n</w:t>
            </w:r>
            <w:r w:rsidRPr="00EE15D3">
              <w:rPr>
                <w:rFonts w:cs="Arial"/>
                <w:sz w:val="16"/>
                <w:szCs w:val="16"/>
              </w:rPr>
              <w:t>schließlich der Planstellen für Richter und Richterinnen der Gerichte, über die die Präside</w:t>
            </w:r>
            <w:r w:rsidRPr="00EE15D3">
              <w:rPr>
                <w:rFonts w:cs="Arial"/>
                <w:sz w:val="16"/>
                <w:szCs w:val="16"/>
              </w:rPr>
              <w:t>n</w:t>
            </w:r>
            <w:r w:rsidRPr="00EE15D3">
              <w:rPr>
                <w:rFonts w:cs="Arial"/>
                <w:sz w:val="16"/>
                <w:szCs w:val="16"/>
              </w:rPr>
              <w:t>ten oder die Präsidentinnen die Dienstaufsicht führen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R4</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Präsidenten, Präsidentinnen der Landgerichte an Gerichten mit 41 bis 80 Planstellen für Richter und Richterinnen ei</w:t>
            </w:r>
            <w:r w:rsidRPr="00EE15D3">
              <w:rPr>
                <w:rFonts w:cs="Arial"/>
                <w:sz w:val="16"/>
                <w:szCs w:val="16"/>
              </w:rPr>
              <w:t>n</w:t>
            </w:r>
            <w:r w:rsidRPr="00EE15D3">
              <w:rPr>
                <w:rFonts w:cs="Arial"/>
                <w:sz w:val="16"/>
                <w:szCs w:val="16"/>
              </w:rPr>
              <w:t>schließlich der Planstellen für Richter und Richterinnen der Gerichte, über die die Präside</w:t>
            </w:r>
            <w:r w:rsidRPr="00EE15D3">
              <w:rPr>
                <w:rFonts w:cs="Arial"/>
                <w:sz w:val="16"/>
                <w:szCs w:val="16"/>
              </w:rPr>
              <w:t>n</w:t>
            </w:r>
            <w:r w:rsidRPr="00EE15D3">
              <w:rPr>
                <w:rFonts w:cs="Arial"/>
                <w:sz w:val="16"/>
                <w:szCs w:val="16"/>
              </w:rPr>
              <w:t>ten oder die Präsidentinnen die Dienstaufsicht führen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R4</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9</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Vizepräsidenten, Vizepräside</w:t>
            </w:r>
            <w:r w:rsidRPr="00EE15D3">
              <w:rPr>
                <w:rFonts w:cs="Arial"/>
                <w:sz w:val="16"/>
                <w:szCs w:val="16"/>
              </w:rPr>
              <w:t>n</w:t>
            </w:r>
            <w:r w:rsidRPr="00EE15D3">
              <w:rPr>
                <w:rFonts w:cs="Arial"/>
                <w:sz w:val="16"/>
                <w:szCs w:val="16"/>
              </w:rPr>
              <w:t>tinnen der Oberlandesgerichte als ständige Vertreter oder ständige Vertreterinnen von Präsidenten oder Präsidenti</w:t>
            </w:r>
            <w:r w:rsidRPr="00EE15D3">
              <w:rPr>
                <w:rFonts w:cs="Arial"/>
                <w:sz w:val="16"/>
                <w:szCs w:val="16"/>
              </w:rPr>
              <w:t>n</w:t>
            </w:r>
            <w:r w:rsidRPr="00EE15D3">
              <w:rPr>
                <w:rFonts w:cs="Arial"/>
                <w:sz w:val="16"/>
                <w:szCs w:val="16"/>
              </w:rPr>
              <w:t>nen der Besoldungsgruppe R 8</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R4</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E15D3">
            <w:pPr>
              <w:rPr>
                <w:rFonts w:cs="Arial"/>
                <w:sz w:val="16"/>
                <w:szCs w:val="16"/>
              </w:rPr>
            </w:pPr>
            <w:r w:rsidRPr="00EE15D3">
              <w:rPr>
                <w:rFonts w:cs="Arial"/>
                <w:sz w:val="16"/>
                <w:szCs w:val="16"/>
              </w:rPr>
              <w:t>Oberstaatsanwalt, Oberstaat</w:t>
            </w:r>
            <w:r w:rsidRPr="00EE15D3">
              <w:rPr>
                <w:rFonts w:cs="Arial"/>
                <w:sz w:val="16"/>
                <w:szCs w:val="16"/>
              </w:rPr>
              <w:t>s</w:t>
            </w:r>
            <w:r w:rsidRPr="00EE15D3">
              <w:rPr>
                <w:rFonts w:cs="Arial"/>
                <w:sz w:val="16"/>
                <w:szCs w:val="16"/>
              </w:rPr>
              <w:t>anwältin als der ständige Ve</w:t>
            </w:r>
            <w:r w:rsidRPr="00EE15D3">
              <w:rPr>
                <w:rFonts w:cs="Arial"/>
                <w:sz w:val="16"/>
                <w:szCs w:val="16"/>
              </w:rPr>
              <w:t>r</w:t>
            </w:r>
            <w:r w:rsidRPr="00EE15D3">
              <w:rPr>
                <w:rFonts w:cs="Arial"/>
                <w:sz w:val="16"/>
                <w:szCs w:val="16"/>
              </w:rPr>
              <w:t>treter oder die ständige Vertr</w:t>
            </w:r>
            <w:r w:rsidRPr="00EE15D3">
              <w:rPr>
                <w:rFonts w:cs="Arial"/>
                <w:sz w:val="16"/>
                <w:szCs w:val="16"/>
              </w:rPr>
              <w:t>e</w:t>
            </w:r>
            <w:r w:rsidRPr="00EE15D3">
              <w:rPr>
                <w:rFonts w:cs="Arial"/>
                <w:sz w:val="16"/>
                <w:szCs w:val="16"/>
              </w:rPr>
              <w:t>terin eines Leitenden Obe</w:t>
            </w:r>
            <w:r w:rsidRPr="00EE15D3">
              <w:rPr>
                <w:rFonts w:cs="Arial"/>
                <w:sz w:val="16"/>
                <w:szCs w:val="16"/>
              </w:rPr>
              <w:t>r</w:t>
            </w:r>
            <w:r w:rsidRPr="00EE15D3">
              <w:rPr>
                <w:rFonts w:cs="Arial"/>
                <w:sz w:val="16"/>
                <w:szCs w:val="16"/>
              </w:rPr>
              <w:t>staatsanwalts oder einer Le</w:t>
            </w:r>
            <w:r w:rsidRPr="00EE15D3">
              <w:rPr>
                <w:rFonts w:cs="Arial"/>
                <w:sz w:val="16"/>
                <w:szCs w:val="16"/>
              </w:rPr>
              <w:t>i</w:t>
            </w:r>
            <w:r w:rsidRPr="00EE15D3">
              <w:rPr>
                <w:rFonts w:cs="Arial"/>
                <w:sz w:val="16"/>
                <w:szCs w:val="16"/>
              </w:rPr>
              <w:t>tenden Oberstaatsanwältin der Besoldungsgruppe R 6</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Direktor, Direktorin des Amt</w:t>
            </w:r>
            <w:r w:rsidRPr="00EE15D3">
              <w:rPr>
                <w:rFonts w:cs="Arial"/>
                <w:sz w:val="16"/>
                <w:szCs w:val="16"/>
              </w:rPr>
              <w:t>s</w:t>
            </w:r>
            <w:r w:rsidRPr="00EE15D3">
              <w:rPr>
                <w:rFonts w:cs="Arial"/>
                <w:sz w:val="16"/>
                <w:szCs w:val="16"/>
              </w:rPr>
              <w:t>gerichts als Leiter oder Leiterin eines Gerichts mit Zentralste</w:t>
            </w:r>
            <w:r w:rsidRPr="00EE15D3">
              <w:rPr>
                <w:rFonts w:cs="Arial"/>
                <w:sz w:val="16"/>
                <w:szCs w:val="16"/>
              </w:rPr>
              <w:t>l</w:t>
            </w:r>
            <w:r w:rsidRPr="00EE15D3">
              <w:rPr>
                <w:rFonts w:cs="Arial"/>
                <w:sz w:val="16"/>
                <w:szCs w:val="16"/>
              </w:rPr>
              <w:t>lenfunktion als Zentrales Mah</w:t>
            </w:r>
            <w:r w:rsidRPr="00EE15D3">
              <w:rPr>
                <w:rFonts w:cs="Arial"/>
                <w:sz w:val="16"/>
                <w:szCs w:val="16"/>
              </w:rPr>
              <w:t>n</w:t>
            </w:r>
            <w:r w:rsidRPr="00EE15D3">
              <w:rPr>
                <w:rFonts w:cs="Arial"/>
                <w:sz w:val="16"/>
                <w:szCs w:val="16"/>
              </w:rPr>
              <w:t>gericht für Bayern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Direktoren, Direktorinnen der Amtsgerichte an Gerichten mit 20 bis 40 Planstellen für Richter und Richterinnen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9</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Leitende Oberstaatsanwälte, Leitende Oberstaatsanwälti</w:t>
            </w:r>
            <w:r w:rsidRPr="00EE15D3">
              <w:rPr>
                <w:rFonts w:cs="Arial"/>
                <w:sz w:val="16"/>
                <w:szCs w:val="16"/>
              </w:rPr>
              <w:t>n</w:t>
            </w:r>
            <w:r w:rsidRPr="00EE15D3">
              <w:rPr>
                <w:rFonts w:cs="Arial"/>
                <w:sz w:val="16"/>
                <w:szCs w:val="16"/>
              </w:rPr>
              <w:t>nen als Abteilungsleiter oder Abteilungsleiterinnen bei Gen</w:t>
            </w:r>
            <w:r w:rsidRPr="00EE15D3">
              <w:rPr>
                <w:rFonts w:cs="Arial"/>
                <w:sz w:val="16"/>
                <w:szCs w:val="16"/>
              </w:rPr>
              <w:t>e</w:t>
            </w:r>
            <w:r w:rsidRPr="00EE15D3">
              <w:rPr>
                <w:rFonts w:cs="Arial"/>
                <w:sz w:val="16"/>
                <w:szCs w:val="16"/>
              </w:rPr>
              <w:t>ralstaatsanwaltschaften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7</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Leitende Oberstaatsanwälte, Leitende Oberstaatsanwälti</w:t>
            </w:r>
            <w:r w:rsidRPr="00EE15D3">
              <w:rPr>
                <w:rFonts w:cs="Arial"/>
                <w:sz w:val="16"/>
                <w:szCs w:val="16"/>
              </w:rPr>
              <w:t>n</w:t>
            </w:r>
            <w:r w:rsidRPr="00EE15D3">
              <w:rPr>
                <w:rFonts w:cs="Arial"/>
                <w:sz w:val="16"/>
                <w:szCs w:val="16"/>
              </w:rPr>
              <w:t>nen als Leiter oder Leiterinnen von Staatsanwaltschaften mit bis zu 19 Planstellen für Staatsanwälte und Staatsa</w:t>
            </w:r>
            <w:r w:rsidRPr="00EE15D3">
              <w:rPr>
                <w:rFonts w:cs="Arial"/>
                <w:sz w:val="16"/>
                <w:szCs w:val="16"/>
              </w:rPr>
              <w:t>n</w:t>
            </w:r>
            <w:r w:rsidRPr="00EE15D3">
              <w:rPr>
                <w:rFonts w:cs="Arial"/>
                <w:sz w:val="16"/>
                <w:szCs w:val="16"/>
              </w:rPr>
              <w:t>wältinnen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Oberstaatsanwalt, Oberstaat</w:t>
            </w:r>
            <w:r w:rsidRPr="00EE15D3">
              <w:rPr>
                <w:rFonts w:cs="Arial"/>
                <w:sz w:val="16"/>
                <w:szCs w:val="16"/>
              </w:rPr>
              <w:t>s</w:t>
            </w:r>
            <w:r w:rsidRPr="00EE15D3">
              <w:rPr>
                <w:rFonts w:cs="Arial"/>
                <w:sz w:val="16"/>
                <w:szCs w:val="16"/>
              </w:rPr>
              <w:t>anwältin als der ständige Ve</w:t>
            </w:r>
            <w:r w:rsidRPr="00EE15D3">
              <w:rPr>
                <w:rFonts w:cs="Arial"/>
                <w:sz w:val="16"/>
                <w:szCs w:val="16"/>
              </w:rPr>
              <w:t>r</w:t>
            </w:r>
            <w:r w:rsidRPr="00EE15D3">
              <w:rPr>
                <w:rFonts w:cs="Arial"/>
                <w:sz w:val="16"/>
                <w:szCs w:val="16"/>
              </w:rPr>
              <w:t>treter oder die ständige Vertr</w:t>
            </w:r>
            <w:r w:rsidRPr="00EE15D3">
              <w:rPr>
                <w:rFonts w:cs="Arial"/>
                <w:sz w:val="16"/>
                <w:szCs w:val="16"/>
              </w:rPr>
              <w:t>e</w:t>
            </w:r>
            <w:r w:rsidRPr="00EE15D3">
              <w:rPr>
                <w:rFonts w:cs="Arial"/>
                <w:sz w:val="16"/>
                <w:szCs w:val="16"/>
              </w:rPr>
              <w:t>terin eines Leitenden Obe</w:t>
            </w:r>
            <w:r w:rsidRPr="00EE15D3">
              <w:rPr>
                <w:rFonts w:cs="Arial"/>
                <w:sz w:val="16"/>
                <w:szCs w:val="16"/>
              </w:rPr>
              <w:t>r</w:t>
            </w:r>
            <w:r w:rsidRPr="00EE15D3">
              <w:rPr>
                <w:rFonts w:cs="Arial"/>
                <w:sz w:val="16"/>
                <w:szCs w:val="16"/>
              </w:rPr>
              <w:t>staatsanwalts oder einer Le</w:t>
            </w:r>
            <w:r w:rsidRPr="00EE15D3">
              <w:rPr>
                <w:rFonts w:cs="Arial"/>
                <w:sz w:val="16"/>
                <w:szCs w:val="16"/>
              </w:rPr>
              <w:t>i</w:t>
            </w:r>
            <w:r w:rsidRPr="00EE15D3">
              <w:rPr>
                <w:rFonts w:cs="Arial"/>
                <w:sz w:val="16"/>
                <w:szCs w:val="16"/>
              </w:rPr>
              <w:t xml:space="preserve">tenden Oberstaatsanwältin der Besoldungsgruppe </w:t>
            </w:r>
          </w:p>
          <w:p w:rsidR="00E9757C" w:rsidRPr="00EE15D3" w:rsidRDefault="00E9757C" w:rsidP="00E9757C">
            <w:pPr>
              <w:rPr>
                <w:rFonts w:cs="Arial"/>
                <w:sz w:val="16"/>
                <w:szCs w:val="16"/>
              </w:rPr>
            </w:pPr>
            <w:r w:rsidRPr="00EE15D3">
              <w:rPr>
                <w:rFonts w:cs="Arial"/>
                <w:sz w:val="16"/>
                <w:szCs w:val="16"/>
              </w:rPr>
              <w:t>R 5 oder R 6</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Oberstaatsanwälte, Obe</w:t>
            </w:r>
            <w:r w:rsidRPr="00EE15D3">
              <w:rPr>
                <w:rFonts w:cs="Arial"/>
                <w:sz w:val="16"/>
                <w:szCs w:val="16"/>
              </w:rPr>
              <w:t>r</w:t>
            </w:r>
            <w:r w:rsidRPr="00EE15D3">
              <w:rPr>
                <w:rFonts w:cs="Arial"/>
                <w:sz w:val="16"/>
                <w:szCs w:val="16"/>
              </w:rPr>
              <w:t>staatsanwältinnen als Haupta</w:t>
            </w:r>
            <w:r w:rsidRPr="00EE15D3">
              <w:rPr>
                <w:rFonts w:cs="Arial"/>
                <w:sz w:val="16"/>
                <w:szCs w:val="16"/>
              </w:rPr>
              <w:t>b</w:t>
            </w:r>
            <w:r w:rsidRPr="00EE15D3">
              <w:rPr>
                <w:rFonts w:cs="Arial"/>
                <w:sz w:val="16"/>
                <w:szCs w:val="16"/>
              </w:rPr>
              <w:t>teilungsleiter oder Hauptabte</w:t>
            </w:r>
            <w:r w:rsidRPr="00EE15D3">
              <w:rPr>
                <w:rFonts w:cs="Arial"/>
                <w:sz w:val="16"/>
                <w:szCs w:val="16"/>
              </w:rPr>
              <w:t>i</w:t>
            </w:r>
            <w:r w:rsidRPr="00EE15D3">
              <w:rPr>
                <w:rFonts w:cs="Arial"/>
                <w:sz w:val="16"/>
                <w:szCs w:val="16"/>
              </w:rPr>
              <w:t>lungsleiterinnen bei Staatsa</w:t>
            </w:r>
            <w:r w:rsidRPr="00EE15D3">
              <w:rPr>
                <w:rFonts w:cs="Arial"/>
                <w:sz w:val="16"/>
                <w:szCs w:val="16"/>
              </w:rPr>
              <w:t>n</w:t>
            </w:r>
            <w:r w:rsidRPr="00EE15D3">
              <w:rPr>
                <w:rFonts w:cs="Arial"/>
                <w:sz w:val="16"/>
                <w:szCs w:val="16"/>
              </w:rPr>
              <w:t>waltschaften mit 120 und mehr Planstellen für Staatsanwälte und Staatsanwältinnen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4</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Präsidenten, Präsidentinnen der Landgerichte an Gerichten mit bis zu 40 Planstellen für Richter und Richterinnen ei</w:t>
            </w:r>
            <w:r w:rsidRPr="00EE15D3">
              <w:rPr>
                <w:rFonts w:cs="Arial"/>
                <w:sz w:val="16"/>
                <w:szCs w:val="16"/>
              </w:rPr>
              <w:t>n</w:t>
            </w:r>
            <w:r w:rsidRPr="00EE15D3">
              <w:rPr>
                <w:rFonts w:cs="Arial"/>
                <w:sz w:val="16"/>
                <w:szCs w:val="16"/>
              </w:rPr>
              <w:t>schließlich der Planstellen für Richter und Richterinnen der Gerichte, über die die Präside</w:t>
            </w:r>
            <w:r w:rsidRPr="00EE15D3">
              <w:rPr>
                <w:rFonts w:cs="Arial"/>
                <w:sz w:val="16"/>
                <w:szCs w:val="16"/>
              </w:rPr>
              <w:t>n</w:t>
            </w:r>
            <w:r w:rsidRPr="00EE15D3">
              <w:rPr>
                <w:rFonts w:cs="Arial"/>
                <w:sz w:val="16"/>
                <w:szCs w:val="16"/>
              </w:rPr>
              <w:t>ten oder die Präsidentinnen die Dienstaufsicht führen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6</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DF03B3">
            <w:pPr>
              <w:rPr>
                <w:rFonts w:cs="Arial"/>
                <w:sz w:val="16"/>
                <w:szCs w:val="16"/>
              </w:rPr>
            </w:pPr>
            <w:r w:rsidRPr="00EE15D3">
              <w:rPr>
                <w:rFonts w:cs="Arial"/>
                <w:sz w:val="16"/>
                <w:szCs w:val="16"/>
              </w:rPr>
              <w:t>Vizepräsident, Vizepräsidentin des Amtsgerichts als der stä</w:t>
            </w:r>
            <w:r w:rsidRPr="00EE15D3">
              <w:rPr>
                <w:rFonts w:cs="Arial"/>
                <w:sz w:val="16"/>
                <w:szCs w:val="16"/>
              </w:rPr>
              <w:t>n</w:t>
            </w:r>
            <w:r w:rsidRPr="00EE15D3">
              <w:rPr>
                <w:rFonts w:cs="Arial"/>
                <w:sz w:val="16"/>
                <w:szCs w:val="16"/>
              </w:rPr>
              <w:t>dige Vertreter oder die ständige Vertreterin eines Präsidenten oder einer Präsidentin der Besoldungsgruppe R 5 oder R</w:t>
            </w:r>
            <w:r w:rsidR="00DF03B3">
              <w:rPr>
                <w:rFonts w:cs="Arial"/>
                <w:sz w:val="16"/>
                <w:szCs w:val="16"/>
              </w:rPr>
              <w:t> </w:t>
            </w:r>
            <w:r w:rsidRPr="00EE15D3">
              <w:rPr>
                <w:rFonts w:cs="Arial"/>
                <w:sz w:val="16"/>
                <w:szCs w:val="16"/>
              </w:rPr>
              <w:t>6</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DF03B3">
            <w:pPr>
              <w:rPr>
                <w:rFonts w:cs="Arial"/>
                <w:sz w:val="16"/>
                <w:szCs w:val="16"/>
              </w:rPr>
            </w:pPr>
            <w:r w:rsidRPr="00EE15D3">
              <w:rPr>
                <w:rFonts w:cs="Arial"/>
                <w:sz w:val="16"/>
                <w:szCs w:val="16"/>
              </w:rPr>
              <w:t>Vizepräsidenten, Vizepräside</w:t>
            </w:r>
            <w:r w:rsidRPr="00EE15D3">
              <w:rPr>
                <w:rFonts w:cs="Arial"/>
                <w:sz w:val="16"/>
                <w:szCs w:val="16"/>
              </w:rPr>
              <w:t>n</w:t>
            </w:r>
            <w:r w:rsidRPr="00EE15D3">
              <w:rPr>
                <w:rFonts w:cs="Arial"/>
                <w:sz w:val="16"/>
                <w:szCs w:val="16"/>
              </w:rPr>
              <w:t>tinnen der Landgerichte als ständige Vertreter oder ständ</w:t>
            </w:r>
            <w:r w:rsidRPr="00EE15D3">
              <w:rPr>
                <w:rFonts w:cs="Arial"/>
                <w:sz w:val="16"/>
                <w:szCs w:val="16"/>
              </w:rPr>
              <w:t>i</w:t>
            </w:r>
            <w:r w:rsidRPr="00EE15D3">
              <w:rPr>
                <w:rFonts w:cs="Arial"/>
                <w:sz w:val="16"/>
                <w:szCs w:val="16"/>
              </w:rPr>
              <w:t>ge Vertreterinnen von Präside</w:t>
            </w:r>
            <w:r w:rsidRPr="00EE15D3">
              <w:rPr>
                <w:rFonts w:cs="Arial"/>
                <w:sz w:val="16"/>
                <w:szCs w:val="16"/>
              </w:rPr>
              <w:t>n</w:t>
            </w:r>
            <w:r w:rsidRPr="00EE15D3">
              <w:rPr>
                <w:rFonts w:cs="Arial"/>
                <w:sz w:val="16"/>
                <w:szCs w:val="16"/>
              </w:rPr>
              <w:t>ten oder Präsidentinnen der Besoldungsgruppe R 5 oder R</w:t>
            </w:r>
            <w:r w:rsidR="00DF03B3">
              <w:rPr>
                <w:rFonts w:cs="Arial"/>
                <w:sz w:val="16"/>
                <w:szCs w:val="16"/>
              </w:rPr>
              <w:t> </w:t>
            </w:r>
            <w:r w:rsidRPr="00EE15D3">
              <w:rPr>
                <w:rFonts w:cs="Arial"/>
                <w:sz w:val="16"/>
                <w:szCs w:val="16"/>
              </w:rPr>
              <w:t>6</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7</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Vorsitzende Richter, Vorsitze</w:t>
            </w:r>
            <w:r w:rsidRPr="00EE15D3">
              <w:rPr>
                <w:rFonts w:cs="Arial"/>
                <w:sz w:val="16"/>
                <w:szCs w:val="16"/>
              </w:rPr>
              <w:t>n</w:t>
            </w:r>
            <w:r w:rsidRPr="00EE15D3">
              <w:rPr>
                <w:rFonts w:cs="Arial"/>
                <w:sz w:val="16"/>
                <w:szCs w:val="16"/>
              </w:rPr>
              <w:t>de Richterinnen an Oberla</w:t>
            </w:r>
            <w:r w:rsidRPr="00EE15D3">
              <w:rPr>
                <w:rFonts w:cs="Arial"/>
                <w:sz w:val="16"/>
                <w:szCs w:val="16"/>
              </w:rPr>
              <w:t>n</w:t>
            </w:r>
            <w:r w:rsidRPr="00EE15D3">
              <w:rPr>
                <w:rFonts w:cs="Arial"/>
                <w:sz w:val="16"/>
                <w:szCs w:val="16"/>
              </w:rPr>
              <w:t xml:space="preserve">desgerichten </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R3</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71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0,50</w:t>
            </w:r>
          </w:p>
        </w:tc>
        <w:tc>
          <w:tcPr>
            <w:tcW w:w="3119" w:type="dxa"/>
          </w:tcPr>
          <w:p w:rsidR="00E9757C" w:rsidRPr="00EE15D3" w:rsidRDefault="00E9757C" w:rsidP="00EE15D3">
            <w:pPr>
              <w:tabs>
                <w:tab w:val="right" w:pos="604"/>
              </w:tabs>
              <w:ind w:left="-60" w:right="-60"/>
              <w:rPr>
                <w:rFonts w:cs="Arial"/>
                <w:sz w:val="16"/>
                <w:szCs w:val="16"/>
              </w:rPr>
            </w:pPr>
            <w:r w:rsidRPr="00EE15D3">
              <w:rPr>
                <w:rFonts w:cs="Arial"/>
                <w:sz w:val="16"/>
                <w:szCs w:val="16"/>
              </w:rPr>
              <w:t>Stellenrest wird laufend für Dienstzeitau</w:t>
            </w:r>
            <w:r w:rsidRPr="00EE15D3">
              <w:rPr>
                <w:rFonts w:cs="Arial"/>
                <w:sz w:val="16"/>
                <w:szCs w:val="16"/>
              </w:rPr>
              <w:t>f</w:t>
            </w:r>
            <w:r w:rsidRPr="00EE15D3">
              <w:rPr>
                <w:rFonts w:cs="Arial"/>
                <w:sz w:val="16"/>
                <w:szCs w:val="16"/>
              </w:rPr>
              <w:t>stockungen oder zur Finanzierung der Ab</w:t>
            </w:r>
            <w:r w:rsidR="00EE15D3">
              <w:rPr>
                <w:rFonts w:cs="Arial"/>
                <w:sz w:val="16"/>
                <w:szCs w:val="16"/>
              </w:rPr>
              <w:softHyphen/>
            </w:r>
            <w:r w:rsidR="000C74C3">
              <w:rPr>
                <w:rFonts w:cs="Arial"/>
                <w:sz w:val="16"/>
                <w:szCs w:val="16"/>
              </w:rPr>
              <w:t>kürzung von Wiederbesetzungs</w:t>
            </w:r>
            <w:r w:rsidRPr="00EE15D3">
              <w:rPr>
                <w:rFonts w:cs="Arial"/>
                <w:sz w:val="16"/>
                <w:szCs w:val="16"/>
              </w:rPr>
              <w:t>sperren genutzt.</w:t>
            </w: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Direktoren, Direktorinnen der Amtsgerichte an Gerichten mit sechs und mehr Planstellen für Richter und Richterinnen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52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DF03B3">
            <w:pPr>
              <w:rPr>
                <w:rFonts w:cs="Arial"/>
                <w:sz w:val="16"/>
                <w:szCs w:val="16"/>
              </w:rPr>
            </w:pPr>
            <w:r w:rsidRPr="00EE15D3">
              <w:rPr>
                <w:rFonts w:cs="Arial"/>
                <w:sz w:val="16"/>
                <w:szCs w:val="16"/>
              </w:rPr>
              <w:t>Oberstaatsanwälte, Obe</w:t>
            </w:r>
            <w:r w:rsidRPr="00EE15D3">
              <w:rPr>
                <w:rFonts w:cs="Arial"/>
                <w:sz w:val="16"/>
                <w:szCs w:val="16"/>
              </w:rPr>
              <w:t>r</w:t>
            </w:r>
            <w:r w:rsidRPr="00EE15D3">
              <w:rPr>
                <w:rFonts w:cs="Arial"/>
                <w:sz w:val="16"/>
                <w:szCs w:val="16"/>
              </w:rPr>
              <w:t>staatsanwältinnen als ständige Vertreter oder ständige Vertr</w:t>
            </w:r>
            <w:r w:rsidRPr="00EE15D3">
              <w:rPr>
                <w:rFonts w:cs="Arial"/>
                <w:sz w:val="16"/>
                <w:szCs w:val="16"/>
              </w:rPr>
              <w:t>e</w:t>
            </w:r>
            <w:r w:rsidRPr="00EE15D3">
              <w:rPr>
                <w:rFonts w:cs="Arial"/>
                <w:sz w:val="16"/>
                <w:szCs w:val="16"/>
              </w:rPr>
              <w:t>terinnen von Leitenden Obe</w:t>
            </w:r>
            <w:r w:rsidRPr="00EE15D3">
              <w:rPr>
                <w:rFonts w:cs="Arial"/>
                <w:sz w:val="16"/>
                <w:szCs w:val="16"/>
              </w:rPr>
              <w:t>r</w:t>
            </w:r>
            <w:r w:rsidRPr="00EE15D3">
              <w:rPr>
                <w:rFonts w:cs="Arial"/>
                <w:sz w:val="16"/>
                <w:szCs w:val="16"/>
              </w:rPr>
              <w:t>staatsanwälten oder Leitenden Oberstaatsanwältinnen der Besoldungsgruppe R 3 oder R</w:t>
            </w:r>
            <w:r w:rsidR="00DF03B3">
              <w:rPr>
                <w:rFonts w:cs="Arial"/>
                <w:sz w:val="16"/>
                <w:szCs w:val="16"/>
              </w:rPr>
              <w:t> </w:t>
            </w:r>
            <w:r w:rsidRPr="00EE15D3">
              <w:rPr>
                <w:rFonts w:cs="Arial"/>
                <w:sz w:val="16"/>
                <w:szCs w:val="16"/>
              </w:rPr>
              <w:t>4</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20</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Oberstaatsanwälte, Obe</w:t>
            </w:r>
            <w:r w:rsidRPr="00EE15D3">
              <w:rPr>
                <w:rFonts w:cs="Arial"/>
                <w:sz w:val="16"/>
                <w:szCs w:val="16"/>
              </w:rPr>
              <w:t>r</w:t>
            </w:r>
            <w:r w:rsidRPr="00EE15D3">
              <w:rPr>
                <w:rFonts w:cs="Arial"/>
                <w:sz w:val="16"/>
                <w:szCs w:val="16"/>
              </w:rPr>
              <w:t>staatsanwältinnen als Haupta</w:t>
            </w:r>
            <w:r w:rsidRPr="00EE15D3">
              <w:rPr>
                <w:rFonts w:cs="Arial"/>
                <w:sz w:val="16"/>
                <w:szCs w:val="16"/>
              </w:rPr>
              <w:t>b</w:t>
            </w:r>
            <w:r w:rsidRPr="00EE15D3">
              <w:rPr>
                <w:rFonts w:cs="Arial"/>
                <w:sz w:val="16"/>
                <w:szCs w:val="16"/>
              </w:rPr>
              <w:t>teilungsleiter oder Hauptabte</w:t>
            </w:r>
            <w:r w:rsidRPr="00EE15D3">
              <w:rPr>
                <w:rFonts w:cs="Arial"/>
                <w:sz w:val="16"/>
                <w:szCs w:val="16"/>
              </w:rPr>
              <w:t>i</w:t>
            </w:r>
            <w:r w:rsidRPr="00EE15D3">
              <w:rPr>
                <w:rFonts w:cs="Arial"/>
                <w:sz w:val="16"/>
                <w:szCs w:val="16"/>
              </w:rPr>
              <w:t>lungsleiterinnen bei Staatsa</w:t>
            </w:r>
            <w:r w:rsidRPr="00EE15D3">
              <w:rPr>
                <w:rFonts w:cs="Arial"/>
                <w:sz w:val="16"/>
                <w:szCs w:val="16"/>
              </w:rPr>
              <w:t>n</w:t>
            </w:r>
            <w:r w:rsidRPr="00EE15D3">
              <w:rPr>
                <w:rFonts w:cs="Arial"/>
                <w:sz w:val="16"/>
                <w:szCs w:val="16"/>
              </w:rPr>
              <w:t>waltschaften mit 60 bis 119 Planstellen für Staatsanwälte und Staatsanwältinnen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Richter, Richterinnen an Amt</w:t>
            </w:r>
            <w:r w:rsidRPr="00EE15D3">
              <w:rPr>
                <w:rFonts w:cs="Arial"/>
                <w:sz w:val="16"/>
                <w:szCs w:val="16"/>
              </w:rPr>
              <w:t>s</w:t>
            </w:r>
            <w:r w:rsidRPr="00EE15D3">
              <w:rPr>
                <w:rFonts w:cs="Arial"/>
                <w:sz w:val="16"/>
                <w:szCs w:val="16"/>
              </w:rPr>
              <w:t>gerichten als ständige Vertreter oder ständige Vertreterinnen von Direktoren oder Direktori</w:t>
            </w:r>
            <w:r w:rsidRPr="00EE15D3">
              <w:rPr>
                <w:rFonts w:cs="Arial"/>
                <w:sz w:val="16"/>
                <w:szCs w:val="16"/>
              </w:rPr>
              <w:t>n</w:t>
            </w:r>
            <w:r w:rsidRPr="00EE15D3">
              <w:rPr>
                <w:rFonts w:cs="Arial"/>
                <w:sz w:val="16"/>
                <w:szCs w:val="16"/>
              </w:rPr>
              <w:t>nen der Besoldungsgruppe R 3</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10</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Richter, Richterinnen am Amt</w:t>
            </w:r>
            <w:r w:rsidRPr="00EE15D3">
              <w:rPr>
                <w:rFonts w:cs="Arial"/>
                <w:sz w:val="16"/>
                <w:szCs w:val="16"/>
              </w:rPr>
              <w:t>s</w:t>
            </w:r>
            <w:r w:rsidRPr="00EE15D3">
              <w:rPr>
                <w:rFonts w:cs="Arial"/>
                <w:sz w:val="16"/>
                <w:szCs w:val="16"/>
              </w:rPr>
              <w:t>gericht als Leiter oder Leiteri</w:t>
            </w:r>
            <w:r w:rsidRPr="00EE15D3">
              <w:rPr>
                <w:rFonts w:cs="Arial"/>
                <w:sz w:val="16"/>
                <w:szCs w:val="16"/>
              </w:rPr>
              <w:t>n</w:t>
            </w:r>
            <w:r w:rsidRPr="00EE15D3">
              <w:rPr>
                <w:rFonts w:cs="Arial"/>
                <w:sz w:val="16"/>
                <w:szCs w:val="16"/>
              </w:rPr>
              <w:t>nen von Hauptabteilungen an Gerichten mit 151 und mehr Planstellen für Richter und Richterinnen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640D1">
            <w:pPr>
              <w:rPr>
                <w:rFonts w:cs="Arial"/>
                <w:sz w:val="16"/>
                <w:szCs w:val="16"/>
              </w:rPr>
            </w:pPr>
            <w:r w:rsidRPr="00EE15D3">
              <w:rPr>
                <w:rFonts w:cs="Arial"/>
                <w:sz w:val="16"/>
                <w:szCs w:val="16"/>
              </w:rPr>
              <w:t>Vizepräsidenten, Vizepräside</w:t>
            </w:r>
            <w:r w:rsidRPr="00EE15D3">
              <w:rPr>
                <w:rFonts w:cs="Arial"/>
                <w:sz w:val="16"/>
                <w:szCs w:val="16"/>
              </w:rPr>
              <w:t>n</w:t>
            </w:r>
            <w:r w:rsidRPr="00EE15D3">
              <w:rPr>
                <w:rFonts w:cs="Arial"/>
                <w:sz w:val="16"/>
                <w:szCs w:val="16"/>
              </w:rPr>
              <w:t>tinnen der Amtsgerichte als ständige Vertreter oder ständ</w:t>
            </w:r>
            <w:r w:rsidRPr="00EE15D3">
              <w:rPr>
                <w:rFonts w:cs="Arial"/>
                <w:sz w:val="16"/>
                <w:szCs w:val="16"/>
              </w:rPr>
              <w:t>i</w:t>
            </w:r>
            <w:r w:rsidRPr="00EE15D3">
              <w:rPr>
                <w:rFonts w:cs="Arial"/>
                <w:sz w:val="16"/>
                <w:szCs w:val="16"/>
              </w:rPr>
              <w:t>ge Vertreterinnen von Präside</w:t>
            </w:r>
            <w:r w:rsidRPr="00EE15D3">
              <w:rPr>
                <w:rFonts w:cs="Arial"/>
                <w:sz w:val="16"/>
                <w:szCs w:val="16"/>
              </w:rPr>
              <w:t>n</w:t>
            </w:r>
            <w:r w:rsidRPr="00EE15D3">
              <w:rPr>
                <w:rFonts w:cs="Arial"/>
                <w:sz w:val="16"/>
                <w:szCs w:val="16"/>
              </w:rPr>
              <w:t>ten oder Präsidentinnen der Besoldungsgruppe R 3 oder R</w:t>
            </w:r>
            <w:r w:rsidR="00E640D1">
              <w:rPr>
                <w:rFonts w:cs="Arial"/>
                <w:sz w:val="16"/>
                <w:szCs w:val="16"/>
              </w:rPr>
              <w:t> </w:t>
            </w:r>
            <w:r w:rsidRPr="00EE15D3">
              <w:rPr>
                <w:rFonts w:cs="Arial"/>
                <w:sz w:val="16"/>
                <w:szCs w:val="16"/>
              </w:rPr>
              <w:t>4</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640D1">
            <w:pPr>
              <w:rPr>
                <w:rFonts w:cs="Arial"/>
                <w:sz w:val="16"/>
                <w:szCs w:val="16"/>
              </w:rPr>
            </w:pPr>
            <w:r w:rsidRPr="00EE15D3">
              <w:rPr>
                <w:rFonts w:cs="Arial"/>
                <w:sz w:val="16"/>
                <w:szCs w:val="16"/>
              </w:rPr>
              <w:t>Vizepräsidenten, Vizepräside</w:t>
            </w:r>
            <w:r w:rsidRPr="00EE15D3">
              <w:rPr>
                <w:rFonts w:cs="Arial"/>
                <w:sz w:val="16"/>
                <w:szCs w:val="16"/>
              </w:rPr>
              <w:t>n</w:t>
            </w:r>
            <w:r w:rsidRPr="00EE15D3">
              <w:rPr>
                <w:rFonts w:cs="Arial"/>
                <w:sz w:val="16"/>
                <w:szCs w:val="16"/>
              </w:rPr>
              <w:t>tinnen der Landgerichte als ständige Vertreter oder ständ</w:t>
            </w:r>
            <w:r w:rsidRPr="00EE15D3">
              <w:rPr>
                <w:rFonts w:cs="Arial"/>
                <w:sz w:val="16"/>
                <w:szCs w:val="16"/>
              </w:rPr>
              <w:t>i</w:t>
            </w:r>
            <w:r w:rsidRPr="00EE15D3">
              <w:rPr>
                <w:rFonts w:cs="Arial"/>
                <w:sz w:val="16"/>
                <w:szCs w:val="16"/>
              </w:rPr>
              <w:t>ge Vertreterinnen von Präside</w:t>
            </w:r>
            <w:r w:rsidRPr="00EE15D3">
              <w:rPr>
                <w:rFonts w:cs="Arial"/>
                <w:sz w:val="16"/>
                <w:szCs w:val="16"/>
              </w:rPr>
              <w:t>n</w:t>
            </w:r>
            <w:r w:rsidRPr="00EE15D3">
              <w:rPr>
                <w:rFonts w:cs="Arial"/>
                <w:sz w:val="16"/>
                <w:szCs w:val="16"/>
              </w:rPr>
              <w:t>ten oder Präsidentinnen der Besoldungsgruppe R 3 oder R</w:t>
            </w:r>
            <w:r w:rsidR="00E640D1">
              <w:rPr>
                <w:rFonts w:cs="Arial"/>
                <w:sz w:val="16"/>
                <w:szCs w:val="16"/>
              </w:rPr>
              <w:t> </w:t>
            </w:r>
            <w:r w:rsidRPr="00EE15D3">
              <w:rPr>
                <w:rFonts w:cs="Arial"/>
                <w:sz w:val="16"/>
                <w:szCs w:val="16"/>
              </w:rPr>
              <w:t>4</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15</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Vorsitzende Richter, Vorsitze</w:t>
            </w:r>
            <w:r w:rsidRPr="00EE15D3">
              <w:rPr>
                <w:rFonts w:cs="Arial"/>
                <w:sz w:val="16"/>
                <w:szCs w:val="16"/>
              </w:rPr>
              <w:t>n</w:t>
            </w:r>
            <w:r w:rsidRPr="00EE15D3">
              <w:rPr>
                <w:rFonts w:cs="Arial"/>
                <w:sz w:val="16"/>
                <w:szCs w:val="16"/>
              </w:rPr>
              <w:t>de Richterinnen an Landgeric</w:t>
            </w:r>
            <w:r w:rsidRPr="00EE15D3">
              <w:rPr>
                <w:rFonts w:cs="Arial"/>
                <w:sz w:val="16"/>
                <w:szCs w:val="16"/>
              </w:rPr>
              <w:t>h</w:t>
            </w:r>
            <w:r w:rsidRPr="00EE15D3">
              <w:rPr>
                <w:rFonts w:cs="Arial"/>
                <w:sz w:val="16"/>
                <w:szCs w:val="16"/>
              </w:rPr>
              <w:t>ten als weitere aufsichtführende Richter oder aufsichtführende Richterinnen an Landgerichten mit 30 und mehr Planstellen für Richter und Richterinnen, einschließlich der Planstellen für Richter und Richterinnen der Gerichte, über die die Präside</w:t>
            </w:r>
            <w:r w:rsidRPr="00EE15D3">
              <w:rPr>
                <w:rFonts w:cs="Arial"/>
                <w:sz w:val="16"/>
                <w:szCs w:val="16"/>
              </w:rPr>
              <w:t>n</w:t>
            </w:r>
            <w:r w:rsidRPr="00EE15D3">
              <w:rPr>
                <w:rFonts w:cs="Arial"/>
                <w:sz w:val="16"/>
                <w:szCs w:val="16"/>
              </w:rPr>
              <w:t>ten oder die Präsidentinnen die Dienstaufsicht führen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6</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Direktoren, Direktorinnen der Amtsgerichte an Gerichten mit bis zu fünf Planstellen für Ric</w:t>
            </w:r>
            <w:r w:rsidRPr="00EE15D3">
              <w:rPr>
                <w:rFonts w:cs="Arial"/>
                <w:sz w:val="16"/>
                <w:szCs w:val="16"/>
              </w:rPr>
              <w:t>h</w:t>
            </w:r>
            <w:r w:rsidRPr="00EE15D3">
              <w:rPr>
                <w:rFonts w:cs="Arial"/>
                <w:sz w:val="16"/>
                <w:szCs w:val="16"/>
              </w:rPr>
              <w:t>ter und Richterinnen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8</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Oberstaatsanwälte, Obe</w:t>
            </w:r>
            <w:r w:rsidRPr="00EE15D3">
              <w:rPr>
                <w:rFonts w:cs="Arial"/>
                <w:sz w:val="16"/>
                <w:szCs w:val="16"/>
              </w:rPr>
              <w:t>r</w:t>
            </w:r>
            <w:r w:rsidRPr="00EE15D3">
              <w:rPr>
                <w:rFonts w:cs="Arial"/>
                <w:sz w:val="16"/>
                <w:szCs w:val="16"/>
              </w:rPr>
              <w:t>staatsanwältinnen als Abte</w:t>
            </w:r>
            <w:r w:rsidRPr="00EE15D3">
              <w:rPr>
                <w:rFonts w:cs="Arial"/>
                <w:sz w:val="16"/>
                <w:szCs w:val="16"/>
              </w:rPr>
              <w:t>i</w:t>
            </w:r>
            <w:r w:rsidRPr="00EE15D3">
              <w:rPr>
                <w:rFonts w:cs="Arial"/>
                <w:sz w:val="16"/>
                <w:szCs w:val="16"/>
              </w:rPr>
              <w:t>lungsleiter oder Abteilungsleit</w:t>
            </w:r>
            <w:r w:rsidRPr="00EE15D3">
              <w:rPr>
                <w:rFonts w:cs="Arial"/>
                <w:sz w:val="16"/>
                <w:szCs w:val="16"/>
              </w:rPr>
              <w:t>e</w:t>
            </w:r>
            <w:r w:rsidRPr="00EE15D3">
              <w:rPr>
                <w:rFonts w:cs="Arial"/>
                <w:sz w:val="16"/>
                <w:szCs w:val="16"/>
              </w:rPr>
              <w:t>rinnen bei Staatsanwaltscha</w:t>
            </w:r>
            <w:r w:rsidRPr="00EE15D3">
              <w:rPr>
                <w:rFonts w:cs="Arial"/>
                <w:sz w:val="16"/>
                <w:szCs w:val="16"/>
              </w:rPr>
              <w:t>f</w:t>
            </w:r>
            <w:r w:rsidRPr="00EE15D3">
              <w:rPr>
                <w:rFonts w:cs="Arial"/>
                <w:sz w:val="16"/>
                <w:szCs w:val="16"/>
              </w:rPr>
              <w:t>ten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52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Oberstaatsanwälte, Obe</w:t>
            </w:r>
            <w:r w:rsidRPr="00EE15D3">
              <w:rPr>
                <w:rFonts w:cs="Arial"/>
                <w:sz w:val="16"/>
                <w:szCs w:val="16"/>
              </w:rPr>
              <w:t>r</w:t>
            </w:r>
            <w:r w:rsidRPr="00EE15D3">
              <w:rPr>
                <w:rFonts w:cs="Arial"/>
                <w:sz w:val="16"/>
                <w:szCs w:val="16"/>
              </w:rPr>
              <w:t>staatsanwältinnen als Deze</w:t>
            </w:r>
            <w:r w:rsidRPr="00EE15D3">
              <w:rPr>
                <w:rFonts w:cs="Arial"/>
                <w:sz w:val="16"/>
                <w:szCs w:val="16"/>
              </w:rPr>
              <w:t>r</w:t>
            </w:r>
            <w:r w:rsidRPr="00EE15D3">
              <w:rPr>
                <w:rFonts w:cs="Arial"/>
                <w:sz w:val="16"/>
                <w:szCs w:val="16"/>
              </w:rPr>
              <w:t>nenten oder Dezernentinnen bei Generalstaatsanwaltscha</w:t>
            </w:r>
            <w:r w:rsidRPr="00EE15D3">
              <w:rPr>
                <w:rFonts w:cs="Arial"/>
                <w:sz w:val="16"/>
                <w:szCs w:val="16"/>
              </w:rPr>
              <w:t>f</w:t>
            </w:r>
            <w:r w:rsidRPr="00EE15D3">
              <w:rPr>
                <w:rFonts w:cs="Arial"/>
                <w:sz w:val="16"/>
                <w:szCs w:val="16"/>
              </w:rPr>
              <w:t>ten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28</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Richter, Richterinnen an Obe</w:t>
            </w:r>
            <w:r w:rsidRPr="00EE15D3">
              <w:rPr>
                <w:rFonts w:cs="Arial"/>
                <w:sz w:val="16"/>
                <w:szCs w:val="16"/>
              </w:rPr>
              <w:t>r</w:t>
            </w:r>
            <w:r w:rsidRPr="00EE15D3">
              <w:rPr>
                <w:rFonts w:cs="Arial"/>
                <w:sz w:val="16"/>
                <w:szCs w:val="16"/>
              </w:rPr>
              <w:t xml:space="preserve">landesgerichten </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204</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0,30</w:t>
            </w:r>
          </w:p>
        </w:tc>
        <w:tc>
          <w:tcPr>
            <w:tcW w:w="3119" w:type="dxa"/>
          </w:tcPr>
          <w:p w:rsidR="00E9757C" w:rsidRPr="00EE15D3" w:rsidRDefault="00E9757C" w:rsidP="00EE15D3">
            <w:pPr>
              <w:tabs>
                <w:tab w:val="right" w:pos="604"/>
              </w:tabs>
              <w:ind w:left="-60" w:right="-60"/>
              <w:rPr>
                <w:rFonts w:cs="Arial"/>
                <w:sz w:val="16"/>
                <w:szCs w:val="16"/>
              </w:rPr>
            </w:pPr>
            <w:r w:rsidRPr="00EE15D3">
              <w:rPr>
                <w:rFonts w:cs="Arial"/>
                <w:sz w:val="16"/>
                <w:szCs w:val="16"/>
              </w:rPr>
              <w:t>Stellenrest wird laufend für Dienstzeitauf-stockungen oder zur Finanzierung der</w:t>
            </w:r>
            <w:r w:rsidR="000C74C3">
              <w:rPr>
                <w:rFonts w:cs="Arial"/>
                <w:sz w:val="16"/>
                <w:szCs w:val="16"/>
              </w:rPr>
              <w:t xml:space="preserve"> Abkürzung von Wiederbesetzungs</w:t>
            </w:r>
            <w:r w:rsidRPr="00EE15D3">
              <w:rPr>
                <w:rFonts w:cs="Arial"/>
                <w:sz w:val="16"/>
                <w:szCs w:val="16"/>
              </w:rPr>
              <w:t>sperren genutzt.</w:t>
            </w: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Richter, Richterinnen an Amt</w:t>
            </w:r>
            <w:r w:rsidRPr="00EE15D3">
              <w:rPr>
                <w:rFonts w:cs="Arial"/>
                <w:sz w:val="16"/>
                <w:szCs w:val="16"/>
              </w:rPr>
              <w:t>s</w:t>
            </w:r>
            <w:r w:rsidRPr="00EE15D3">
              <w:rPr>
                <w:rFonts w:cs="Arial"/>
                <w:sz w:val="16"/>
                <w:szCs w:val="16"/>
              </w:rPr>
              <w:t>gerichten als ständige Vertreter oder ständige Vertreterinnen von Direktoren oder Direktori</w:t>
            </w:r>
            <w:r w:rsidRPr="00EE15D3">
              <w:rPr>
                <w:rFonts w:cs="Arial"/>
                <w:sz w:val="16"/>
                <w:szCs w:val="16"/>
              </w:rPr>
              <w:t>n</w:t>
            </w:r>
            <w:r w:rsidRPr="00EE15D3">
              <w:rPr>
                <w:rFonts w:cs="Arial"/>
                <w:sz w:val="16"/>
                <w:szCs w:val="16"/>
              </w:rPr>
              <w:t>nen an Gerichten mit sechs und mehr Planstellen für Richter und Richterinnen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52</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Richter, Richterinnen an Amt</w:t>
            </w:r>
            <w:r w:rsidRPr="00EE15D3">
              <w:rPr>
                <w:rFonts w:cs="Arial"/>
                <w:sz w:val="16"/>
                <w:szCs w:val="16"/>
              </w:rPr>
              <w:t>s</w:t>
            </w:r>
            <w:r w:rsidRPr="00EE15D3">
              <w:rPr>
                <w:rFonts w:cs="Arial"/>
                <w:sz w:val="16"/>
                <w:szCs w:val="16"/>
              </w:rPr>
              <w:t>gerichten als weitere aufsich</w:t>
            </w:r>
            <w:r w:rsidRPr="00EE15D3">
              <w:rPr>
                <w:rFonts w:cs="Arial"/>
                <w:sz w:val="16"/>
                <w:szCs w:val="16"/>
              </w:rPr>
              <w:t>t</w:t>
            </w:r>
            <w:r w:rsidRPr="00EE15D3">
              <w:rPr>
                <w:rFonts w:cs="Arial"/>
                <w:sz w:val="16"/>
                <w:szCs w:val="16"/>
              </w:rPr>
              <w:t>führende Richter oder weitere aufsichtführende Richterinnen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80</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1,00</w:t>
            </w:r>
          </w:p>
        </w:tc>
        <w:tc>
          <w:tcPr>
            <w:tcW w:w="3119" w:type="dxa"/>
          </w:tcPr>
          <w:p w:rsidR="00E9757C" w:rsidRPr="00EE15D3" w:rsidRDefault="00E9757C" w:rsidP="00E9757C">
            <w:pPr>
              <w:tabs>
                <w:tab w:val="right" w:pos="604"/>
              </w:tabs>
              <w:ind w:left="-60" w:right="-60"/>
              <w:rPr>
                <w:rFonts w:cs="Arial"/>
                <w:sz w:val="16"/>
                <w:szCs w:val="16"/>
              </w:rPr>
            </w:pPr>
            <w:r w:rsidRPr="00EE15D3">
              <w:rPr>
                <w:rFonts w:cs="Arial"/>
                <w:sz w:val="16"/>
                <w:szCs w:val="16"/>
              </w:rPr>
              <w:t>Stelle wurde nach erforderlicher Stelle</w:t>
            </w:r>
            <w:r w:rsidRPr="00EE15D3">
              <w:rPr>
                <w:rFonts w:cs="Arial"/>
                <w:sz w:val="16"/>
                <w:szCs w:val="16"/>
              </w:rPr>
              <w:t>n</w:t>
            </w:r>
            <w:r w:rsidRPr="00EE15D3">
              <w:rPr>
                <w:rFonts w:cs="Arial"/>
                <w:sz w:val="16"/>
                <w:szCs w:val="16"/>
              </w:rPr>
              <w:t>aus</w:t>
            </w:r>
            <w:r w:rsidR="00EE15D3">
              <w:rPr>
                <w:rFonts w:cs="Arial"/>
                <w:sz w:val="16"/>
                <w:szCs w:val="16"/>
              </w:rPr>
              <w:t>schreibung mit Wirkung vom 15</w:t>
            </w:r>
            <w:r w:rsidR="00E75174">
              <w:rPr>
                <w:rFonts w:cs="Arial"/>
                <w:sz w:val="16"/>
                <w:szCs w:val="16"/>
              </w:rPr>
              <w:t>.</w:t>
            </w:r>
            <w:r w:rsidR="00EE15D3">
              <w:rPr>
                <w:rFonts w:cs="Arial"/>
                <w:sz w:val="16"/>
                <w:szCs w:val="16"/>
              </w:rPr>
              <w:t xml:space="preserve"> Febr</w:t>
            </w:r>
            <w:r w:rsidR="00EE15D3">
              <w:rPr>
                <w:rFonts w:cs="Arial"/>
                <w:sz w:val="16"/>
                <w:szCs w:val="16"/>
              </w:rPr>
              <w:t>u</w:t>
            </w:r>
            <w:r w:rsidR="00EE15D3">
              <w:rPr>
                <w:rFonts w:cs="Arial"/>
                <w:sz w:val="16"/>
                <w:szCs w:val="16"/>
              </w:rPr>
              <w:t xml:space="preserve">ar </w:t>
            </w:r>
            <w:r w:rsidRPr="00EE15D3">
              <w:rPr>
                <w:rFonts w:cs="Arial"/>
                <w:sz w:val="16"/>
                <w:szCs w:val="16"/>
              </w:rPr>
              <w:t>2017 wieder besetzt.</w:t>
            </w: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Vorsitzende Richter, Vorsitze</w:t>
            </w:r>
            <w:r w:rsidRPr="00EE15D3">
              <w:rPr>
                <w:rFonts w:cs="Arial"/>
                <w:sz w:val="16"/>
                <w:szCs w:val="16"/>
              </w:rPr>
              <w:t>n</w:t>
            </w:r>
            <w:r w:rsidRPr="00EE15D3">
              <w:rPr>
                <w:rFonts w:cs="Arial"/>
                <w:sz w:val="16"/>
                <w:szCs w:val="16"/>
              </w:rPr>
              <w:t>de Richterinnen an Landgeric</w:t>
            </w:r>
            <w:r w:rsidRPr="00EE15D3">
              <w:rPr>
                <w:rFonts w:cs="Arial"/>
                <w:sz w:val="16"/>
                <w:szCs w:val="16"/>
              </w:rPr>
              <w:t>h</w:t>
            </w:r>
            <w:r w:rsidRPr="00EE15D3">
              <w:rPr>
                <w:rFonts w:cs="Arial"/>
                <w:sz w:val="16"/>
                <w:szCs w:val="16"/>
              </w:rPr>
              <w:t xml:space="preserve">ten </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R2</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255</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1,40</w:t>
            </w:r>
          </w:p>
        </w:tc>
        <w:tc>
          <w:tcPr>
            <w:tcW w:w="3119" w:type="dxa"/>
          </w:tcPr>
          <w:p w:rsidR="00E9757C" w:rsidRPr="00EE15D3" w:rsidRDefault="00E9757C" w:rsidP="00E9757C">
            <w:pPr>
              <w:tabs>
                <w:tab w:val="right" w:pos="604"/>
              </w:tabs>
              <w:ind w:left="-60" w:right="-60"/>
              <w:rPr>
                <w:rFonts w:cs="Arial"/>
                <w:sz w:val="16"/>
                <w:szCs w:val="16"/>
              </w:rPr>
            </w:pPr>
            <w:r w:rsidRPr="00EE15D3">
              <w:rPr>
                <w:rFonts w:cs="Arial"/>
                <w:sz w:val="16"/>
                <w:szCs w:val="16"/>
              </w:rPr>
              <w:t>1,0 Stelle wurde nach erforderlicher Ste</w:t>
            </w:r>
            <w:r w:rsidRPr="00EE15D3">
              <w:rPr>
                <w:rFonts w:cs="Arial"/>
                <w:sz w:val="16"/>
                <w:szCs w:val="16"/>
              </w:rPr>
              <w:t>l</w:t>
            </w:r>
            <w:r w:rsidRPr="00EE15D3">
              <w:rPr>
                <w:rFonts w:cs="Arial"/>
                <w:sz w:val="16"/>
                <w:szCs w:val="16"/>
              </w:rPr>
              <w:t>lenau</w:t>
            </w:r>
            <w:r w:rsidR="007A0949" w:rsidRPr="00EE15D3">
              <w:rPr>
                <w:rFonts w:cs="Arial"/>
                <w:sz w:val="16"/>
                <w:szCs w:val="16"/>
              </w:rPr>
              <w:t xml:space="preserve">sschreibung mit Wirkung vom 1. März </w:t>
            </w:r>
            <w:r w:rsidRPr="00EE15D3">
              <w:rPr>
                <w:rFonts w:cs="Arial"/>
                <w:sz w:val="16"/>
                <w:szCs w:val="16"/>
              </w:rPr>
              <w:t>2017 wieder besetzt.</w:t>
            </w:r>
          </w:p>
          <w:p w:rsidR="00E9757C" w:rsidRPr="00EE15D3" w:rsidRDefault="00E9757C" w:rsidP="00E9757C">
            <w:pPr>
              <w:tabs>
                <w:tab w:val="right" w:pos="604"/>
              </w:tabs>
              <w:ind w:left="-60" w:right="-60"/>
              <w:rPr>
                <w:rFonts w:cs="Arial"/>
                <w:sz w:val="16"/>
                <w:szCs w:val="16"/>
              </w:rPr>
            </w:pPr>
            <w:r w:rsidRPr="00EE15D3">
              <w:rPr>
                <w:rFonts w:cs="Arial"/>
                <w:sz w:val="16"/>
                <w:szCs w:val="16"/>
              </w:rPr>
              <w:t>Der Stellenrest in Höhe von 0,40 wird laufend für Dienstzeitaufstockungen oder zur Finanzierung der Abkürzung von Wiederbesetzungssperren genutzt.</w:t>
            </w:r>
          </w:p>
        </w:tc>
      </w:tr>
      <w:tr w:rsidR="00E9757C" w:rsidRPr="00EE15D3" w:rsidTr="00E9757C">
        <w:trPr>
          <w:cantSplit/>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75174" w:rsidP="00E9757C">
            <w:pPr>
              <w:autoSpaceDE w:val="0"/>
              <w:autoSpaceDN w:val="0"/>
              <w:adjustRightInd w:val="0"/>
              <w:rPr>
                <w:rFonts w:cs="Arial"/>
                <w:i/>
                <w:sz w:val="16"/>
                <w:szCs w:val="16"/>
              </w:rPr>
            </w:pPr>
            <w:r>
              <w:rPr>
                <w:rFonts w:cs="Arial"/>
                <w:i/>
                <w:iCs/>
                <w:sz w:val="16"/>
                <w:szCs w:val="16"/>
              </w:rPr>
              <w:t>4 Stellen künftig umzuwa</w:t>
            </w:r>
            <w:r>
              <w:rPr>
                <w:rFonts w:cs="Arial"/>
                <w:i/>
                <w:iCs/>
                <w:sz w:val="16"/>
                <w:szCs w:val="16"/>
              </w:rPr>
              <w:t>n</w:t>
            </w:r>
            <w:r>
              <w:rPr>
                <w:rFonts w:cs="Arial"/>
                <w:i/>
                <w:iCs/>
                <w:sz w:val="16"/>
                <w:szCs w:val="16"/>
              </w:rPr>
              <w:t>deln (ku)</w:t>
            </w:r>
            <w:r w:rsidR="00E9757C" w:rsidRPr="00EE15D3">
              <w:rPr>
                <w:rFonts w:cs="Arial"/>
                <w:i/>
                <w:iCs/>
                <w:sz w:val="16"/>
                <w:szCs w:val="16"/>
              </w:rPr>
              <w:t xml:space="preserve"> in 4 Stellen für Vorsitzende Richter an Landgerichten als weitere aufsichtführende Richter der </w:t>
            </w:r>
            <w:r>
              <w:rPr>
                <w:rFonts w:cs="Arial"/>
                <w:i/>
                <w:iCs/>
                <w:sz w:val="16"/>
                <w:szCs w:val="16"/>
              </w:rPr>
              <w:t>Besoldungsgruppe (</w:t>
            </w:r>
            <w:r w:rsidR="00E9757C" w:rsidRPr="00EE15D3">
              <w:rPr>
                <w:rFonts w:cs="Arial"/>
                <w:i/>
                <w:iCs/>
                <w:sz w:val="16"/>
                <w:szCs w:val="16"/>
              </w:rPr>
              <w:t xml:space="preserve">BesGr </w:t>
            </w:r>
            <w:r>
              <w:rPr>
                <w:rFonts w:cs="Arial"/>
                <w:i/>
                <w:iCs/>
                <w:sz w:val="16"/>
                <w:szCs w:val="16"/>
              </w:rPr>
              <w:t>)</w:t>
            </w:r>
            <w:r w:rsidR="00E9757C" w:rsidRPr="00EE15D3">
              <w:rPr>
                <w:rFonts w:cs="Arial"/>
                <w:i/>
                <w:iCs/>
                <w:sz w:val="16"/>
                <w:szCs w:val="16"/>
              </w:rPr>
              <w:t>R 2+AZ jeweils gleichzeitig mit 4 Stellen für Staatsanwälte als Gru</w:t>
            </w:r>
            <w:r w:rsidR="00E9757C" w:rsidRPr="00EE15D3">
              <w:rPr>
                <w:rFonts w:cs="Arial"/>
                <w:i/>
                <w:iCs/>
                <w:sz w:val="16"/>
                <w:szCs w:val="16"/>
              </w:rPr>
              <w:t>p</w:t>
            </w:r>
            <w:r w:rsidR="00E9757C" w:rsidRPr="00EE15D3">
              <w:rPr>
                <w:rFonts w:cs="Arial"/>
                <w:i/>
                <w:iCs/>
                <w:sz w:val="16"/>
                <w:szCs w:val="16"/>
              </w:rPr>
              <w:t xml:space="preserve">penleiter der BesGr R 1+AZ ku in 4 Stellen für Staatsanwälte der BesGr R 1. Art. 47 Abs. 3 </w:t>
            </w:r>
            <w:r>
              <w:rPr>
                <w:rFonts w:cs="Arial"/>
                <w:i/>
                <w:iCs/>
                <w:sz w:val="16"/>
                <w:szCs w:val="16"/>
              </w:rPr>
              <w:t>der Bay</w:t>
            </w:r>
            <w:r>
              <w:rPr>
                <w:rFonts w:cs="Arial"/>
                <w:i/>
                <w:iCs/>
                <w:sz w:val="16"/>
                <w:szCs w:val="16"/>
              </w:rPr>
              <w:t>e</w:t>
            </w:r>
            <w:r>
              <w:rPr>
                <w:rFonts w:cs="Arial"/>
                <w:i/>
                <w:iCs/>
                <w:sz w:val="16"/>
                <w:szCs w:val="16"/>
              </w:rPr>
              <w:t xml:space="preserve">rischen Haushaltsordnung </w:t>
            </w:r>
            <w:r w:rsidR="00E9757C" w:rsidRPr="00EE15D3">
              <w:rPr>
                <w:rFonts w:cs="Arial"/>
                <w:i/>
                <w:iCs/>
                <w:sz w:val="16"/>
                <w:szCs w:val="16"/>
              </w:rPr>
              <w:t>BayHO ist nicht anzuwe</w:t>
            </w:r>
            <w:r w:rsidR="00E9757C" w:rsidRPr="00EE15D3">
              <w:rPr>
                <w:rFonts w:cs="Arial"/>
                <w:i/>
                <w:iCs/>
                <w:sz w:val="16"/>
                <w:szCs w:val="16"/>
              </w:rPr>
              <w:t>n</w:t>
            </w:r>
            <w:r w:rsidR="00E9757C" w:rsidRPr="00EE15D3">
              <w:rPr>
                <w:rFonts w:cs="Arial"/>
                <w:i/>
                <w:iCs/>
                <w:sz w:val="16"/>
                <w:szCs w:val="16"/>
              </w:rPr>
              <w:t>den.</w:t>
            </w:r>
            <w:r w:rsidR="00E9757C" w:rsidRPr="00EE15D3">
              <w:rPr>
                <w:rFonts w:cs="Arial"/>
                <w:i/>
                <w:sz w:val="16"/>
                <w:szCs w:val="16"/>
              </w:rPr>
              <w:t xml:space="preserve"> </w:t>
            </w: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Richter, Richterinnen an Amt</w:t>
            </w:r>
            <w:r w:rsidRPr="00EE15D3">
              <w:rPr>
                <w:rFonts w:cs="Arial"/>
                <w:sz w:val="16"/>
                <w:szCs w:val="16"/>
              </w:rPr>
              <w:t>s</w:t>
            </w:r>
            <w:r w:rsidRPr="00EE15D3">
              <w:rPr>
                <w:rFonts w:cs="Arial"/>
                <w:sz w:val="16"/>
                <w:szCs w:val="16"/>
              </w:rPr>
              <w:t>gerichten als ständige Vertreter oder ständige Vertreterinnen von Direktoren oder Direktori</w:t>
            </w:r>
            <w:r w:rsidRPr="00EE15D3">
              <w:rPr>
                <w:rFonts w:cs="Arial"/>
                <w:sz w:val="16"/>
                <w:szCs w:val="16"/>
              </w:rPr>
              <w:t>n</w:t>
            </w:r>
            <w:r w:rsidRPr="00EE15D3">
              <w:rPr>
                <w:rFonts w:cs="Arial"/>
                <w:sz w:val="16"/>
                <w:szCs w:val="16"/>
              </w:rPr>
              <w:t>nen an Amtsgerichten mit bis zu fünf Planstellen für Richter und Richterinnen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R1+AZ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8</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Staatsanwälte, Staatsanwälti</w:t>
            </w:r>
            <w:r w:rsidRPr="00EE15D3">
              <w:rPr>
                <w:rFonts w:cs="Arial"/>
                <w:sz w:val="16"/>
                <w:szCs w:val="16"/>
              </w:rPr>
              <w:t>n</w:t>
            </w:r>
            <w:r w:rsidRPr="00EE15D3">
              <w:rPr>
                <w:rFonts w:cs="Arial"/>
                <w:sz w:val="16"/>
                <w:szCs w:val="16"/>
              </w:rPr>
              <w:t>nen als Gruppenleiter oder Gruppenleiterinnen bei Staat</w:t>
            </w:r>
            <w:r w:rsidRPr="00EE15D3">
              <w:rPr>
                <w:rFonts w:cs="Arial"/>
                <w:sz w:val="16"/>
                <w:szCs w:val="16"/>
              </w:rPr>
              <w:t>s</w:t>
            </w:r>
            <w:r w:rsidRPr="00EE15D3">
              <w:rPr>
                <w:rFonts w:cs="Arial"/>
                <w:sz w:val="16"/>
                <w:szCs w:val="16"/>
              </w:rPr>
              <w:t>anwaltschaften</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R1+AZ</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154</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0,75</w:t>
            </w:r>
          </w:p>
        </w:tc>
        <w:tc>
          <w:tcPr>
            <w:tcW w:w="3119" w:type="dxa"/>
          </w:tcPr>
          <w:p w:rsidR="00E9757C" w:rsidRPr="00EE15D3" w:rsidRDefault="00E9757C" w:rsidP="00E75174">
            <w:pPr>
              <w:tabs>
                <w:tab w:val="right" w:pos="604"/>
              </w:tabs>
              <w:ind w:left="-60" w:right="-60"/>
              <w:rPr>
                <w:rFonts w:cs="Arial"/>
                <w:sz w:val="16"/>
                <w:szCs w:val="16"/>
              </w:rPr>
            </w:pPr>
            <w:r w:rsidRPr="00EE15D3">
              <w:rPr>
                <w:rFonts w:cs="Arial"/>
                <w:sz w:val="16"/>
                <w:szCs w:val="16"/>
              </w:rPr>
              <w:t>Die Teilzeitstelle wurde nach erforderlicher Stellenau</w:t>
            </w:r>
            <w:r w:rsidR="007A0949" w:rsidRPr="00EE15D3">
              <w:rPr>
                <w:rFonts w:cs="Arial"/>
                <w:sz w:val="16"/>
                <w:szCs w:val="16"/>
              </w:rPr>
              <w:t>sschreibung mit Wirkung vom 1</w:t>
            </w:r>
            <w:r w:rsidR="00E75174">
              <w:rPr>
                <w:rFonts w:cs="Arial"/>
                <w:sz w:val="16"/>
                <w:szCs w:val="16"/>
              </w:rPr>
              <w:t>. </w:t>
            </w:r>
            <w:r w:rsidR="007A0949" w:rsidRPr="00EE15D3">
              <w:rPr>
                <w:rFonts w:cs="Arial"/>
                <w:sz w:val="16"/>
                <w:szCs w:val="16"/>
              </w:rPr>
              <w:t xml:space="preserve">Januar </w:t>
            </w:r>
            <w:r w:rsidRPr="00EE15D3">
              <w:rPr>
                <w:rFonts w:cs="Arial"/>
                <w:sz w:val="16"/>
                <w:szCs w:val="16"/>
              </w:rPr>
              <w:t>2017 wieder besetzt.</w:t>
            </w: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 xml:space="preserve">Richter, Richterinnen an Amts- und Landgerichten </w:t>
            </w:r>
          </w:p>
          <w:p w:rsidR="00E9757C" w:rsidRPr="00EE15D3" w:rsidRDefault="00E9757C" w:rsidP="00E9757C">
            <w:pPr>
              <w:rPr>
                <w:rFonts w:cs="Arial"/>
                <w:sz w:val="16"/>
                <w:szCs w:val="16"/>
              </w:rPr>
            </w:pPr>
            <w:r w:rsidRPr="00EE15D3">
              <w:rPr>
                <w:rFonts w:cs="Arial"/>
                <w:sz w:val="16"/>
                <w:szCs w:val="16"/>
              </w:rPr>
              <w:t>(incl. 30 kw-Stellen aus Nac</w:t>
            </w:r>
            <w:r w:rsidRPr="00EE15D3">
              <w:rPr>
                <w:rFonts w:cs="Arial"/>
                <w:sz w:val="16"/>
                <w:szCs w:val="16"/>
              </w:rPr>
              <w:t>h</w:t>
            </w:r>
            <w:r w:rsidRPr="00EE15D3">
              <w:rPr>
                <w:rFonts w:cs="Arial"/>
                <w:sz w:val="16"/>
                <w:szCs w:val="16"/>
              </w:rPr>
              <w:t>tragshaushalt 2016)</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R1</w:t>
            </w:r>
          </w:p>
        </w:tc>
        <w:tc>
          <w:tcPr>
            <w:tcW w:w="850" w:type="dxa"/>
          </w:tcPr>
          <w:p w:rsidR="00E9757C" w:rsidRPr="00EE15D3" w:rsidRDefault="00E9757C" w:rsidP="00E9757C">
            <w:pPr>
              <w:ind w:left="-60" w:right="-60"/>
              <w:jc w:val="center"/>
              <w:rPr>
                <w:rFonts w:cs="Arial"/>
                <w:sz w:val="16"/>
                <w:szCs w:val="16"/>
              </w:rPr>
            </w:pPr>
            <w:r w:rsidRPr="00EE15D3">
              <w:rPr>
                <w:rFonts w:cs="Arial"/>
                <w:sz w:val="16"/>
                <w:szCs w:val="16"/>
              </w:rPr>
              <w:t>1.336,5</w:t>
            </w:r>
          </w:p>
        </w:tc>
        <w:tc>
          <w:tcPr>
            <w:tcW w:w="1276" w:type="dxa"/>
          </w:tcPr>
          <w:p w:rsidR="00E9757C" w:rsidRPr="00EE15D3" w:rsidRDefault="00E9757C" w:rsidP="00E9757C">
            <w:pPr>
              <w:ind w:left="-60" w:right="-60"/>
              <w:jc w:val="center"/>
              <w:rPr>
                <w:rFonts w:cs="Arial"/>
                <w:sz w:val="16"/>
                <w:szCs w:val="16"/>
              </w:rPr>
            </w:pPr>
            <w:r w:rsidRPr="00EE15D3">
              <w:rPr>
                <w:rFonts w:cs="Arial"/>
                <w:sz w:val="16"/>
                <w:szCs w:val="16"/>
              </w:rPr>
              <w:t>3,94</w:t>
            </w:r>
          </w:p>
        </w:tc>
        <w:tc>
          <w:tcPr>
            <w:tcW w:w="3119" w:type="dxa"/>
          </w:tcPr>
          <w:p w:rsidR="00E9757C" w:rsidRPr="00EE15D3" w:rsidRDefault="00E9757C" w:rsidP="00EE15D3">
            <w:pPr>
              <w:ind w:left="-60" w:right="-60"/>
              <w:rPr>
                <w:rFonts w:cs="Arial"/>
                <w:sz w:val="16"/>
                <w:szCs w:val="16"/>
              </w:rPr>
            </w:pPr>
            <w:r w:rsidRPr="00EE15D3">
              <w:rPr>
                <w:rFonts w:cs="Arial"/>
                <w:sz w:val="16"/>
                <w:szCs w:val="16"/>
              </w:rPr>
              <w:t xml:space="preserve">1,25 wurden bereits zum </w:t>
            </w:r>
            <w:r w:rsidR="007A0949" w:rsidRPr="00EE15D3">
              <w:rPr>
                <w:rFonts w:cs="Arial"/>
                <w:sz w:val="16"/>
                <w:szCs w:val="16"/>
              </w:rPr>
              <w:t xml:space="preserve">1. Januar </w:t>
            </w:r>
            <w:r w:rsidRPr="00EE15D3">
              <w:rPr>
                <w:rFonts w:cs="Arial"/>
                <w:sz w:val="16"/>
                <w:szCs w:val="16"/>
              </w:rPr>
              <w:t>2017 besetzt. Die Stellenreste in Höhe von insgesamt 2,69 werden laufend für Diens</w:t>
            </w:r>
            <w:r w:rsidRPr="00EE15D3">
              <w:rPr>
                <w:rFonts w:cs="Arial"/>
                <w:sz w:val="16"/>
                <w:szCs w:val="16"/>
              </w:rPr>
              <w:t>t</w:t>
            </w:r>
            <w:r w:rsidRPr="00EE15D3">
              <w:rPr>
                <w:rFonts w:cs="Arial"/>
                <w:sz w:val="16"/>
                <w:szCs w:val="16"/>
              </w:rPr>
              <w:t>zeitaufstockungen oder zur Finanzierung der Abkürzung von Wiederbesetzungsspe</w:t>
            </w:r>
            <w:r w:rsidRPr="00EE15D3">
              <w:rPr>
                <w:rFonts w:cs="Arial"/>
                <w:sz w:val="16"/>
                <w:szCs w:val="16"/>
              </w:rPr>
              <w:t>r</w:t>
            </w:r>
            <w:r w:rsidRPr="00EE15D3">
              <w:rPr>
                <w:rFonts w:cs="Arial"/>
                <w:sz w:val="16"/>
                <w:szCs w:val="16"/>
              </w:rPr>
              <w:t>ren genutzt.</w:t>
            </w:r>
          </w:p>
        </w:tc>
      </w:tr>
      <w:tr w:rsidR="00E9757C" w:rsidRPr="00EE15D3" w:rsidTr="00E9757C">
        <w:trPr>
          <w:cantSplit/>
        </w:trPr>
        <w:tc>
          <w:tcPr>
            <w:tcW w:w="638" w:type="dxa"/>
          </w:tcPr>
          <w:p w:rsidR="00E9757C" w:rsidRPr="00EE15D3" w:rsidRDefault="00E9757C" w:rsidP="00E9757C">
            <w:pPr>
              <w:rPr>
                <w:rFonts w:cs="Arial"/>
                <w:sz w:val="16"/>
                <w:szCs w:val="16"/>
              </w:rPr>
            </w:pPr>
          </w:p>
        </w:tc>
        <w:tc>
          <w:tcPr>
            <w:tcW w:w="2410" w:type="dxa"/>
            <w:gridSpan w:val="3"/>
          </w:tcPr>
          <w:p w:rsidR="00E9757C" w:rsidRPr="00EE15D3" w:rsidRDefault="00E9757C" w:rsidP="00E9757C">
            <w:pPr>
              <w:rPr>
                <w:rFonts w:cs="Arial"/>
                <w:sz w:val="16"/>
                <w:szCs w:val="16"/>
              </w:rPr>
            </w:pPr>
            <w:r w:rsidRPr="00EE15D3">
              <w:rPr>
                <w:rFonts w:cs="Arial"/>
                <w:sz w:val="16"/>
                <w:szCs w:val="16"/>
              </w:rPr>
              <w:t>Staatsanwälte, Staatsanwälti</w:t>
            </w:r>
            <w:r w:rsidRPr="00EE15D3">
              <w:rPr>
                <w:rFonts w:cs="Arial"/>
                <w:sz w:val="16"/>
                <w:szCs w:val="16"/>
              </w:rPr>
              <w:t>n</w:t>
            </w:r>
            <w:r w:rsidRPr="00EE15D3">
              <w:rPr>
                <w:rFonts w:cs="Arial"/>
                <w:sz w:val="16"/>
                <w:szCs w:val="16"/>
              </w:rPr>
              <w:t>nen (incl. 20 kw-Stellen aus Nachtragshaushalt 2016)</w:t>
            </w:r>
          </w:p>
        </w:tc>
        <w:tc>
          <w:tcPr>
            <w:tcW w:w="709" w:type="dxa"/>
          </w:tcPr>
          <w:p w:rsidR="00E9757C" w:rsidRPr="00EE15D3" w:rsidRDefault="00E9757C" w:rsidP="00E9757C">
            <w:pPr>
              <w:ind w:left="-60" w:right="-60"/>
              <w:jc w:val="center"/>
              <w:rPr>
                <w:rFonts w:cs="Arial"/>
                <w:sz w:val="16"/>
                <w:szCs w:val="16"/>
              </w:rPr>
            </w:pPr>
            <w:r w:rsidRPr="00EE15D3">
              <w:rPr>
                <w:rFonts w:cs="Arial"/>
                <w:sz w:val="16"/>
                <w:szCs w:val="16"/>
              </w:rPr>
              <w:t>R1</w:t>
            </w:r>
          </w:p>
        </w:tc>
        <w:tc>
          <w:tcPr>
            <w:tcW w:w="850"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495</w:t>
            </w:r>
          </w:p>
        </w:tc>
        <w:tc>
          <w:tcPr>
            <w:tcW w:w="1276" w:type="dxa"/>
          </w:tcPr>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23,20</w:t>
            </w:r>
          </w:p>
        </w:tc>
        <w:tc>
          <w:tcPr>
            <w:tcW w:w="3119" w:type="dxa"/>
          </w:tcPr>
          <w:p w:rsidR="00E9757C" w:rsidRPr="00EE15D3" w:rsidRDefault="00E9757C" w:rsidP="00E9757C">
            <w:pPr>
              <w:tabs>
                <w:tab w:val="right" w:pos="604"/>
              </w:tabs>
              <w:ind w:left="-60" w:right="-60"/>
              <w:rPr>
                <w:rFonts w:cs="Arial"/>
                <w:sz w:val="16"/>
                <w:szCs w:val="16"/>
              </w:rPr>
            </w:pPr>
            <w:r w:rsidRPr="00EE15D3">
              <w:rPr>
                <w:rFonts w:cs="Arial"/>
                <w:sz w:val="16"/>
                <w:szCs w:val="16"/>
              </w:rPr>
              <w:t>Die unbesetzten Planstellen sind überwi</w:t>
            </w:r>
            <w:r w:rsidRPr="00EE15D3">
              <w:rPr>
                <w:rFonts w:cs="Arial"/>
                <w:sz w:val="16"/>
                <w:szCs w:val="16"/>
              </w:rPr>
              <w:t>e</w:t>
            </w:r>
            <w:r w:rsidRPr="00EE15D3">
              <w:rPr>
                <w:rFonts w:cs="Arial"/>
                <w:sz w:val="16"/>
                <w:szCs w:val="16"/>
              </w:rPr>
              <w:t>gend dem sog. Mutterschutzpool zugeor</w:t>
            </w:r>
            <w:r w:rsidRPr="00EE15D3">
              <w:rPr>
                <w:rFonts w:cs="Arial"/>
                <w:sz w:val="16"/>
                <w:szCs w:val="16"/>
              </w:rPr>
              <w:t>d</w:t>
            </w:r>
            <w:r w:rsidRPr="00EE15D3">
              <w:rPr>
                <w:rFonts w:cs="Arial"/>
                <w:sz w:val="16"/>
                <w:szCs w:val="16"/>
              </w:rPr>
              <w:t xml:space="preserve">net und werden laufend bei Bedarf </w:t>
            </w:r>
          </w:p>
          <w:p w:rsidR="00E9757C" w:rsidRPr="00EE15D3" w:rsidRDefault="00E9757C" w:rsidP="00E9757C">
            <w:pPr>
              <w:tabs>
                <w:tab w:val="right" w:pos="604"/>
              </w:tabs>
              <w:ind w:left="-60" w:right="-60"/>
              <w:rPr>
                <w:rFonts w:cs="Arial"/>
                <w:sz w:val="16"/>
                <w:szCs w:val="16"/>
              </w:rPr>
            </w:pPr>
            <w:r w:rsidRPr="00EE15D3">
              <w:rPr>
                <w:rFonts w:cs="Arial"/>
                <w:sz w:val="16"/>
                <w:szCs w:val="16"/>
              </w:rPr>
              <w:t>(= Eintritt in den Mutterschutz bis zum Eintritt in die Elternzeit) besetzt.</w:t>
            </w:r>
          </w:p>
          <w:p w:rsidR="00E9757C" w:rsidRPr="00EE15D3" w:rsidRDefault="00E75174" w:rsidP="00E9757C">
            <w:pPr>
              <w:tabs>
                <w:tab w:val="right" w:pos="604"/>
              </w:tabs>
              <w:ind w:left="-60" w:right="-60"/>
              <w:rPr>
                <w:rFonts w:cs="Arial"/>
                <w:sz w:val="16"/>
                <w:szCs w:val="16"/>
              </w:rPr>
            </w:pPr>
            <w:r>
              <w:rPr>
                <w:rFonts w:cs="Arial"/>
                <w:sz w:val="16"/>
                <w:szCs w:val="16"/>
              </w:rPr>
              <w:t xml:space="preserve">Von den zum 31. Dezember </w:t>
            </w:r>
            <w:r w:rsidR="00E9757C" w:rsidRPr="00EE15D3">
              <w:rPr>
                <w:rFonts w:cs="Arial"/>
                <w:sz w:val="16"/>
                <w:szCs w:val="16"/>
              </w:rPr>
              <w:t>2016 unb</w:t>
            </w:r>
            <w:r w:rsidR="00E9757C" w:rsidRPr="00EE15D3">
              <w:rPr>
                <w:rFonts w:cs="Arial"/>
                <w:sz w:val="16"/>
                <w:szCs w:val="16"/>
              </w:rPr>
              <w:t>e</w:t>
            </w:r>
            <w:r w:rsidR="00E9757C" w:rsidRPr="00EE15D3">
              <w:rPr>
                <w:rFonts w:cs="Arial"/>
                <w:sz w:val="16"/>
                <w:szCs w:val="16"/>
              </w:rPr>
              <w:t xml:space="preserve">setzten freien Planstellen wurden </w:t>
            </w:r>
          </w:p>
          <w:p w:rsidR="00E9757C" w:rsidRPr="00EE15D3" w:rsidRDefault="00E9757C" w:rsidP="00E9757C">
            <w:pPr>
              <w:tabs>
                <w:tab w:val="right" w:pos="604"/>
              </w:tabs>
              <w:ind w:left="-60" w:right="-60"/>
              <w:rPr>
                <w:rFonts w:cs="Arial"/>
                <w:sz w:val="16"/>
                <w:szCs w:val="16"/>
              </w:rPr>
            </w:pPr>
            <w:r w:rsidRPr="00EE15D3">
              <w:rPr>
                <w:rFonts w:cs="Arial"/>
                <w:sz w:val="16"/>
                <w:szCs w:val="16"/>
              </w:rPr>
              <w:t xml:space="preserve">14,25 Stellen zum 1. Januar 2017, </w:t>
            </w:r>
          </w:p>
          <w:p w:rsidR="00E9757C" w:rsidRPr="00EE15D3" w:rsidRDefault="00E9757C" w:rsidP="00E9757C">
            <w:pPr>
              <w:tabs>
                <w:tab w:val="right" w:pos="604"/>
              </w:tabs>
              <w:ind w:left="-60" w:right="-60"/>
              <w:rPr>
                <w:rFonts w:cs="Arial"/>
                <w:sz w:val="16"/>
                <w:szCs w:val="16"/>
              </w:rPr>
            </w:pPr>
            <w:r w:rsidRPr="00EE15D3">
              <w:rPr>
                <w:rFonts w:cs="Arial"/>
                <w:sz w:val="16"/>
                <w:szCs w:val="16"/>
              </w:rPr>
              <w:t xml:space="preserve">  2,75 Planstellen Mitte Januar 2017,</w:t>
            </w:r>
          </w:p>
          <w:p w:rsidR="00E9757C" w:rsidRPr="00EE15D3" w:rsidRDefault="00E9757C" w:rsidP="00E9757C">
            <w:pPr>
              <w:tabs>
                <w:tab w:val="right" w:pos="604"/>
              </w:tabs>
              <w:ind w:left="-60" w:right="-60"/>
              <w:rPr>
                <w:rFonts w:cs="Arial"/>
                <w:sz w:val="16"/>
                <w:szCs w:val="16"/>
              </w:rPr>
            </w:pPr>
            <w:r w:rsidRPr="00EE15D3">
              <w:rPr>
                <w:rFonts w:cs="Arial"/>
                <w:sz w:val="16"/>
                <w:szCs w:val="16"/>
              </w:rPr>
              <w:t xml:space="preserve">  2,00 Planstellen im Februar 2017,</w:t>
            </w:r>
          </w:p>
          <w:p w:rsidR="00E9757C" w:rsidRPr="00EE15D3" w:rsidRDefault="00E9757C" w:rsidP="00E9757C">
            <w:pPr>
              <w:tabs>
                <w:tab w:val="right" w:pos="604"/>
              </w:tabs>
              <w:ind w:left="-60" w:right="-60"/>
              <w:rPr>
                <w:rFonts w:cs="Arial"/>
                <w:sz w:val="16"/>
                <w:szCs w:val="16"/>
              </w:rPr>
            </w:pPr>
            <w:r w:rsidRPr="00EE15D3">
              <w:rPr>
                <w:rFonts w:cs="Arial"/>
                <w:sz w:val="16"/>
                <w:szCs w:val="16"/>
              </w:rPr>
              <w:t>also insgesamt 19,00 Stellen</w:t>
            </w:r>
            <w:r w:rsidR="00E75174">
              <w:rPr>
                <w:rFonts w:cs="Arial"/>
                <w:sz w:val="16"/>
                <w:szCs w:val="16"/>
              </w:rPr>
              <w:t>,</w:t>
            </w:r>
            <w:r w:rsidRPr="00EE15D3">
              <w:rPr>
                <w:rFonts w:cs="Arial"/>
                <w:sz w:val="16"/>
                <w:szCs w:val="16"/>
              </w:rPr>
              <w:t xml:space="preserve"> bereits wieder besetzt.</w:t>
            </w:r>
          </w:p>
          <w:p w:rsidR="00E9757C" w:rsidRPr="00EE15D3" w:rsidRDefault="00E9757C" w:rsidP="00EE15D3">
            <w:pPr>
              <w:tabs>
                <w:tab w:val="right" w:pos="604"/>
              </w:tabs>
              <w:ind w:left="-60" w:right="-60"/>
              <w:rPr>
                <w:rFonts w:cs="Arial"/>
                <w:sz w:val="16"/>
                <w:szCs w:val="16"/>
              </w:rPr>
            </w:pPr>
            <w:r w:rsidRPr="00EE15D3">
              <w:rPr>
                <w:rFonts w:cs="Arial"/>
                <w:sz w:val="16"/>
                <w:szCs w:val="16"/>
              </w:rPr>
              <w:t xml:space="preserve">Die übrigen 4,20 Stellen werden ebenfalls in der nächsten Zeit für die Überbrückung von Mutterschutzzeiten benötigt. </w:t>
            </w: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Height w:hRule="exact" w:val="40"/>
        </w:trPr>
        <w:tc>
          <w:tcPr>
            <w:tcW w:w="638" w:type="dxa"/>
          </w:tcPr>
          <w:p w:rsidR="00E9757C" w:rsidRPr="00EE15D3" w:rsidRDefault="00E9757C" w:rsidP="00E9757C">
            <w:pPr>
              <w:jc w:val="center"/>
              <w:rPr>
                <w:rFonts w:cs="Arial"/>
                <w:sz w:val="16"/>
                <w:szCs w:val="16"/>
              </w:rPr>
            </w:pPr>
          </w:p>
        </w:tc>
        <w:tc>
          <w:tcPr>
            <w:tcW w:w="309" w:type="dxa"/>
            <w:gridSpan w:val="2"/>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center"/>
              <w:rPr>
                <w:rFonts w:cs="Arial"/>
                <w:sz w:val="16"/>
                <w:szCs w:val="16"/>
              </w:rPr>
            </w:pPr>
          </w:p>
        </w:tc>
        <w:tc>
          <w:tcPr>
            <w:tcW w:w="1276" w:type="dxa"/>
          </w:tcPr>
          <w:p w:rsidR="00E9757C" w:rsidRPr="00EE15D3" w:rsidRDefault="00E9757C" w:rsidP="00E9757C">
            <w:pPr>
              <w:ind w:left="-60" w:right="-60"/>
              <w:jc w:val="center"/>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r w:rsidR="00E9757C" w:rsidRPr="00EE15D3" w:rsidTr="00E9757C">
        <w:trPr>
          <w:cantSplit/>
        </w:trPr>
        <w:tc>
          <w:tcPr>
            <w:tcW w:w="3757" w:type="dxa"/>
            <w:gridSpan w:val="5"/>
          </w:tcPr>
          <w:p w:rsidR="00E9757C" w:rsidRPr="00EE15D3" w:rsidRDefault="00E9757C" w:rsidP="00E9757C">
            <w:pPr>
              <w:ind w:left="-60" w:right="-60"/>
              <w:jc w:val="center"/>
              <w:rPr>
                <w:rFonts w:cs="Arial"/>
                <w:sz w:val="16"/>
                <w:szCs w:val="16"/>
              </w:rPr>
            </w:pPr>
          </w:p>
          <w:p w:rsidR="00E9757C" w:rsidRPr="00EE15D3" w:rsidRDefault="00E9757C" w:rsidP="00E9757C">
            <w:pPr>
              <w:ind w:left="-60" w:right="-60"/>
              <w:rPr>
                <w:rFonts w:cs="Arial"/>
                <w:sz w:val="16"/>
                <w:szCs w:val="16"/>
              </w:rPr>
            </w:pPr>
            <w:r w:rsidRPr="00EE15D3">
              <w:rPr>
                <w:rFonts w:cs="Arial"/>
                <w:sz w:val="16"/>
                <w:szCs w:val="16"/>
              </w:rPr>
              <w:t>Gesamt</w:t>
            </w:r>
          </w:p>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tabs>
                <w:tab w:val="right" w:pos="604"/>
              </w:tabs>
              <w:ind w:left="-60" w:right="-60"/>
              <w:jc w:val="center"/>
              <w:rPr>
                <w:rFonts w:cs="Arial"/>
                <w:sz w:val="16"/>
                <w:szCs w:val="16"/>
              </w:rPr>
            </w:pPr>
          </w:p>
          <w:p w:rsidR="00E9757C" w:rsidRPr="00EE15D3" w:rsidRDefault="00E9757C" w:rsidP="00E9757C">
            <w:pPr>
              <w:tabs>
                <w:tab w:val="right" w:pos="604"/>
              </w:tabs>
              <w:ind w:left="-60" w:right="-60"/>
              <w:jc w:val="center"/>
              <w:rPr>
                <w:rFonts w:cs="Arial"/>
                <w:sz w:val="16"/>
                <w:szCs w:val="16"/>
              </w:rPr>
            </w:pPr>
            <w:r w:rsidRPr="00EE15D3">
              <w:rPr>
                <w:rFonts w:cs="Arial"/>
                <w:sz w:val="16"/>
                <w:szCs w:val="16"/>
              </w:rPr>
              <w:t>2.938,50</w:t>
            </w:r>
          </w:p>
        </w:tc>
        <w:tc>
          <w:tcPr>
            <w:tcW w:w="1276" w:type="dxa"/>
          </w:tcPr>
          <w:p w:rsidR="00E9757C" w:rsidRPr="00EE15D3" w:rsidRDefault="00E9757C" w:rsidP="00E9757C">
            <w:pPr>
              <w:tabs>
                <w:tab w:val="right" w:pos="604"/>
              </w:tabs>
              <w:ind w:left="-60" w:right="-60"/>
              <w:jc w:val="center"/>
              <w:rPr>
                <w:rFonts w:cs="Arial"/>
                <w:sz w:val="16"/>
                <w:szCs w:val="16"/>
              </w:rPr>
            </w:pPr>
          </w:p>
          <w:p w:rsidR="00E9757C" w:rsidRPr="00EE15D3" w:rsidRDefault="00E9757C" w:rsidP="00E9757C">
            <w:pPr>
              <w:tabs>
                <w:tab w:val="right" w:pos="604"/>
              </w:tabs>
              <w:ind w:left="-60" w:right="-60"/>
              <w:jc w:val="center"/>
              <w:rPr>
                <w:rFonts w:cs="Arial"/>
                <w:sz w:val="16"/>
                <w:szCs w:val="16"/>
              </w:rPr>
            </w:pPr>
            <w:r w:rsidRPr="00EE15D3">
              <w:rPr>
                <w:rFonts w:cs="Arial"/>
                <w:sz w:val="16"/>
                <w:szCs w:val="16"/>
              </w:rPr>
              <w:t>31,09</w:t>
            </w:r>
          </w:p>
        </w:tc>
        <w:tc>
          <w:tcPr>
            <w:tcW w:w="3119" w:type="dxa"/>
          </w:tcPr>
          <w:p w:rsidR="00E9757C" w:rsidRPr="00EE15D3" w:rsidRDefault="00E9757C" w:rsidP="00E9757C">
            <w:pPr>
              <w:tabs>
                <w:tab w:val="right" w:pos="604"/>
              </w:tabs>
              <w:ind w:left="-60" w:right="-60"/>
              <w:rPr>
                <w:rFonts w:cs="Arial"/>
                <w:sz w:val="16"/>
                <w:szCs w:val="16"/>
              </w:rPr>
            </w:pPr>
          </w:p>
        </w:tc>
      </w:tr>
      <w:tr w:rsidR="00E9757C" w:rsidRPr="00EE15D3" w:rsidTr="00E9757C">
        <w:trPr>
          <w:cantSplit/>
          <w:trHeight w:hRule="exact" w:val="40"/>
        </w:trPr>
        <w:tc>
          <w:tcPr>
            <w:tcW w:w="777" w:type="dxa"/>
            <w:gridSpan w:val="2"/>
          </w:tcPr>
          <w:p w:rsidR="00E9757C" w:rsidRPr="00EE15D3" w:rsidRDefault="00E9757C" w:rsidP="00E9757C">
            <w:pPr>
              <w:jc w:val="center"/>
              <w:rPr>
                <w:rFonts w:cs="Arial"/>
                <w:sz w:val="16"/>
                <w:szCs w:val="16"/>
              </w:rPr>
            </w:pPr>
          </w:p>
        </w:tc>
        <w:tc>
          <w:tcPr>
            <w:tcW w:w="170" w:type="dxa"/>
          </w:tcPr>
          <w:p w:rsidR="00E9757C" w:rsidRPr="00EE15D3" w:rsidRDefault="00E9757C" w:rsidP="00E9757C">
            <w:pPr>
              <w:rPr>
                <w:rFonts w:cs="Arial"/>
                <w:sz w:val="16"/>
                <w:szCs w:val="16"/>
              </w:rPr>
            </w:pPr>
          </w:p>
        </w:tc>
        <w:tc>
          <w:tcPr>
            <w:tcW w:w="2101" w:type="dxa"/>
          </w:tcPr>
          <w:p w:rsidR="00E9757C" w:rsidRPr="00EE15D3" w:rsidRDefault="00E9757C" w:rsidP="00E9757C">
            <w:pPr>
              <w:rPr>
                <w:rFonts w:cs="Arial"/>
                <w:sz w:val="16"/>
                <w:szCs w:val="16"/>
              </w:rPr>
            </w:pPr>
          </w:p>
        </w:tc>
        <w:tc>
          <w:tcPr>
            <w:tcW w:w="709" w:type="dxa"/>
          </w:tcPr>
          <w:p w:rsidR="00E9757C" w:rsidRPr="00EE15D3" w:rsidRDefault="00E9757C" w:rsidP="00E9757C">
            <w:pPr>
              <w:ind w:left="-60" w:right="-60"/>
              <w:jc w:val="center"/>
              <w:rPr>
                <w:rFonts w:cs="Arial"/>
                <w:sz w:val="16"/>
                <w:szCs w:val="16"/>
              </w:rPr>
            </w:pPr>
          </w:p>
        </w:tc>
        <w:tc>
          <w:tcPr>
            <w:tcW w:w="850" w:type="dxa"/>
          </w:tcPr>
          <w:p w:rsidR="00E9757C" w:rsidRPr="00EE15D3" w:rsidRDefault="00E9757C" w:rsidP="00E9757C">
            <w:pPr>
              <w:ind w:left="-60" w:right="-60"/>
              <w:jc w:val="right"/>
              <w:rPr>
                <w:rFonts w:cs="Arial"/>
                <w:sz w:val="16"/>
                <w:szCs w:val="16"/>
              </w:rPr>
            </w:pPr>
          </w:p>
        </w:tc>
        <w:tc>
          <w:tcPr>
            <w:tcW w:w="1276" w:type="dxa"/>
          </w:tcPr>
          <w:p w:rsidR="00E9757C" w:rsidRPr="00EE15D3" w:rsidRDefault="00E9757C" w:rsidP="00E9757C">
            <w:pPr>
              <w:ind w:left="-60" w:right="-60"/>
              <w:jc w:val="right"/>
              <w:rPr>
                <w:rFonts w:cs="Arial"/>
                <w:sz w:val="16"/>
                <w:szCs w:val="16"/>
              </w:rPr>
            </w:pPr>
          </w:p>
        </w:tc>
        <w:tc>
          <w:tcPr>
            <w:tcW w:w="3119" w:type="dxa"/>
          </w:tcPr>
          <w:p w:rsidR="00E9757C" w:rsidRPr="00EE15D3" w:rsidRDefault="00E9757C" w:rsidP="00E9757C">
            <w:pPr>
              <w:ind w:left="-60" w:right="-60"/>
              <w:jc w:val="right"/>
              <w:rPr>
                <w:rFonts w:cs="Arial"/>
                <w:sz w:val="16"/>
                <w:szCs w:val="16"/>
              </w:rPr>
            </w:pPr>
          </w:p>
        </w:tc>
      </w:tr>
    </w:tbl>
    <w:p w:rsidR="00DB3BD0" w:rsidRDefault="00DB3BD0" w:rsidP="00DB3BD0">
      <w:pPr>
        <w:pStyle w:val="LTAntwortRessortText"/>
        <w:rPr>
          <w:sz w:val="16"/>
          <w:szCs w:val="16"/>
        </w:rPr>
      </w:pPr>
      <w:r w:rsidRPr="00E878F7">
        <w:rPr>
          <w:sz w:val="16"/>
          <w:szCs w:val="16"/>
        </w:rPr>
        <w:t>*) Beförderungsstellen der BesGr. R 1 mit Amtszulage und höher werden in der Regel in der Zeit zwischen Freiwerden und Wiederbesetzung,</w:t>
      </w:r>
      <w:r w:rsidR="00E878F7" w:rsidRPr="00E878F7">
        <w:rPr>
          <w:sz w:val="16"/>
          <w:szCs w:val="16"/>
        </w:rPr>
        <w:t xml:space="preserve"> also während des Bewerbungsver</w:t>
      </w:r>
      <w:r w:rsidRPr="00E878F7">
        <w:rPr>
          <w:sz w:val="16"/>
          <w:szCs w:val="16"/>
        </w:rPr>
        <w:t>fahrens, mit Richtern und Staatsanwälten der BesGr. R 1 u</w:t>
      </w:r>
      <w:r w:rsidRPr="00E878F7">
        <w:rPr>
          <w:sz w:val="16"/>
          <w:szCs w:val="16"/>
        </w:rPr>
        <w:t>n</w:t>
      </w:r>
      <w:r w:rsidRPr="00E878F7">
        <w:rPr>
          <w:sz w:val="16"/>
          <w:szCs w:val="16"/>
        </w:rPr>
        <w:t>terbesetzt.</w:t>
      </w:r>
    </w:p>
    <w:p w:rsidR="00E75174" w:rsidRPr="00E878F7" w:rsidRDefault="00E75174" w:rsidP="00E75174">
      <w:pPr>
        <w:pStyle w:val="LTAntwortRessortText"/>
        <w:spacing w:before="0"/>
        <w:rPr>
          <w:sz w:val="16"/>
          <w:szCs w:val="16"/>
        </w:rPr>
      </w:pPr>
      <w:r>
        <w:rPr>
          <w:sz w:val="16"/>
          <w:szCs w:val="16"/>
        </w:rPr>
        <w:t>**) kw = künftig wegfallend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Andreas</w:t>
            </w:r>
            <w:r w:rsidRPr="00DB3BD0">
              <w:rPr>
                <w:b/>
              </w:rPr>
              <w:br/>
              <w:t>Lotte</w:t>
            </w:r>
            <w:r w:rsidRPr="00DB3BD0">
              <w:rPr>
                <w:b/>
              </w:rPr>
              <w:br/>
            </w:r>
            <w:r w:rsidRPr="00DB3BD0">
              <w:t>(SPD)</w:t>
            </w:r>
            <w:r>
              <w:fldChar w:fldCharType="begin"/>
            </w:r>
            <w:r>
              <w:instrText xml:space="preserve"> TC </w:instrText>
            </w:r>
            <w:r w:rsidR="00FD4D2F">
              <w:instrText>„</w:instrText>
            </w:r>
            <w:bookmarkStart w:id="30" w:name="_Toc475001284"/>
            <w:r>
              <w:instrText>Lotte, Andreas (SPD)</w:instrText>
            </w:r>
            <w:r>
              <w:br/>
              <w:instrText>Mieterrechte und Mietpreisbremse</w:instrText>
            </w:r>
            <w:bookmarkEnd w:id="30"/>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67586E">
            <w:pPr>
              <w:pStyle w:val="LTAnfrageText"/>
            </w:pPr>
            <w:r>
              <w:t>Nachdem der Staatsminister der Finanzen, für Landesentwicklung und He</w:t>
            </w:r>
            <w:r>
              <w:t>i</w:t>
            </w:r>
            <w:r>
              <w:t xml:space="preserve">mat, Dr. Markus Söder, in einem Interview mit der </w:t>
            </w:r>
            <w:r w:rsidR="00FD4D2F">
              <w:t>„</w:t>
            </w:r>
            <w:r>
              <w:t>Abendzeitung</w:t>
            </w:r>
            <w:r w:rsidR="00FD4D2F">
              <w:t>“</w:t>
            </w:r>
            <w:r>
              <w:t xml:space="preserve"> unter der Schlagzeile </w:t>
            </w:r>
            <w:r w:rsidR="00FD4D2F">
              <w:t>„</w:t>
            </w:r>
            <w:r>
              <w:t>Markus Söder: 'München ist nicht multikulturell'</w:t>
            </w:r>
            <w:r w:rsidR="00FA57CA">
              <w:t>“</w:t>
            </w:r>
            <w:r>
              <w:t xml:space="preserve"> (online am 11.</w:t>
            </w:r>
            <w:r w:rsidR="00FA57CA">
              <w:t> </w:t>
            </w:r>
            <w:r>
              <w:t>Februar 2017) bedauert hat, dass die Mietpreisbremse nicht funktioniere und insgesamt einen besseren Mieterschutz angemahnt hat, frage ich die Staatsregierung, welche konkreten Vorschläge macht sie, um Mieterechte zu stärken und insbesondere die Mietpreisbremse zu verbessern?</w:t>
            </w:r>
          </w:p>
        </w:tc>
      </w:tr>
    </w:tbl>
    <w:p w:rsidR="00DB3BD0" w:rsidRDefault="00DB3BD0" w:rsidP="00DB3BD0">
      <w:pPr>
        <w:pStyle w:val="LTUeberschrAntwortRessort"/>
      </w:pPr>
      <w:r>
        <w:lastRenderedPageBreak/>
        <w:t>Antwort des Staatsministeriums der Justiz</w:t>
      </w:r>
    </w:p>
    <w:p w:rsidR="00DB3BD0" w:rsidRDefault="00DB3BD0" w:rsidP="00DB3BD0">
      <w:pPr>
        <w:pStyle w:val="LTAntwortRessortText"/>
      </w:pPr>
      <w:r>
        <w:t>Die Regierungskoalition im Bund hat in ihrem Koalitionsvertrag eine Reihe von Maßnahmen zur Stärkung der Mieterrechte vereinbart, die noch umzusetzen sind. Die Staatsregierung sieht d</w:t>
      </w:r>
      <w:r>
        <w:t>a</w:t>
      </w:r>
      <w:r>
        <w:t>her die Bundesregierung in der Verantwortung, Vorschläge zu einer Änderung des Mietrechts vorzulegen und in ein Gesetzgebungsverfahren einzubringen. Das Gleiche gilt auch für Nac</w:t>
      </w:r>
      <w:r>
        <w:t>h</w:t>
      </w:r>
      <w:r>
        <w:t>besserungen bei der sogenannten Mietpreisbremse, die tatsächlich geeignet sein müssten, das Instrument sinnvoll weiterzuentwickeln. Die Staatsregierung wird im Gesetzgebungsverfahren konstruktiv mitarbeiten und darauf achten, dass die Interessen der Mieter und Vermieter ausg</w:t>
      </w:r>
      <w:r>
        <w:t>e</w:t>
      </w:r>
      <w:r>
        <w:t>wogen berücksichtigt werden. Durch eine übermäßige Belastung der Vermieter gefährdet man Investitionen in den Wohnungsbau und die Sanierung von Wohnraum.</w:t>
      </w:r>
    </w:p>
    <w:p w:rsidR="0067586E" w:rsidRDefault="0067586E"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Stefan</w:t>
            </w:r>
            <w:r w:rsidRPr="00DB3BD0">
              <w:rPr>
                <w:b/>
              </w:rPr>
              <w:br/>
              <w:t>Schuster</w:t>
            </w:r>
            <w:r w:rsidRPr="00DB3BD0">
              <w:rPr>
                <w:b/>
              </w:rPr>
              <w:br/>
            </w:r>
            <w:r w:rsidRPr="00DB3BD0">
              <w:t>(SPD)</w:t>
            </w:r>
            <w:r>
              <w:fldChar w:fldCharType="begin"/>
            </w:r>
            <w:r>
              <w:instrText xml:space="preserve"> TC </w:instrText>
            </w:r>
            <w:r w:rsidR="00FD4D2F">
              <w:instrText>„</w:instrText>
            </w:r>
            <w:bookmarkStart w:id="31" w:name="_Toc475001285"/>
            <w:r>
              <w:instrText>Schuster, Stefan (SPD)</w:instrText>
            </w:r>
            <w:r>
              <w:br/>
              <w:instrText>Vollzug des Beratungshilfegesetzes 2016 in Bayern</w:instrText>
            </w:r>
            <w:bookmarkEnd w:id="31"/>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Anträge auf Beratungshilfe nach dem Beratungshilfegesetz wurden</w:t>
            </w:r>
            <w:r w:rsidR="00FD4D2F">
              <w:t xml:space="preserve"> </w:t>
            </w:r>
            <w:r>
              <w:t>im Jahr 2016 in Bayern von Rechtssuchenden an den einzelnen 73 Amtsgerichten in Bayern gestellt und wie schlüsseln sich die erteilten Berechtigungsscheine auf die</w:t>
            </w:r>
            <w:r w:rsidR="00FD4D2F">
              <w:t xml:space="preserve"> </w:t>
            </w:r>
            <w:r>
              <w:t>73 Amtsgerichte in Bayern auf?</w:t>
            </w:r>
          </w:p>
          <w:p w:rsidR="00DB3BD0" w:rsidRDefault="00DB3BD0" w:rsidP="00DB3BD0">
            <w:pPr>
              <w:pStyle w:val="LTAnfrageText"/>
            </w:pPr>
          </w:p>
        </w:tc>
      </w:tr>
    </w:tbl>
    <w:p w:rsidR="00E640D1" w:rsidRDefault="00E640D1" w:rsidP="00DB3BD0">
      <w:pPr>
        <w:pStyle w:val="LTUeberschrAntwortRessort"/>
      </w:pPr>
    </w:p>
    <w:p w:rsidR="00DB3BD0" w:rsidRDefault="00DB3BD0" w:rsidP="00DB3BD0">
      <w:pPr>
        <w:pStyle w:val="LTUeberschrAntwortRessort"/>
      </w:pPr>
      <w:r>
        <w:t>Antwort des Staatsministeriums der Justiz</w:t>
      </w:r>
    </w:p>
    <w:p w:rsidR="00DB3BD0" w:rsidRDefault="00DB3BD0" w:rsidP="00DB3BD0">
      <w:pPr>
        <w:pStyle w:val="LTAntwortRessortText"/>
      </w:pPr>
      <w:r>
        <w:t>Aus den Justizgeschäftsstatistiken lässt sich nicht entnehmen, wie viele Anträge auf Beratung</w:t>
      </w:r>
      <w:r>
        <w:t>s</w:t>
      </w:r>
      <w:r>
        <w:t>hilfe eingehen. In der Geschäftsübersicht der Amtsgerichte werden jedoch die Erledigungen von Angelegenheiten nach dem Beratungshilfegesetz erfasst. Für das Jahr 2016 ergeben sich fo</w:t>
      </w:r>
      <w:r>
        <w:t>l</w:t>
      </w:r>
      <w:r>
        <w:t>gende Zahlen:</w:t>
      </w:r>
    </w:p>
    <w:p w:rsidR="0067586E" w:rsidRDefault="0067586E">
      <w:pPr>
        <w:rPr>
          <w:u w:val="single"/>
        </w:rPr>
      </w:pPr>
      <w:r>
        <w:rPr>
          <w:u w:val="single"/>
        </w:rPr>
        <w:br w:type="page"/>
      </w:r>
    </w:p>
    <w:p w:rsidR="00911EA6" w:rsidRPr="00911EA6" w:rsidRDefault="00911EA6" w:rsidP="00DB3BD0">
      <w:pPr>
        <w:pStyle w:val="LTAntwortRessortText"/>
        <w:rPr>
          <w:u w:val="single"/>
        </w:rPr>
      </w:pPr>
      <w:r w:rsidRPr="00911EA6">
        <w:rPr>
          <w:u w:val="single"/>
        </w:rPr>
        <w:lastRenderedPageBreak/>
        <w:t>Erledigungen von Angelegenheiten nach dem Beratungshilfegesetz</w:t>
      </w:r>
      <w:r w:rsidR="00E75174">
        <w:rPr>
          <w:u w:val="single"/>
        </w:rPr>
        <w:t>:</w:t>
      </w:r>
      <w:r w:rsidRPr="00911EA6">
        <w:rPr>
          <w:u w:val="single"/>
        </w:rPr>
        <w:t xml:space="preserve"> Amtsgerichte – 2016</w:t>
      </w:r>
    </w:p>
    <w:p w:rsidR="00911EA6" w:rsidRDefault="00911EA6" w:rsidP="00DB3BD0">
      <w:pPr>
        <w:pStyle w:val="LTAntwortRessortText"/>
      </w:pPr>
    </w:p>
    <w:tbl>
      <w:tblPr>
        <w:tblW w:w="8326" w:type="dxa"/>
        <w:tblInd w:w="496" w:type="dxa"/>
        <w:tblCellMar>
          <w:left w:w="70" w:type="dxa"/>
          <w:right w:w="70" w:type="dxa"/>
        </w:tblCellMar>
        <w:tblLook w:val="04A0" w:firstRow="1" w:lastRow="0" w:firstColumn="1" w:lastColumn="0" w:noHBand="0" w:noVBand="1"/>
      </w:tblPr>
      <w:tblGrid>
        <w:gridCol w:w="2839"/>
        <w:gridCol w:w="1642"/>
        <w:gridCol w:w="2023"/>
        <w:gridCol w:w="1822"/>
      </w:tblGrid>
      <w:tr w:rsidR="00911EA6" w:rsidRPr="00911EA6" w:rsidTr="0091528A">
        <w:trPr>
          <w:trHeight w:val="255"/>
        </w:trPr>
        <w:tc>
          <w:tcPr>
            <w:tcW w:w="2839" w:type="dxa"/>
            <w:tcBorders>
              <w:top w:val="single" w:sz="4" w:space="0" w:color="auto"/>
              <w:left w:val="single" w:sz="4" w:space="0" w:color="auto"/>
              <w:bottom w:val="nil"/>
              <w:right w:val="single" w:sz="4" w:space="0" w:color="auto"/>
            </w:tcBorders>
            <w:shd w:val="clear" w:color="auto" w:fill="auto"/>
            <w:noWrap/>
            <w:vAlign w:val="center"/>
            <w:hideMark/>
          </w:tcPr>
          <w:p w:rsidR="00911EA6" w:rsidRPr="00911EA6" w:rsidRDefault="00911EA6" w:rsidP="00911EA6">
            <w:pPr>
              <w:rPr>
                <w:rFonts w:cs="Arial"/>
                <w:b/>
                <w:color w:val="000000"/>
                <w:sz w:val="16"/>
                <w:szCs w:val="16"/>
              </w:rPr>
            </w:pPr>
            <w:r w:rsidRPr="00911EA6">
              <w:rPr>
                <w:rFonts w:cs="Arial"/>
                <w:b/>
                <w:color w:val="000000"/>
                <w:sz w:val="16"/>
                <w:szCs w:val="16"/>
              </w:rPr>
              <w:t> </w:t>
            </w:r>
          </w:p>
        </w:tc>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EA6" w:rsidRPr="00911EA6" w:rsidRDefault="00911EA6" w:rsidP="0091528A">
            <w:pPr>
              <w:rPr>
                <w:rFonts w:cs="Arial"/>
                <w:b/>
                <w:color w:val="000000"/>
                <w:sz w:val="16"/>
                <w:szCs w:val="16"/>
              </w:rPr>
            </w:pPr>
            <w:r w:rsidRPr="00911EA6">
              <w:rPr>
                <w:rFonts w:cs="Arial"/>
                <w:b/>
                <w:color w:val="000000"/>
                <w:sz w:val="16"/>
                <w:szCs w:val="16"/>
              </w:rPr>
              <w:t>Berechtigungs-schein erteilt auf unmittelbaren An</w:t>
            </w:r>
            <w:r w:rsidR="0091528A">
              <w:rPr>
                <w:rFonts w:cs="Arial"/>
                <w:b/>
                <w:color w:val="000000"/>
                <w:sz w:val="16"/>
                <w:szCs w:val="16"/>
              </w:rPr>
              <w:softHyphen/>
            </w:r>
            <w:r w:rsidRPr="00911EA6">
              <w:rPr>
                <w:rFonts w:cs="Arial"/>
                <w:b/>
                <w:color w:val="000000"/>
                <w:sz w:val="16"/>
                <w:szCs w:val="16"/>
              </w:rPr>
              <w:t>trag der</w:t>
            </w:r>
            <w:r w:rsidR="0091528A">
              <w:rPr>
                <w:rFonts w:cs="Arial"/>
                <w:b/>
                <w:color w:val="000000"/>
                <w:sz w:val="16"/>
                <w:szCs w:val="16"/>
              </w:rPr>
              <w:t xml:space="preserve"> bzw. </w:t>
            </w:r>
            <w:r w:rsidRPr="00911EA6">
              <w:rPr>
                <w:rFonts w:cs="Arial"/>
                <w:b/>
                <w:color w:val="000000"/>
                <w:sz w:val="16"/>
                <w:szCs w:val="16"/>
              </w:rPr>
              <w:t xml:space="preserve">des Rechtsuchenden </w:t>
            </w:r>
          </w:p>
        </w:tc>
        <w:tc>
          <w:tcPr>
            <w:tcW w:w="20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EA6" w:rsidRPr="00911EA6" w:rsidRDefault="00911EA6" w:rsidP="00911EA6">
            <w:pPr>
              <w:rPr>
                <w:rFonts w:cs="Arial"/>
                <w:b/>
                <w:color w:val="000000"/>
                <w:sz w:val="16"/>
                <w:szCs w:val="16"/>
              </w:rPr>
            </w:pPr>
            <w:r w:rsidRPr="00911EA6">
              <w:rPr>
                <w:rFonts w:cs="Arial"/>
                <w:b/>
                <w:color w:val="000000"/>
                <w:sz w:val="16"/>
                <w:szCs w:val="16"/>
              </w:rPr>
              <w:t>Beratungshilfe bewilligt und/oder Berecht</w:t>
            </w:r>
            <w:r w:rsidRPr="00911EA6">
              <w:rPr>
                <w:rFonts w:cs="Arial"/>
                <w:b/>
                <w:color w:val="000000"/>
                <w:sz w:val="16"/>
                <w:szCs w:val="16"/>
              </w:rPr>
              <w:t>i</w:t>
            </w:r>
            <w:r w:rsidRPr="00911EA6">
              <w:rPr>
                <w:rFonts w:cs="Arial"/>
                <w:b/>
                <w:color w:val="000000"/>
                <w:sz w:val="16"/>
                <w:szCs w:val="16"/>
              </w:rPr>
              <w:t>gungsschein erteilt auf einen mit anwaltlicher Hilfe gestellten Antrag</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EA6" w:rsidRPr="00911EA6" w:rsidRDefault="00911EA6" w:rsidP="0091528A">
            <w:pPr>
              <w:rPr>
                <w:rFonts w:cs="Arial"/>
                <w:b/>
                <w:color w:val="000000"/>
                <w:sz w:val="16"/>
                <w:szCs w:val="16"/>
              </w:rPr>
            </w:pPr>
            <w:r w:rsidRPr="00911EA6">
              <w:rPr>
                <w:rFonts w:cs="Arial"/>
                <w:b/>
                <w:color w:val="000000"/>
                <w:sz w:val="16"/>
                <w:szCs w:val="16"/>
              </w:rPr>
              <w:t>Antrag auf Ber</w:t>
            </w:r>
            <w:r w:rsidRPr="00911EA6">
              <w:rPr>
                <w:rFonts w:cs="Arial"/>
                <w:b/>
                <w:color w:val="000000"/>
                <w:sz w:val="16"/>
                <w:szCs w:val="16"/>
              </w:rPr>
              <w:t>a</w:t>
            </w:r>
            <w:r w:rsidRPr="00911EA6">
              <w:rPr>
                <w:rFonts w:cs="Arial"/>
                <w:b/>
                <w:color w:val="000000"/>
                <w:sz w:val="16"/>
                <w:szCs w:val="16"/>
              </w:rPr>
              <w:t>tungshilfe schriftlich zurückgewiesen</w:t>
            </w:r>
          </w:p>
        </w:tc>
      </w:tr>
      <w:tr w:rsidR="00911EA6" w:rsidRPr="00911EA6" w:rsidTr="0091528A">
        <w:trPr>
          <w:trHeight w:val="796"/>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b/>
                <w:color w:val="000000"/>
                <w:sz w:val="16"/>
                <w:szCs w:val="16"/>
              </w:rPr>
            </w:pPr>
            <w:r w:rsidRPr="00911EA6">
              <w:rPr>
                <w:rFonts w:cs="Arial"/>
                <w:b/>
                <w:color w:val="000000"/>
                <w:sz w:val="16"/>
                <w:szCs w:val="16"/>
              </w:rPr>
              <w:t>Amtsgericht</w:t>
            </w:r>
          </w:p>
        </w:tc>
        <w:tc>
          <w:tcPr>
            <w:tcW w:w="1642" w:type="dxa"/>
            <w:vMerge/>
            <w:tcBorders>
              <w:top w:val="single" w:sz="4" w:space="0" w:color="auto"/>
              <w:left w:val="single" w:sz="4" w:space="0" w:color="auto"/>
              <w:bottom w:val="single" w:sz="4" w:space="0" w:color="000000"/>
              <w:right w:val="single" w:sz="4" w:space="0" w:color="auto"/>
            </w:tcBorders>
            <w:vAlign w:val="center"/>
            <w:hideMark/>
          </w:tcPr>
          <w:p w:rsidR="00911EA6" w:rsidRPr="00911EA6" w:rsidRDefault="00911EA6" w:rsidP="00911EA6">
            <w:pPr>
              <w:rPr>
                <w:rFonts w:cs="Arial"/>
                <w:b/>
                <w:color w:val="000000"/>
                <w:sz w:val="16"/>
                <w:szCs w:val="16"/>
              </w:rPr>
            </w:pPr>
          </w:p>
        </w:tc>
        <w:tc>
          <w:tcPr>
            <w:tcW w:w="2023" w:type="dxa"/>
            <w:vMerge/>
            <w:tcBorders>
              <w:top w:val="single" w:sz="4" w:space="0" w:color="auto"/>
              <w:left w:val="single" w:sz="4" w:space="0" w:color="auto"/>
              <w:bottom w:val="single" w:sz="4" w:space="0" w:color="000000"/>
              <w:right w:val="single" w:sz="4" w:space="0" w:color="auto"/>
            </w:tcBorders>
            <w:vAlign w:val="center"/>
            <w:hideMark/>
          </w:tcPr>
          <w:p w:rsidR="00911EA6" w:rsidRPr="00911EA6" w:rsidRDefault="00911EA6" w:rsidP="00911EA6">
            <w:pPr>
              <w:rPr>
                <w:rFonts w:cs="Arial"/>
                <w:b/>
                <w:color w:val="000000"/>
                <w:sz w:val="16"/>
                <w:szCs w:val="16"/>
              </w:rPr>
            </w:pP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911EA6" w:rsidRPr="00911EA6" w:rsidRDefault="00911EA6" w:rsidP="00911EA6">
            <w:pPr>
              <w:rPr>
                <w:rFonts w:cs="Arial"/>
                <w:b/>
                <w:color w:val="000000"/>
                <w:sz w:val="16"/>
                <w:szCs w:val="16"/>
              </w:rPr>
            </w:pP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Aichach</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55</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w:t>
            </w:r>
          </w:p>
        </w:tc>
      </w:tr>
      <w:tr w:rsidR="00911EA6" w:rsidRPr="00911EA6" w:rsidTr="0091528A">
        <w:trPr>
          <w:trHeight w:val="38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Altötting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616</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16</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Amberg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768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95</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354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Ansbach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748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196</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10</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Aschaffenburg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950</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314</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Augsburg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3.359</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1.271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298</w:t>
            </w:r>
          </w:p>
        </w:tc>
      </w:tr>
      <w:tr w:rsidR="00911EA6" w:rsidRPr="00911EA6" w:rsidTr="0091528A">
        <w:trPr>
          <w:trHeight w:val="315"/>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Bad Kissingen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675</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188</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23</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Bad Neustadt a. d. Saale</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70</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Bamberg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912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369</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Bayreuth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1.074</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286</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52</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Cham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267</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62</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Coburg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512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127</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68</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Dachau</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231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27</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46</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Deggendorf</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213</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238</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168</w:t>
            </w:r>
          </w:p>
        </w:tc>
      </w:tr>
      <w:tr w:rsidR="00911EA6" w:rsidRPr="00911EA6" w:rsidTr="00E640D1">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Dillingen a. d. Donau</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327</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68</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0</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Ebersberg</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Eggenfelden</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530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402</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24</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Erding</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246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115</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0</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Erlangen</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829</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78</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58</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Forchheim</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97</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125</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Freising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756</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23</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Freyung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315</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70</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Fürstenfeldbruck</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550</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Fürth</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780</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39</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886</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Garmisch-Partenkirchen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251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Gemünden a. Main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Günzburg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402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275</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60</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Haßfurt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518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84</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Hersbruck</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557</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53</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Hof</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763</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430</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Ingolstadt</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778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118</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35</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Kaufbeuren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90</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135</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Kelheim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366</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166</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183</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Kempten (Allgäu)</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432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101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Kitzingen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415</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101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w:t>
            </w:r>
          </w:p>
        </w:tc>
      </w:tr>
      <w:tr w:rsidR="00911EA6" w:rsidRPr="00911EA6" w:rsidTr="0067586E">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Kronach</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210</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84</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93</w:t>
            </w:r>
          </w:p>
        </w:tc>
      </w:tr>
      <w:tr w:rsidR="00911EA6" w:rsidRPr="00911EA6" w:rsidTr="0067586E">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lastRenderedPageBreak/>
              <w:t>Kulmbach</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131</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74</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134</w:t>
            </w:r>
          </w:p>
        </w:tc>
      </w:tr>
      <w:tr w:rsidR="00911EA6" w:rsidRPr="00911EA6" w:rsidTr="0067586E">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Landau a. d. Isar</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169</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127</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31</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Landsberg a. Lech</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242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157</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150</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Landshut</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657</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607</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13</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Laufen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147</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123</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43</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Lichtenfels</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402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79</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104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Lindau (Bodensee)</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171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Memmingen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567</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159</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70</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Miesbach</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Mühldorf a. Inn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410</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547</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51</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München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859</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491</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Neuburg a. d. Donau</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401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215</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Neumarkt i. d. OPf.</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699</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60</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Neustadt a. d. Aisch</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638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125</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0</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Neu-Ulm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1.056</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161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20</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Nördlingen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191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356</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Nürnberg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3.734</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417</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3.686</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Obernburg a. Main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399</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56</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46</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Passau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567</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224</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97</w:t>
            </w:r>
          </w:p>
        </w:tc>
      </w:tr>
      <w:tr w:rsidR="00911EA6" w:rsidRPr="00911EA6" w:rsidTr="00E640D1">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Pfaffenhofen a. d. Ilm</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356</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0</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99</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Regensburg</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1.468</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387</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191</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Rosenheim </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447</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76</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317</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Schwabach </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696</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148</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23</w:t>
            </w:r>
          </w:p>
        </w:tc>
      </w:tr>
      <w:tr w:rsidR="00911EA6" w:rsidRPr="00911EA6" w:rsidTr="00E640D1">
        <w:trPr>
          <w:trHeight w:val="30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Schwandorf </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514</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325</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Schweinfurt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783</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94</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Sonthofen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241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29</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Starnberg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224</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79</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64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Straubing</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380</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433</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 xml:space="preserve">Tirschenreuth </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472</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Traunstein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501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101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157</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Viechtach</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208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280</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14</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Weiden i. d. OPf.</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834</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554</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98</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Weilheim i. OB</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456</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139</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Weißenburg i. Bay.</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308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262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172</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Wolfratshausen</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251</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92</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22</w:t>
            </w:r>
          </w:p>
        </w:tc>
      </w:tr>
      <w:tr w:rsidR="00911EA6" w:rsidRPr="00911EA6" w:rsidTr="0091528A">
        <w:trPr>
          <w:trHeight w:val="300"/>
        </w:trPr>
        <w:tc>
          <w:tcPr>
            <w:tcW w:w="2839" w:type="dxa"/>
            <w:tcBorders>
              <w:top w:val="nil"/>
              <w:left w:val="single" w:sz="4" w:space="0" w:color="auto"/>
              <w:bottom w:val="single" w:sz="4" w:space="0" w:color="auto"/>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Wunsiedel</w:t>
            </w:r>
          </w:p>
        </w:tc>
        <w:tc>
          <w:tcPr>
            <w:tcW w:w="164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448</w:t>
            </w:r>
          </w:p>
        </w:tc>
        <w:tc>
          <w:tcPr>
            <w:tcW w:w="2023"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138</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47</w:t>
            </w:r>
          </w:p>
        </w:tc>
      </w:tr>
      <w:tr w:rsidR="00911EA6" w:rsidRPr="00911EA6" w:rsidTr="0091528A">
        <w:trPr>
          <w:trHeight w:val="315"/>
        </w:trPr>
        <w:tc>
          <w:tcPr>
            <w:tcW w:w="2839" w:type="dxa"/>
            <w:tcBorders>
              <w:top w:val="nil"/>
              <w:left w:val="single" w:sz="4" w:space="0" w:color="auto"/>
              <w:bottom w:val="nil"/>
              <w:right w:val="single" w:sz="4" w:space="0" w:color="auto"/>
            </w:tcBorders>
            <w:shd w:val="clear" w:color="auto" w:fill="auto"/>
            <w:noWrap/>
            <w:vAlign w:val="center"/>
            <w:hideMark/>
          </w:tcPr>
          <w:p w:rsidR="00911EA6" w:rsidRPr="00911EA6" w:rsidRDefault="00911EA6" w:rsidP="00911EA6">
            <w:pPr>
              <w:rPr>
                <w:rFonts w:cs="Arial"/>
                <w:color w:val="000000"/>
                <w:sz w:val="16"/>
                <w:szCs w:val="16"/>
              </w:rPr>
            </w:pPr>
            <w:r w:rsidRPr="00911EA6">
              <w:rPr>
                <w:rFonts w:cs="Arial"/>
                <w:color w:val="000000"/>
                <w:sz w:val="16"/>
                <w:szCs w:val="16"/>
              </w:rPr>
              <w:t>Würzburg</w:t>
            </w:r>
          </w:p>
        </w:tc>
        <w:tc>
          <w:tcPr>
            <w:tcW w:w="1642" w:type="dxa"/>
            <w:tcBorders>
              <w:top w:val="nil"/>
              <w:left w:val="nil"/>
              <w:bottom w:val="nil"/>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735</w:t>
            </w:r>
          </w:p>
        </w:tc>
        <w:tc>
          <w:tcPr>
            <w:tcW w:w="2023" w:type="dxa"/>
            <w:tcBorders>
              <w:top w:val="nil"/>
              <w:left w:val="nil"/>
              <w:bottom w:val="nil"/>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91</w:t>
            </w:r>
          </w:p>
        </w:tc>
        <w:tc>
          <w:tcPr>
            <w:tcW w:w="1822" w:type="dxa"/>
            <w:tcBorders>
              <w:top w:val="nil"/>
              <w:left w:val="nil"/>
              <w:bottom w:val="single" w:sz="4" w:space="0" w:color="auto"/>
              <w:right w:val="single" w:sz="4" w:space="0" w:color="auto"/>
            </w:tcBorders>
            <w:shd w:val="clear" w:color="auto" w:fill="auto"/>
            <w:noWrap/>
            <w:vAlign w:val="center"/>
            <w:hideMark/>
          </w:tcPr>
          <w:p w:rsidR="00911EA6" w:rsidRPr="00911EA6" w:rsidRDefault="00911EA6" w:rsidP="0091528A">
            <w:pPr>
              <w:ind w:firstLineChars="100" w:firstLine="160"/>
              <w:jc w:val="center"/>
              <w:rPr>
                <w:rFonts w:cs="Arial"/>
                <w:color w:val="000000"/>
                <w:sz w:val="16"/>
                <w:szCs w:val="16"/>
              </w:rPr>
            </w:pPr>
            <w:r w:rsidRPr="00911EA6">
              <w:rPr>
                <w:rFonts w:cs="Arial"/>
                <w:color w:val="000000"/>
                <w:sz w:val="16"/>
                <w:szCs w:val="16"/>
              </w:rPr>
              <w:t>500</w:t>
            </w:r>
          </w:p>
        </w:tc>
      </w:tr>
      <w:tr w:rsidR="00911EA6" w:rsidRPr="00911EA6" w:rsidTr="0091528A">
        <w:trPr>
          <w:trHeight w:val="330"/>
        </w:trPr>
        <w:tc>
          <w:tcPr>
            <w:tcW w:w="2839" w:type="dxa"/>
            <w:tcBorders>
              <w:top w:val="single" w:sz="8" w:space="0" w:color="auto"/>
              <w:left w:val="single" w:sz="4" w:space="0" w:color="auto"/>
              <w:bottom w:val="double" w:sz="6" w:space="0" w:color="auto"/>
              <w:right w:val="single" w:sz="4" w:space="0" w:color="auto"/>
            </w:tcBorders>
            <w:shd w:val="clear" w:color="auto" w:fill="auto"/>
            <w:noWrap/>
            <w:vAlign w:val="center"/>
            <w:hideMark/>
          </w:tcPr>
          <w:p w:rsidR="00911EA6" w:rsidRPr="0091528A" w:rsidRDefault="00911EA6" w:rsidP="00911EA6">
            <w:pPr>
              <w:rPr>
                <w:rFonts w:cs="Arial"/>
                <w:b/>
                <w:bCs/>
                <w:sz w:val="16"/>
                <w:szCs w:val="16"/>
              </w:rPr>
            </w:pPr>
            <w:r w:rsidRPr="0091528A">
              <w:rPr>
                <w:rFonts w:cs="Arial"/>
                <w:b/>
                <w:bCs/>
                <w:sz w:val="16"/>
                <w:szCs w:val="16"/>
              </w:rPr>
              <w:t>Bayern insgesamt</w:t>
            </w:r>
          </w:p>
        </w:tc>
        <w:tc>
          <w:tcPr>
            <w:tcW w:w="1642" w:type="dxa"/>
            <w:tcBorders>
              <w:top w:val="single" w:sz="8" w:space="0" w:color="auto"/>
              <w:left w:val="nil"/>
              <w:bottom w:val="double" w:sz="6" w:space="0" w:color="auto"/>
              <w:right w:val="single" w:sz="4" w:space="0" w:color="auto"/>
            </w:tcBorders>
            <w:shd w:val="clear" w:color="auto" w:fill="auto"/>
            <w:noWrap/>
            <w:vAlign w:val="center"/>
            <w:hideMark/>
          </w:tcPr>
          <w:p w:rsidR="00911EA6" w:rsidRPr="0091528A" w:rsidRDefault="00911EA6" w:rsidP="0091528A">
            <w:pPr>
              <w:ind w:firstLineChars="100" w:firstLine="161"/>
              <w:jc w:val="center"/>
              <w:rPr>
                <w:rFonts w:cs="Arial"/>
                <w:b/>
                <w:bCs/>
                <w:sz w:val="16"/>
                <w:szCs w:val="16"/>
              </w:rPr>
            </w:pPr>
            <w:r w:rsidRPr="0091528A">
              <w:rPr>
                <w:rFonts w:cs="Arial"/>
                <w:b/>
                <w:bCs/>
                <w:sz w:val="16"/>
                <w:szCs w:val="16"/>
              </w:rPr>
              <w:t>41.214</w:t>
            </w:r>
          </w:p>
        </w:tc>
        <w:tc>
          <w:tcPr>
            <w:tcW w:w="2023" w:type="dxa"/>
            <w:tcBorders>
              <w:top w:val="single" w:sz="8" w:space="0" w:color="auto"/>
              <w:left w:val="nil"/>
              <w:bottom w:val="double" w:sz="6" w:space="0" w:color="auto"/>
              <w:right w:val="single" w:sz="4" w:space="0" w:color="auto"/>
            </w:tcBorders>
            <w:shd w:val="clear" w:color="auto" w:fill="auto"/>
            <w:noWrap/>
            <w:vAlign w:val="center"/>
            <w:hideMark/>
          </w:tcPr>
          <w:p w:rsidR="00911EA6" w:rsidRPr="0091528A" w:rsidRDefault="00911EA6" w:rsidP="0091528A">
            <w:pPr>
              <w:ind w:firstLineChars="100" w:firstLine="161"/>
              <w:jc w:val="center"/>
              <w:rPr>
                <w:rFonts w:cs="Arial"/>
                <w:b/>
                <w:bCs/>
                <w:sz w:val="16"/>
                <w:szCs w:val="16"/>
              </w:rPr>
            </w:pPr>
            <w:r w:rsidRPr="0091528A">
              <w:rPr>
                <w:rFonts w:cs="Arial"/>
                <w:b/>
                <w:bCs/>
                <w:sz w:val="16"/>
                <w:szCs w:val="16"/>
              </w:rPr>
              <w:t>13.100</w:t>
            </w:r>
          </w:p>
        </w:tc>
        <w:tc>
          <w:tcPr>
            <w:tcW w:w="1822" w:type="dxa"/>
            <w:tcBorders>
              <w:top w:val="single" w:sz="8" w:space="0" w:color="auto"/>
              <w:left w:val="nil"/>
              <w:bottom w:val="double" w:sz="6" w:space="0" w:color="auto"/>
              <w:right w:val="single" w:sz="4" w:space="0" w:color="auto"/>
            </w:tcBorders>
            <w:shd w:val="clear" w:color="auto" w:fill="auto"/>
            <w:noWrap/>
            <w:vAlign w:val="center"/>
            <w:hideMark/>
          </w:tcPr>
          <w:p w:rsidR="00911EA6" w:rsidRPr="0091528A" w:rsidRDefault="00911EA6" w:rsidP="0091528A">
            <w:pPr>
              <w:ind w:firstLineChars="100" w:firstLine="161"/>
              <w:jc w:val="center"/>
              <w:rPr>
                <w:rFonts w:cs="Arial"/>
                <w:b/>
                <w:bCs/>
                <w:sz w:val="16"/>
                <w:szCs w:val="16"/>
              </w:rPr>
            </w:pPr>
            <w:r w:rsidRPr="0091528A">
              <w:rPr>
                <w:rFonts w:cs="Arial"/>
                <w:b/>
                <w:bCs/>
                <w:sz w:val="16"/>
                <w:szCs w:val="16"/>
              </w:rPr>
              <w:t>10.383</w:t>
            </w:r>
          </w:p>
        </w:tc>
      </w:tr>
    </w:tbl>
    <w:p w:rsidR="00DB3BD0" w:rsidRDefault="00DB3BD0" w:rsidP="00DB3BD0">
      <w:pPr>
        <w:pStyle w:val="LTAntwortRessortText"/>
      </w:pPr>
    </w:p>
    <w:p w:rsidR="00E640D1" w:rsidRDefault="00E640D1">
      <w:pPr>
        <w:rPr>
          <w:rFonts w:cs="Arial"/>
          <w:b/>
          <w:sz w:val="22"/>
          <w:szCs w:val="22"/>
        </w:rPr>
      </w:pPr>
      <w:r>
        <w:br w:type="page"/>
      </w:r>
    </w:p>
    <w:p w:rsidR="00DB3BD0" w:rsidRDefault="00DB3BD0" w:rsidP="00DB3BD0">
      <w:pPr>
        <w:pStyle w:val="LTUeberschrRessort"/>
      </w:pPr>
      <w:r>
        <w:lastRenderedPageBreak/>
        <w:t>Geschäftsbereich des Staatsministeriums für Bildung und Kultus, Wissenschaft und Kunst</w:t>
      </w:r>
      <w:r>
        <w:fldChar w:fldCharType="begin"/>
      </w:r>
      <w:r>
        <w:instrText xml:space="preserve"> TC </w:instrText>
      </w:r>
      <w:r w:rsidR="00FD4D2F">
        <w:instrText>„</w:instrText>
      </w:r>
      <w:bookmarkStart w:id="32" w:name="_Toc475001286"/>
      <w:r>
        <w:instrText>Geschäftsbereich des Staatsministeriums für Bildung und Kultus, Wissenschaft und Kunst</w:instrText>
      </w:r>
      <w:bookmarkEnd w:id="32"/>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Günther</w:t>
            </w:r>
            <w:r w:rsidRPr="00DB3BD0">
              <w:rPr>
                <w:b/>
              </w:rPr>
              <w:br/>
              <w:t>Felbinger</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33" w:name="_Toc475001287"/>
            <w:r>
              <w:instrText>Felbinger, Günther (FREIE WÄHLER)</w:instrText>
            </w:r>
            <w:r>
              <w:br/>
              <w:instrText>Politische Bildung</w:instrText>
            </w:r>
            <w:bookmarkEnd w:id="33"/>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Schulen bzw. Klassen (aufgeschlü</w:t>
            </w:r>
            <w:r>
              <w:t>s</w:t>
            </w:r>
            <w:r>
              <w:t>selt nach Regierungsbezirken, Landkreisen und Jahren) haben in den letzten fünf Jahren die Möglichkeit der Beteiligung der vom Landtag angebotenen Planspiele (sowohl im Landtag als auch extern) wahrgenommen, wie viele Schulen bzw. Klassen nehmen jährlich das Besuchsprogramm des Landtags wahr (aufgeschlüsselt nach Regierungsbezirken, Landkreisen und Jahren) und gibt es über die Planspiele hinaus weitere institutionalisierte Möglichke</w:t>
            </w:r>
            <w:r>
              <w:t>i</w:t>
            </w:r>
            <w:r>
              <w:t>ten der praktischen Politikerfahrung an Bayerns Schulen, wie Simulationen oder Veranstaltungen mit Abgeordneten oder Mitgliedern der Staatsregi</w:t>
            </w:r>
            <w:r>
              <w:t>e</w:t>
            </w:r>
            <w:r>
              <w:t>rung, oder Bildungseinrichtungen für politische Bildung?</w:t>
            </w:r>
          </w:p>
          <w:p w:rsidR="00DB3BD0" w:rsidRDefault="00DB3BD0" w:rsidP="00DB3BD0">
            <w:pPr>
              <w:pStyle w:val="LTAnfrageText"/>
            </w:pPr>
          </w:p>
        </w:tc>
      </w:tr>
    </w:tbl>
    <w:p w:rsidR="00DB3BD0" w:rsidRDefault="00DB3BD0" w:rsidP="00DB3BD0">
      <w:pPr>
        <w:pStyle w:val="LTUeberschrAntwortRessort"/>
      </w:pPr>
      <w:r>
        <w:t>Antwort des Staatsministeriums für Bildung und Kultus, Wissenschaft und Kunst</w:t>
      </w:r>
    </w:p>
    <w:p w:rsidR="00DB3BD0" w:rsidRDefault="00DB3BD0" w:rsidP="00DB3BD0">
      <w:pPr>
        <w:pStyle w:val="LTAntwortRessortText"/>
      </w:pPr>
      <w:r>
        <w:t>Die Planspiele und das Besuchsprogramm des Landtags unterliegen nicht der Verantwortlichkeit der Staatsregierung; entsprechende Auskünfte können beim Landtagsamt erfragt werden.</w:t>
      </w:r>
    </w:p>
    <w:p w:rsidR="00DB3BD0" w:rsidRPr="00AD523D" w:rsidRDefault="00DB3BD0" w:rsidP="00DB3BD0">
      <w:pPr>
        <w:pStyle w:val="LTAntwortRessortText"/>
        <w:rPr>
          <w:u w:val="single"/>
        </w:rPr>
      </w:pPr>
      <w:r w:rsidRPr="00AD523D">
        <w:rPr>
          <w:u w:val="single"/>
        </w:rPr>
        <w:t>An weiteren institutionalisierten Möglichkeiten der praktischen Politikerfahrung ist Folgendes zu nennen:</w:t>
      </w:r>
    </w:p>
    <w:p w:rsidR="00DB3BD0" w:rsidRPr="00AD523D" w:rsidRDefault="00DB3BD0" w:rsidP="00DB3BD0">
      <w:pPr>
        <w:pStyle w:val="LTAntwortRessortText"/>
        <w:rPr>
          <w:b/>
        </w:rPr>
      </w:pPr>
      <w:r w:rsidRPr="00AD523D">
        <w:rPr>
          <w:b/>
        </w:rPr>
        <w:t>Regelmäßige Veranstaltungen mit Schülerinnen und Schülern:</w:t>
      </w:r>
    </w:p>
    <w:p w:rsidR="00DB3BD0" w:rsidRDefault="00DB3BD0" w:rsidP="00AD523D">
      <w:pPr>
        <w:pStyle w:val="LTAntwortRessortText"/>
        <w:numPr>
          <w:ilvl w:val="0"/>
          <w:numId w:val="27"/>
        </w:numPr>
        <w:spacing w:before="120"/>
        <w:ind w:left="1054" w:hanging="357"/>
      </w:pPr>
      <w:r>
        <w:t>Veranstaltungen der Bayerischen Landeszentrale für politische Bildungsarbeit zusa</w:t>
      </w:r>
      <w:r>
        <w:t>m</w:t>
      </w:r>
      <w:r>
        <w:t>men mit dem Landtag zum Thema Israel (2013</w:t>
      </w:r>
      <w:r w:rsidR="00200916">
        <w:t>:</w:t>
      </w:r>
      <w:r>
        <w:t xml:space="preserve"> 1. Studientag Israel/Zielgruppe vor a</w:t>
      </w:r>
      <w:r>
        <w:t>l</w:t>
      </w:r>
      <w:r>
        <w:t>lem Gym</w:t>
      </w:r>
      <w:r w:rsidR="00200916">
        <w:t xml:space="preserve">nasien – </w:t>
      </w:r>
      <w:r>
        <w:t>2015</w:t>
      </w:r>
      <w:r w:rsidR="00200916">
        <w:t>:</w:t>
      </w:r>
      <w:r>
        <w:t xml:space="preserve"> 2. Studientag Israel/Zielgruppe vor allem Berufsschulen)</w:t>
      </w:r>
      <w:r w:rsidR="00200916">
        <w:t>,</w:t>
      </w:r>
    </w:p>
    <w:p w:rsidR="00DB3BD0" w:rsidRDefault="00DB3BD0" w:rsidP="00AD523D">
      <w:pPr>
        <w:pStyle w:val="LTAntwortRessortText"/>
        <w:numPr>
          <w:ilvl w:val="0"/>
          <w:numId w:val="27"/>
        </w:numPr>
        <w:spacing w:before="120"/>
        <w:ind w:left="1054" w:hanging="357"/>
      </w:pPr>
      <w:r>
        <w:t>Veranstaltungen des Lan</w:t>
      </w:r>
      <w:r w:rsidR="00200916">
        <w:t>dtags mit externen Partnern (z.</w:t>
      </w:r>
      <w:r>
        <w:t>B. gemeinsam mit dem Staat</w:t>
      </w:r>
      <w:r>
        <w:t>s</w:t>
      </w:r>
      <w:r>
        <w:t xml:space="preserve">ministerium für Bildung und Kultus, Wissenschaft und Kunst), z.B. in den letzten Jahren jährliches Landesfinale </w:t>
      </w:r>
      <w:r w:rsidR="00FD4D2F">
        <w:t>„</w:t>
      </w:r>
      <w:r>
        <w:t>Jugend debattiert</w:t>
      </w:r>
      <w:r w:rsidR="00FD4D2F">
        <w:t>“</w:t>
      </w:r>
      <w:r>
        <w:t xml:space="preserve"> sowie jährliche Preisverleihung des Lande</w:t>
      </w:r>
      <w:r>
        <w:t>s</w:t>
      </w:r>
      <w:r>
        <w:t xml:space="preserve">wettbewerbs </w:t>
      </w:r>
      <w:r w:rsidR="00FD4D2F">
        <w:t>„</w:t>
      </w:r>
      <w:r>
        <w:t>Erinnerungszeichen</w:t>
      </w:r>
      <w:r w:rsidR="00FD4D2F">
        <w:t>“</w:t>
      </w:r>
      <w:r>
        <w:t xml:space="preserve"> sowie Landespreisverleihung </w:t>
      </w:r>
      <w:r w:rsidR="00FD4D2F">
        <w:t>„</w:t>
      </w:r>
      <w:r>
        <w:t>Starke Schule</w:t>
      </w:r>
      <w:r w:rsidR="00FD4D2F">
        <w:t>“</w:t>
      </w:r>
      <w:r>
        <w:t xml:space="preserve"> im zweijährigen Turnus</w:t>
      </w:r>
      <w:r w:rsidR="00200916">
        <w:t>.</w:t>
      </w:r>
    </w:p>
    <w:p w:rsidR="00DB3BD0" w:rsidRPr="00AD523D" w:rsidRDefault="00DB3BD0" w:rsidP="00DB3BD0">
      <w:pPr>
        <w:pStyle w:val="LTAntwortRessortText"/>
        <w:rPr>
          <w:b/>
        </w:rPr>
      </w:pPr>
      <w:r w:rsidRPr="00AD523D">
        <w:rPr>
          <w:b/>
        </w:rPr>
        <w:t xml:space="preserve">Programm </w:t>
      </w:r>
      <w:r w:rsidR="00FD4D2F" w:rsidRPr="00AD523D">
        <w:rPr>
          <w:b/>
        </w:rPr>
        <w:t>„</w:t>
      </w:r>
      <w:r w:rsidRPr="00AD523D">
        <w:rPr>
          <w:b/>
        </w:rPr>
        <w:t>Lernort Staatsregierung</w:t>
      </w:r>
      <w:r w:rsidR="00FD4D2F" w:rsidRPr="00AD523D">
        <w:rPr>
          <w:b/>
        </w:rPr>
        <w:t>“</w:t>
      </w:r>
      <w:r w:rsidR="00AD523D">
        <w:rPr>
          <w:b/>
        </w:rPr>
        <w:t>:</w:t>
      </w:r>
    </w:p>
    <w:p w:rsidR="00DB3BD0" w:rsidRDefault="00DB3BD0" w:rsidP="00200916">
      <w:pPr>
        <w:pStyle w:val="LTAntwortRessortText"/>
        <w:spacing w:before="120"/>
      </w:pPr>
      <w:r>
        <w:t xml:space="preserve">Die Landeszentrale für politische Bildungsarbeit bietet für Schulen das Programm </w:t>
      </w:r>
      <w:r w:rsidR="00FD4D2F">
        <w:t>„</w:t>
      </w:r>
      <w:r>
        <w:t>Lernort Staatsregierung</w:t>
      </w:r>
      <w:r w:rsidR="00FD4D2F">
        <w:t>“</w:t>
      </w:r>
      <w:r>
        <w:t xml:space="preserve"> an:</w:t>
      </w:r>
    </w:p>
    <w:p w:rsidR="00200916" w:rsidRDefault="00200916" w:rsidP="00DB3BD0">
      <w:pPr>
        <w:pStyle w:val="LTAntwortRessort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4397"/>
      </w:tblGrid>
      <w:tr w:rsidR="00200916" w:rsidRPr="00200916" w:rsidTr="00200916">
        <w:tc>
          <w:tcPr>
            <w:tcW w:w="1556" w:type="dxa"/>
            <w:shd w:val="clear" w:color="auto" w:fill="auto"/>
          </w:tcPr>
          <w:p w:rsidR="00200916" w:rsidRPr="00200916" w:rsidRDefault="00200916" w:rsidP="00200916">
            <w:pPr>
              <w:spacing w:line="360" w:lineRule="auto"/>
              <w:jc w:val="center"/>
              <w:rPr>
                <w:rFonts w:eastAsia="Calibri" w:cs="Arial"/>
                <w:b/>
                <w:sz w:val="18"/>
                <w:szCs w:val="18"/>
                <w:lang w:eastAsia="en-US"/>
              </w:rPr>
            </w:pPr>
          </w:p>
        </w:tc>
        <w:tc>
          <w:tcPr>
            <w:tcW w:w="4397" w:type="dxa"/>
            <w:shd w:val="clear" w:color="auto" w:fill="auto"/>
          </w:tcPr>
          <w:p w:rsidR="00200916" w:rsidRPr="00200916" w:rsidRDefault="00200916" w:rsidP="00200916">
            <w:pPr>
              <w:spacing w:line="360" w:lineRule="auto"/>
              <w:jc w:val="center"/>
              <w:rPr>
                <w:rFonts w:eastAsia="Calibri" w:cs="Arial"/>
                <w:b/>
                <w:sz w:val="18"/>
                <w:szCs w:val="18"/>
                <w:lang w:eastAsia="en-US"/>
              </w:rPr>
            </w:pPr>
            <w:r w:rsidRPr="00200916">
              <w:rPr>
                <w:rFonts w:eastAsia="Calibri" w:cs="Arial"/>
                <w:b/>
                <w:sz w:val="18"/>
                <w:szCs w:val="18"/>
                <w:lang w:eastAsia="en-US"/>
              </w:rPr>
              <w:t>Lernort Staatsregierung</w:t>
            </w:r>
          </w:p>
        </w:tc>
      </w:tr>
      <w:tr w:rsidR="00200916" w:rsidRPr="00200916" w:rsidTr="00200916">
        <w:tc>
          <w:tcPr>
            <w:tcW w:w="1556" w:type="dxa"/>
            <w:shd w:val="clear" w:color="auto" w:fill="auto"/>
            <w:vAlign w:val="center"/>
          </w:tcPr>
          <w:p w:rsidR="00200916" w:rsidRPr="00200916" w:rsidRDefault="00200916" w:rsidP="00200916">
            <w:pPr>
              <w:spacing w:line="360" w:lineRule="auto"/>
              <w:rPr>
                <w:rFonts w:eastAsia="Calibri" w:cs="Arial"/>
                <w:b/>
                <w:sz w:val="18"/>
                <w:szCs w:val="18"/>
                <w:lang w:eastAsia="en-US"/>
              </w:rPr>
            </w:pPr>
            <w:r w:rsidRPr="00200916">
              <w:rPr>
                <w:rFonts w:eastAsia="Calibri" w:cs="Arial"/>
                <w:b/>
                <w:sz w:val="18"/>
                <w:szCs w:val="18"/>
                <w:lang w:eastAsia="en-US"/>
              </w:rPr>
              <w:t>2012/2013</w:t>
            </w:r>
          </w:p>
        </w:tc>
        <w:tc>
          <w:tcPr>
            <w:tcW w:w="4397" w:type="dxa"/>
            <w:shd w:val="clear" w:color="auto" w:fill="auto"/>
            <w:vAlign w:val="center"/>
          </w:tcPr>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4</w:t>
            </w:r>
            <w:r>
              <w:rPr>
                <w:rFonts w:eastAsia="Calibri" w:cs="Arial"/>
                <w:sz w:val="18"/>
                <w:szCs w:val="18"/>
                <w:lang w:eastAsia="en-US"/>
              </w:rPr>
              <w:t>.</w:t>
            </w:r>
            <w:r w:rsidRPr="00200916">
              <w:rPr>
                <w:rFonts w:eastAsia="Calibri" w:cs="Arial"/>
                <w:sz w:val="18"/>
                <w:szCs w:val="18"/>
                <w:lang w:eastAsia="en-US"/>
              </w:rPr>
              <w:t>612 teilnehmende Schülerinnen und Schüler/</w:t>
            </w:r>
          </w:p>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189 Veranstaltungen</w:t>
            </w:r>
          </w:p>
        </w:tc>
      </w:tr>
      <w:tr w:rsidR="00200916" w:rsidRPr="00200916" w:rsidTr="00200916">
        <w:tc>
          <w:tcPr>
            <w:tcW w:w="1556" w:type="dxa"/>
            <w:shd w:val="clear" w:color="auto" w:fill="auto"/>
            <w:vAlign w:val="center"/>
          </w:tcPr>
          <w:p w:rsidR="00200916" w:rsidRPr="00200916" w:rsidRDefault="00200916" w:rsidP="00200916">
            <w:pPr>
              <w:spacing w:line="360" w:lineRule="auto"/>
              <w:rPr>
                <w:rFonts w:eastAsia="Calibri" w:cs="Arial"/>
                <w:b/>
                <w:sz w:val="18"/>
                <w:szCs w:val="18"/>
                <w:lang w:eastAsia="en-US"/>
              </w:rPr>
            </w:pPr>
            <w:r w:rsidRPr="00200916">
              <w:rPr>
                <w:rFonts w:eastAsia="Calibri" w:cs="Arial"/>
                <w:b/>
                <w:sz w:val="18"/>
                <w:szCs w:val="18"/>
                <w:lang w:eastAsia="en-US"/>
              </w:rPr>
              <w:t>2013/2014</w:t>
            </w:r>
          </w:p>
        </w:tc>
        <w:tc>
          <w:tcPr>
            <w:tcW w:w="4397" w:type="dxa"/>
            <w:shd w:val="clear" w:color="auto" w:fill="auto"/>
            <w:vAlign w:val="center"/>
          </w:tcPr>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5</w:t>
            </w:r>
            <w:r>
              <w:rPr>
                <w:rFonts w:eastAsia="Calibri" w:cs="Arial"/>
                <w:sz w:val="18"/>
                <w:szCs w:val="18"/>
                <w:lang w:eastAsia="en-US"/>
              </w:rPr>
              <w:t>.</w:t>
            </w:r>
            <w:r w:rsidRPr="00200916">
              <w:rPr>
                <w:rFonts w:eastAsia="Calibri" w:cs="Arial"/>
                <w:sz w:val="18"/>
                <w:szCs w:val="18"/>
                <w:lang w:eastAsia="en-US"/>
              </w:rPr>
              <w:t>050 teilnehmende Schülerinnen und Schüler/</w:t>
            </w:r>
          </w:p>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202 Veranstaltungen</w:t>
            </w:r>
          </w:p>
        </w:tc>
      </w:tr>
      <w:tr w:rsidR="00200916" w:rsidRPr="00200916" w:rsidTr="00200916">
        <w:tc>
          <w:tcPr>
            <w:tcW w:w="1556" w:type="dxa"/>
            <w:shd w:val="clear" w:color="auto" w:fill="auto"/>
            <w:vAlign w:val="center"/>
          </w:tcPr>
          <w:p w:rsidR="00200916" w:rsidRPr="00200916" w:rsidRDefault="00200916" w:rsidP="00200916">
            <w:pPr>
              <w:spacing w:line="360" w:lineRule="auto"/>
              <w:rPr>
                <w:rFonts w:eastAsia="Calibri" w:cs="Arial"/>
                <w:b/>
                <w:sz w:val="18"/>
                <w:szCs w:val="18"/>
                <w:lang w:eastAsia="en-US"/>
              </w:rPr>
            </w:pPr>
            <w:r w:rsidRPr="00200916">
              <w:rPr>
                <w:rFonts w:eastAsia="Calibri" w:cs="Arial"/>
                <w:b/>
                <w:sz w:val="18"/>
                <w:szCs w:val="18"/>
                <w:lang w:eastAsia="en-US"/>
              </w:rPr>
              <w:t>2014/2015</w:t>
            </w:r>
          </w:p>
        </w:tc>
        <w:tc>
          <w:tcPr>
            <w:tcW w:w="4397" w:type="dxa"/>
            <w:shd w:val="clear" w:color="auto" w:fill="auto"/>
            <w:vAlign w:val="center"/>
          </w:tcPr>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4</w:t>
            </w:r>
            <w:r w:rsidR="001447AC">
              <w:rPr>
                <w:rFonts w:eastAsia="Calibri" w:cs="Arial"/>
                <w:sz w:val="18"/>
                <w:szCs w:val="18"/>
                <w:lang w:eastAsia="en-US"/>
              </w:rPr>
              <w:t>.</w:t>
            </w:r>
            <w:r w:rsidRPr="00200916">
              <w:rPr>
                <w:rFonts w:eastAsia="Calibri" w:cs="Arial"/>
                <w:sz w:val="18"/>
                <w:szCs w:val="18"/>
                <w:lang w:eastAsia="en-US"/>
              </w:rPr>
              <w:t>903 teilnehmende Schülerinnen und Schüler/</w:t>
            </w:r>
          </w:p>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203 Veranstaltungen</w:t>
            </w:r>
          </w:p>
        </w:tc>
      </w:tr>
      <w:tr w:rsidR="00200916" w:rsidRPr="00200916" w:rsidTr="00200916">
        <w:tc>
          <w:tcPr>
            <w:tcW w:w="1556" w:type="dxa"/>
            <w:shd w:val="clear" w:color="auto" w:fill="auto"/>
            <w:vAlign w:val="center"/>
          </w:tcPr>
          <w:p w:rsidR="00200916" w:rsidRPr="00200916" w:rsidRDefault="00200916" w:rsidP="00200916">
            <w:pPr>
              <w:spacing w:line="360" w:lineRule="auto"/>
              <w:rPr>
                <w:rFonts w:eastAsia="Calibri" w:cs="Arial"/>
                <w:b/>
                <w:sz w:val="18"/>
                <w:szCs w:val="18"/>
                <w:lang w:eastAsia="en-US"/>
              </w:rPr>
            </w:pPr>
            <w:r w:rsidRPr="00200916">
              <w:rPr>
                <w:rFonts w:eastAsia="Calibri" w:cs="Arial"/>
                <w:b/>
                <w:sz w:val="18"/>
                <w:szCs w:val="18"/>
                <w:lang w:eastAsia="en-US"/>
              </w:rPr>
              <w:t>2015/2016</w:t>
            </w:r>
          </w:p>
        </w:tc>
        <w:tc>
          <w:tcPr>
            <w:tcW w:w="4397" w:type="dxa"/>
            <w:shd w:val="clear" w:color="auto" w:fill="auto"/>
            <w:vAlign w:val="center"/>
          </w:tcPr>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5</w:t>
            </w:r>
            <w:r>
              <w:rPr>
                <w:rFonts w:eastAsia="Calibri" w:cs="Arial"/>
                <w:sz w:val="18"/>
                <w:szCs w:val="18"/>
                <w:lang w:eastAsia="en-US"/>
              </w:rPr>
              <w:t>.</w:t>
            </w:r>
            <w:r w:rsidRPr="00200916">
              <w:rPr>
                <w:rFonts w:eastAsia="Calibri" w:cs="Arial"/>
                <w:sz w:val="18"/>
                <w:szCs w:val="18"/>
                <w:lang w:eastAsia="en-US"/>
              </w:rPr>
              <w:t>023 teilnehmende Schülerinnen und Schüler/</w:t>
            </w:r>
          </w:p>
          <w:p w:rsidR="00200916" w:rsidRPr="00200916" w:rsidRDefault="00200916" w:rsidP="00200916">
            <w:pPr>
              <w:spacing w:line="276" w:lineRule="auto"/>
              <w:rPr>
                <w:rFonts w:eastAsia="Calibri" w:cs="Arial"/>
                <w:sz w:val="18"/>
                <w:szCs w:val="18"/>
                <w:lang w:eastAsia="en-US"/>
              </w:rPr>
            </w:pPr>
            <w:r w:rsidRPr="00200916">
              <w:rPr>
                <w:rFonts w:eastAsia="Calibri" w:cs="Arial"/>
                <w:sz w:val="18"/>
                <w:szCs w:val="18"/>
                <w:lang w:eastAsia="en-US"/>
              </w:rPr>
              <w:t>205 Veranstaltungen</w:t>
            </w:r>
          </w:p>
        </w:tc>
      </w:tr>
    </w:tbl>
    <w:p w:rsidR="00DB3BD0" w:rsidRDefault="00DB3BD0" w:rsidP="00DB3BD0">
      <w:pPr>
        <w:pStyle w:val="LTAntwortRessortText"/>
      </w:pPr>
      <w:r>
        <w:lastRenderedPageBreak/>
        <w:t xml:space="preserve">Darüber hinaus hält die Landeszentrale weitere hier einschlägige Angebote für Schulen bereit, z.B.: </w:t>
      </w:r>
    </w:p>
    <w:p w:rsidR="00DB3BD0" w:rsidRDefault="00DB3BD0" w:rsidP="00200916">
      <w:pPr>
        <w:pStyle w:val="LTAntwortRessortText"/>
        <w:numPr>
          <w:ilvl w:val="0"/>
          <w:numId w:val="27"/>
        </w:numPr>
        <w:spacing w:before="120"/>
        <w:ind w:left="1054" w:hanging="357"/>
      </w:pPr>
      <w:r>
        <w:t xml:space="preserve">Projekt </w:t>
      </w:r>
      <w:r w:rsidR="00FD4D2F">
        <w:t>„</w:t>
      </w:r>
      <w:r w:rsidR="007B295E">
        <w:t>Hing‘</w:t>
      </w:r>
      <w:r>
        <w:t>schaut! Abgeordnete unter der Lupe</w:t>
      </w:r>
      <w:r w:rsidR="00FD4D2F">
        <w:t>“</w:t>
      </w:r>
      <w:r>
        <w:t xml:space="preserve"> (Mittelschulen, institutionalisiertes Projekt seit 2016)</w:t>
      </w:r>
      <w:r w:rsidR="00200916">
        <w:t>,</w:t>
      </w:r>
    </w:p>
    <w:p w:rsidR="00DB3BD0" w:rsidRDefault="00DB3BD0" w:rsidP="00200916">
      <w:pPr>
        <w:pStyle w:val="LTAntwortRessortText"/>
        <w:numPr>
          <w:ilvl w:val="0"/>
          <w:numId w:val="27"/>
        </w:numPr>
        <w:spacing w:before="120"/>
        <w:ind w:left="1054" w:hanging="357"/>
      </w:pPr>
      <w:r>
        <w:t>Landtag Live (Kooperation mit dem Kolpingwerk, Einzelveranstaltung)</w:t>
      </w:r>
      <w:r w:rsidR="00200916">
        <w:t>,</w:t>
      </w:r>
    </w:p>
    <w:p w:rsidR="00DB3BD0" w:rsidRDefault="00DB3BD0" w:rsidP="00200916">
      <w:pPr>
        <w:pStyle w:val="LTAntwortRessortText"/>
        <w:numPr>
          <w:ilvl w:val="0"/>
          <w:numId w:val="27"/>
        </w:numPr>
        <w:spacing w:before="120"/>
        <w:ind w:left="1054" w:hanging="357"/>
      </w:pPr>
      <w:r>
        <w:t xml:space="preserve">Podiumsdiskussionen </w:t>
      </w:r>
      <w:r w:rsidR="007B295E">
        <w:t>mit Schülern und Politikern (z.</w:t>
      </w:r>
      <w:r>
        <w:t xml:space="preserve">B. </w:t>
      </w:r>
      <w:r w:rsidR="00FD4D2F">
        <w:t>„</w:t>
      </w:r>
      <w:r>
        <w:t>Ehrenamt</w:t>
      </w:r>
      <w:r w:rsidR="00FD4D2F">
        <w:t>“</w:t>
      </w:r>
      <w:r>
        <w:t xml:space="preserve"> in Traunstein, </w:t>
      </w:r>
      <w:r w:rsidR="00FD4D2F">
        <w:t>„</w:t>
      </w:r>
      <w:r>
        <w:t>Flüchtlinge in Europa</w:t>
      </w:r>
      <w:r w:rsidR="00FD4D2F">
        <w:t>“</w:t>
      </w:r>
      <w:r>
        <w:t xml:space="preserve"> in Marktoberndorf)</w:t>
      </w:r>
      <w:r w:rsidR="00200916">
        <w:t>.</w:t>
      </w:r>
    </w:p>
    <w:p w:rsidR="00DB3BD0" w:rsidRPr="00200916" w:rsidRDefault="00DB3BD0" w:rsidP="00DB3BD0">
      <w:pPr>
        <w:pStyle w:val="LTAntwortRessortText"/>
        <w:rPr>
          <w:b/>
        </w:rPr>
      </w:pPr>
      <w:r w:rsidRPr="00200916">
        <w:rPr>
          <w:b/>
        </w:rPr>
        <w:t>Weitere schulische Möglichkeiten der praktischen Politikerfahrung</w:t>
      </w:r>
      <w:r w:rsidR="00200916">
        <w:rPr>
          <w:b/>
        </w:rPr>
        <w:t>:</w:t>
      </w:r>
    </w:p>
    <w:p w:rsidR="00DB3BD0" w:rsidRDefault="00DB3BD0" w:rsidP="00DB3BD0">
      <w:pPr>
        <w:pStyle w:val="LTAntwortRessortText"/>
      </w:pPr>
      <w:r>
        <w:t>Die politische Bildung zählt zu den zentralen Aufgaben aller Schulen in Bayern und ist Grun</w:t>
      </w:r>
      <w:r>
        <w:t>d</w:t>
      </w:r>
      <w:r>
        <w:t>prinzip in allen Bereichen pädagogischer Arbeit. Den Schulen stehen dabei vielfältige Anknü</w:t>
      </w:r>
      <w:r>
        <w:t>p</w:t>
      </w:r>
      <w:r>
        <w:t xml:space="preserve">fungsmöglichkeiten, Unterstützungsangebote und Methoden zur Verfügung, um Politik für ihre Schülerinnen und Schüler u. a. auch </w:t>
      </w:r>
      <w:r w:rsidR="007B295E">
        <w:t>konkret erfahrbar zu machen, z.</w:t>
      </w:r>
      <w:r>
        <w:t>B.:</w:t>
      </w:r>
    </w:p>
    <w:p w:rsidR="00DB3BD0" w:rsidRDefault="00DB3BD0" w:rsidP="00200916">
      <w:pPr>
        <w:pStyle w:val="LTAntwortRessortText"/>
        <w:numPr>
          <w:ilvl w:val="0"/>
          <w:numId w:val="27"/>
        </w:numPr>
        <w:spacing w:before="120"/>
        <w:ind w:left="1054" w:hanging="357"/>
      </w:pPr>
      <w:r>
        <w:t>Durchführung von Planspielen</w:t>
      </w:r>
      <w:r w:rsidR="007B295E">
        <w:t>,</w:t>
      </w:r>
      <w:r>
        <w:t xml:space="preserve"> </w:t>
      </w:r>
    </w:p>
    <w:p w:rsidR="00DB3BD0" w:rsidRDefault="00DB3BD0" w:rsidP="00200916">
      <w:pPr>
        <w:pStyle w:val="LTAntwortRessortText"/>
        <w:numPr>
          <w:ilvl w:val="0"/>
          <w:numId w:val="27"/>
        </w:numPr>
        <w:spacing w:before="120"/>
        <w:ind w:left="1054" w:hanging="357"/>
      </w:pPr>
      <w:r>
        <w:t>Einladung von Abgeordneten insbes</w:t>
      </w:r>
      <w:r w:rsidR="007B295E">
        <w:t>ondere</w:t>
      </w:r>
      <w:r>
        <w:t xml:space="preserve"> des Europäischen Parlaments, des Deu</w:t>
      </w:r>
      <w:r>
        <w:t>t</w:t>
      </w:r>
      <w:r>
        <w:t xml:space="preserve">schen Bundestags und des </w:t>
      </w:r>
      <w:r w:rsidR="001447AC">
        <w:t xml:space="preserve">Bayerischen </w:t>
      </w:r>
      <w:r>
        <w:t>Landtags</w:t>
      </w:r>
      <w:r w:rsidR="001447AC">
        <w:t>,</w:t>
      </w:r>
      <w:r>
        <w:t xml:space="preserve"> beispielsweise anlässlich des EU-Projekttags (heuer: 22.</w:t>
      </w:r>
      <w:r w:rsidR="007B295E">
        <w:t> </w:t>
      </w:r>
      <w:r>
        <w:t>Mai 2017)</w:t>
      </w:r>
      <w:r w:rsidR="007B295E">
        <w:t>,</w:t>
      </w:r>
    </w:p>
    <w:p w:rsidR="00DB3BD0" w:rsidRDefault="00DB3BD0" w:rsidP="00200916">
      <w:pPr>
        <w:pStyle w:val="LTAntwortRessortText"/>
        <w:numPr>
          <w:ilvl w:val="0"/>
          <w:numId w:val="27"/>
        </w:numPr>
        <w:spacing w:before="120"/>
        <w:ind w:left="1054" w:hanging="357"/>
      </w:pPr>
      <w:r>
        <w:t>Exkursionen</w:t>
      </w:r>
      <w:r w:rsidR="001447AC">
        <w:t>,</w:t>
      </w:r>
      <w:r>
        <w:t xml:space="preserve"> wie beispielsweise zu kommunalen Einrichtungen (Rathaus, Landratsamt etc.)</w:t>
      </w:r>
      <w:r w:rsidR="007B295E">
        <w:t>,</w:t>
      </w:r>
      <w:r>
        <w:t xml:space="preserve"> </w:t>
      </w:r>
    </w:p>
    <w:p w:rsidR="00DB3BD0" w:rsidRDefault="007B295E" w:rsidP="00200916">
      <w:pPr>
        <w:pStyle w:val="LTAntwortRessortText"/>
        <w:numPr>
          <w:ilvl w:val="0"/>
          <w:numId w:val="27"/>
        </w:numPr>
        <w:spacing w:before="120"/>
        <w:ind w:left="1054" w:hanging="357"/>
      </w:pPr>
      <w:r>
        <w:t>Schülerfahrten</w:t>
      </w:r>
      <w:r w:rsidR="001447AC">
        <w:t>,</w:t>
      </w:r>
      <w:r>
        <w:t xml:space="preserve"> z</w:t>
      </w:r>
      <w:r w:rsidR="001447AC">
        <w:t>.</w:t>
      </w:r>
      <w:r w:rsidR="00DB3BD0">
        <w:t>B. nach München, Berlin oder Straßburg.</w:t>
      </w:r>
    </w:p>
    <w:p w:rsidR="00DB3BD0" w:rsidRDefault="00DB3BD0" w:rsidP="00DB3BD0">
      <w:pPr>
        <w:pStyle w:val="LTAntwortRessortText"/>
      </w:pPr>
      <w:r>
        <w:t>Die Schulen realisieren den Bildungsauftrag in eigener Verantwortung (eigenverantwortliche Schule; vgl. Art. 2 Abs. 4 des Bayerischen Gesetzes über das Erziehungs- und Unterrichtsw</w:t>
      </w:r>
      <w:r>
        <w:t>e</w:t>
      </w:r>
      <w:r>
        <w:t xml:space="preserve">sen </w:t>
      </w:r>
      <w:r w:rsidR="007B295E">
        <w:t xml:space="preserve">– </w:t>
      </w:r>
      <w:r>
        <w:t>BayEUG). Sowohl über die Ausgestaltung von schulinternen Angeboten als auch über die Nutzung von entsprechenden Angeboten</w:t>
      </w:r>
      <w:r w:rsidR="007B295E">
        <w:t xml:space="preserve"> externer Bildungsträger</w:t>
      </w:r>
      <w:r w:rsidR="001447AC">
        <w:t>,</w:t>
      </w:r>
      <w:r w:rsidR="007B295E">
        <w:t xml:space="preserve"> wie z.</w:t>
      </w:r>
      <w:r>
        <w:t>B. der Landeszentrale für politische Bildungsarbeit</w:t>
      </w:r>
      <w:r w:rsidR="001447AC">
        <w:t>,</w:t>
      </w:r>
      <w:r>
        <w:t xml:space="preserve"> entscheiden die Schulen vor Ort selbst. Sie nutzen ihre Gesta</w:t>
      </w:r>
      <w:r>
        <w:t>l</w:t>
      </w:r>
      <w:r>
        <w:t>tungsräume auf vielfältige Weise und unter der Berücksichtigung der spezifischen Bedingungen vor Ort.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Thomas</w:t>
            </w:r>
            <w:r w:rsidRPr="00DB3BD0">
              <w:rPr>
                <w:b/>
              </w:rPr>
              <w:br/>
              <w:t>Gehring</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34" w:name="_Toc475001288"/>
            <w:r>
              <w:instrText>Gehring, Thomas (BÜNDNIS 90/DIE GRÜNEN)</w:instrText>
            </w:r>
            <w:r>
              <w:br/>
              <w:instrText>Einsatz fachfremder Lehrkräfte im Sozialkundeunterricht</w:instrText>
            </w:r>
            <w:bookmarkEnd w:id="34"/>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 Sozialkundeunterricht an Realschulen, Gymnasien und Berufsschulen (bitte jeweils getrennt aufführen) wird fac</w:t>
            </w:r>
            <w:r>
              <w:t>h</w:t>
            </w:r>
            <w:r>
              <w:t>fremd unterrichtet und wie viel Sozialkundeunterricht an Realschulen, Gy</w:t>
            </w:r>
            <w:r>
              <w:t>m</w:t>
            </w:r>
            <w:r>
              <w:t>nasien und Berufsschulen (bitte ebenfalls jeweils getrennt aufführen) wird nicht unterrichtet, weil keine qualifizierten Lehrkräfte zur Verfügung stehen?</w:t>
            </w:r>
          </w:p>
          <w:p w:rsidR="00DB3BD0" w:rsidRDefault="00DB3BD0" w:rsidP="00DB3BD0">
            <w:pPr>
              <w:pStyle w:val="LTAnfrageText"/>
            </w:pPr>
          </w:p>
        </w:tc>
      </w:tr>
    </w:tbl>
    <w:p w:rsidR="00DB3BD0" w:rsidRDefault="00DB3BD0" w:rsidP="00DB3BD0">
      <w:pPr>
        <w:pStyle w:val="LTUeberschrAntwortRessort"/>
      </w:pPr>
      <w:r>
        <w:t>Antwort des Staatsministeriums für Bildung und Kultus, Wissenschaft und Kunst</w:t>
      </w:r>
    </w:p>
    <w:p w:rsidR="00DB3BD0" w:rsidRDefault="00DB3BD0" w:rsidP="00DB3BD0">
      <w:pPr>
        <w:pStyle w:val="LTAntwortRessortText"/>
      </w:pPr>
      <w:r>
        <w:t xml:space="preserve">Für das Schuljahr 2016/2017 liegen derzeit noch keine Amtlichen Schuldaten vor, weshalb zur Beantwortung der Anfrage </w:t>
      </w:r>
      <w:r w:rsidR="001447AC">
        <w:t xml:space="preserve">zum Plenum </w:t>
      </w:r>
      <w:r>
        <w:t>auf die Vorjahresdaten zurückgegriffen wird.</w:t>
      </w:r>
    </w:p>
    <w:p w:rsidR="00DB3BD0" w:rsidRDefault="00DB3BD0" w:rsidP="00DB3BD0">
      <w:pPr>
        <w:pStyle w:val="LTAntwortRessortText"/>
      </w:pPr>
      <w:r>
        <w:t xml:space="preserve">Im Schuljahr 2015/2016 wurden an den staatlichen Realschulen 70,4 </w:t>
      </w:r>
      <w:r w:rsidR="00FD4D2F">
        <w:t>Prozent</w:t>
      </w:r>
      <w:r>
        <w:t xml:space="preserve"> der Unterricht</w:t>
      </w:r>
      <w:r>
        <w:t>s</w:t>
      </w:r>
      <w:r>
        <w:t xml:space="preserve">stunden im Fach Sozialkunde von einer Lehrkraft ohne Lehrbefähigung für dieses Fach erteilt. </w:t>
      </w:r>
      <w:r>
        <w:lastRenderedPageBreak/>
        <w:t xml:space="preserve">An den staatlichen Gymnasien betrug dieser Anteil 8,0 </w:t>
      </w:r>
      <w:r w:rsidR="00FD4D2F">
        <w:t>Prozent</w:t>
      </w:r>
      <w:r>
        <w:t xml:space="preserve"> und an den staatlichen Beruf</w:t>
      </w:r>
      <w:r>
        <w:t>s</w:t>
      </w:r>
      <w:r>
        <w:t>schulen 8,2</w:t>
      </w:r>
      <w:r w:rsidR="007B295E">
        <w:t> </w:t>
      </w:r>
      <w:r w:rsidR="00FD4D2F">
        <w:t>Prozent</w:t>
      </w:r>
      <w:r>
        <w:t>.</w:t>
      </w:r>
    </w:p>
    <w:p w:rsidR="00DB3BD0" w:rsidRDefault="00DB3BD0" w:rsidP="00DB3BD0">
      <w:pPr>
        <w:pStyle w:val="LTAntwortRessortText"/>
      </w:pPr>
      <w:r>
        <w:t>An den staatlichen Realschulen und Gymnasien konnten im Schuljahr 2015/2016 alle Unte</w:t>
      </w:r>
      <w:r>
        <w:t>r</w:t>
      </w:r>
      <w:r>
        <w:t>richtsstunden im Fach Sozialkunde eingerichtet werden. An den staatlichen Berufsschulen kon</w:t>
      </w:r>
      <w:r>
        <w:t>n</w:t>
      </w:r>
      <w:r>
        <w:t>ten 1,6</w:t>
      </w:r>
      <w:r w:rsidR="007B295E">
        <w:t> </w:t>
      </w:r>
      <w:r w:rsidR="00FD4D2F">
        <w:t>Prozent</w:t>
      </w:r>
      <w:r>
        <w:t xml:space="preserve"> der Unterrichtsstunden im Fach Sozialkunde nicht eingerichtet werden. </w:t>
      </w:r>
    </w:p>
    <w:p w:rsidR="00DB3BD0" w:rsidRDefault="00DB3BD0" w:rsidP="00DB3BD0">
      <w:pPr>
        <w:pStyle w:val="LTAntwortRessortText"/>
      </w:pPr>
      <w:r>
        <w:t xml:space="preserve">Der hohe Wert von 70,4 </w:t>
      </w:r>
      <w:r w:rsidR="00FD4D2F">
        <w:t>Prozent</w:t>
      </w:r>
      <w:r>
        <w:t xml:space="preserve"> an den staatlichen Realschulen erklärt sich folgendermaßen: Im Bereich der staatlichen Realschulen wird das Fach Sozialkunde laut gültiger Stundentafel in der 10.</w:t>
      </w:r>
      <w:r w:rsidR="007B295E">
        <w:t> </w:t>
      </w:r>
      <w:r>
        <w:t>Jahrgangsstufe (zweistündig) unterrichtet. Abhängig von der Zügigkeit der Schule liegt der Stundenbedarf einer einzelnen Schule damit augenblicklich in der Regel zwischen vier W</w:t>
      </w:r>
      <w:r>
        <w:t>o</w:t>
      </w:r>
      <w:r>
        <w:t>chen</w:t>
      </w:r>
      <w:r w:rsidR="007B295E">
        <w:t>stunden (zwei</w:t>
      </w:r>
      <w:r>
        <w:t xml:space="preserve">zügige </w:t>
      </w:r>
      <w:r w:rsidR="007B295E">
        <w:t>Schule) und 14 Wochenstunden (sieben</w:t>
      </w:r>
      <w:r>
        <w:t>zügige Schule). Daher reicht je staatlicher Realschule eine Lehrkraft mit der Lehrbefähigung für das Fach Sozialkunde aus, um den Bedarf abzudecken und gleichzeitig ein ausgewogenes Verhältnis zum Einsatz im Zwei</w:t>
      </w:r>
      <w:r>
        <w:t>t</w:t>
      </w:r>
      <w:r>
        <w:t xml:space="preserve">fach herzustellen. </w:t>
      </w:r>
    </w:p>
    <w:p w:rsidR="00DB3BD0" w:rsidRDefault="00DB3BD0" w:rsidP="00DB3BD0">
      <w:pPr>
        <w:pStyle w:val="LTAntwortRessortText"/>
      </w:pPr>
      <w:r>
        <w:t>Für das Lehramt an Realschulen kann die Lehrbefähigung für das Fach Sozialkunde grundstä</w:t>
      </w:r>
      <w:r>
        <w:t>n</w:t>
      </w:r>
      <w:r>
        <w:t>dig in der Fächerverbindung Wirtschaftswissenschaften/Sozialkunde (Ww/Sk) oder in Form einer Erweiterungsprüfung erworben werden.</w:t>
      </w:r>
    </w:p>
    <w:p w:rsidR="00DB3BD0" w:rsidRDefault="00DB3BD0" w:rsidP="00DB3BD0">
      <w:pPr>
        <w:pStyle w:val="LTAntwortRessortText"/>
      </w:pPr>
      <w:r>
        <w:t xml:space="preserve">Die jahrelange Volleinstellung und die Bewerbersituation in den einzelnen Fächerverbindungen im Bereich der staatlichen Realschulen </w:t>
      </w:r>
      <w:r w:rsidR="007B295E">
        <w:t xml:space="preserve">– </w:t>
      </w:r>
      <w:r>
        <w:t>insbesondere in Zeiten des Aufwuchses der sechsjä</w:t>
      </w:r>
      <w:r>
        <w:t>h</w:t>
      </w:r>
      <w:r>
        <w:t xml:space="preserve">rigen Realschule </w:t>
      </w:r>
      <w:r w:rsidR="007B295E">
        <w:t>–</w:t>
      </w:r>
      <w:r>
        <w:t xml:space="preserve"> führte in der Vergangenheit dazu, dass das Fach Sozialkunde vielfach durch Lehrkräfte unterrichtet werden musste, die zwar keine entsprechende Lehrbefähigung hatten, jedoch durch ihre Fakultas und ihre Ausbildung eine </w:t>
      </w:r>
      <w:r w:rsidR="00FD4D2F">
        <w:t>„</w:t>
      </w:r>
      <w:r>
        <w:t>Nähe</w:t>
      </w:r>
      <w:r w:rsidR="00FD4D2F">
        <w:t>“</w:t>
      </w:r>
      <w:r>
        <w:t xml:space="preserve"> zu diesem Fach vorweisen konnten (z.B. Lehrkräfte mit der Fakultas Geschichte oder Wirtschaftswissenschaften). Diese Lehrkräfte unterrichten das Fach Sozialkunde nunmehr seit vielen Jahren und setzen den Lehrplan ad</w:t>
      </w:r>
      <w:r>
        <w:t>ä</w:t>
      </w:r>
      <w:r>
        <w:t>quat um. Würden diese Lehrkräfte zukünftig nicht mehr im Fach Sozialkunde eingesetzt und durch Neueinstellungen mit der Fächerverbindung Ww/Sk ersetzt, würde dies nicht nur bei den Betroffenen zu großem Unverständnis führen, sondern es wäre auch eine eklatante Persona</w:t>
      </w:r>
      <w:r>
        <w:t>l</w:t>
      </w:r>
      <w:r>
        <w:t>schieflage an den staatlichen Realschulen die Folge: Für die neu eingestellten Lehrkräfte mit dem Fach Sozialkunde bestünde an der Schule keine Einsatzmöglichkeit im Zweitfach; die Stammlehrkräfte, die das Fach Sozialkunde derzeit unterrichten, könnten mit ihrem Stundend</w:t>
      </w:r>
      <w:r>
        <w:t>e</w:t>
      </w:r>
      <w:r>
        <w:t xml:space="preserve">putat ebenfalls nicht mehr eingesetzt werden. Daher fordern die Schulleitungen derzeit kaum Lehrkräfte mit der Fächerverbindung Ww/Sk an. </w:t>
      </w:r>
    </w:p>
    <w:p w:rsidR="00DB3BD0" w:rsidRDefault="00DB3BD0" w:rsidP="00DB3BD0">
      <w:pPr>
        <w:pStyle w:val="LTAntwortRessortText"/>
      </w:pPr>
      <w:r>
        <w:t xml:space="preserve">Die vorhandene Situation kann somit lediglich sukzessive im Rahmen der Fluktuation aufgelöst werden. </w:t>
      </w:r>
    </w:p>
    <w:p w:rsidR="00DB3BD0" w:rsidRDefault="00DB3BD0" w:rsidP="00DB3BD0">
      <w:pPr>
        <w:pStyle w:val="LTAntwortRessortText"/>
      </w:pPr>
      <w:r>
        <w:t xml:space="preserve">Die Schulleitungen der staatlichen Realschulen werden jedoch regelmäßig darauf hingewiesen, dass der fachfremde Einsatz in Sozialkunde rückgebaut werden soll und sie </w:t>
      </w:r>
      <w:r w:rsidR="007B295E">
        <w:t>–</w:t>
      </w:r>
      <w:r>
        <w:t xml:space="preserve"> wann immer mö</w:t>
      </w:r>
      <w:r>
        <w:t>g</w:t>
      </w:r>
      <w:r>
        <w:t xml:space="preserve">lich und notwendig </w:t>
      </w:r>
      <w:r w:rsidR="007B295E">
        <w:t>–</w:t>
      </w:r>
      <w:r>
        <w:t xml:space="preserve"> eine entsprechende Lehrkraft mit der Fächerverbindung Ww/Sk anfordern sollen. Gleichzeitig wird versucht, Studierende des Lehramts für Realschulen durch die Vergabe eines Einstellungsbonus (im Umfang von 0,15) zu motivieren, eine zusätzliche Erweiterungspr</w:t>
      </w:r>
      <w:r>
        <w:t>ü</w:t>
      </w:r>
      <w:r>
        <w:t>fung im Fach Sozialkunde zu absolvieren.</w:t>
      </w: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Martin</w:t>
            </w:r>
            <w:r w:rsidRPr="00DB3BD0">
              <w:rPr>
                <w:b/>
              </w:rPr>
              <w:br/>
              <w:t>Güll</w:t>
            </w:r>
            <w:r w:rsidRPr="00DB3BD0">
              <w:rPr>
                <w:b/>
              </w:rPr>
              <w:br/>
            </w:r>
            <w:r w:rsidRPr="00DB3BD0">
              <w:t>(SPD)</w:t>
            </w:r>
            <w:r>
              <w:fldChar w:fldCharType="begin"/>
            </w:r>
            <w:r>
              <w:instrText xml:space="preserve"> TC </w:instrText>
            </w:r>
            <w:r w:rsidR="00FD4D2F">
              <w:instrText>„</w:instrText>
            </w:r>
            <w:bookmarkStart w:id="35" w:name="_Toc475001289"/>
            <w:r>
              <w:instrText>Güll, Martin (SPD)</w:instrText>
            </w:r>
            <w:r>
              <w:br/>
            </w:r>
            <w:r w:rsidR="007B295E">
              <w:instrText>Akquisition</w:instrText>
            </w:r>
            <w:r>
              <w:instrText xml:space="preserve"> von Drittmitteln bei der Stiftung Bayerische Gedenkstätten</w:instrText>
            </w:r>
            <w:bookmarkEnd w:id="35"/>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67586E">
            <w:pPr>
              <w:pStyle w:val="LTAnfrageText"/>
            </w:pPr>
            <w:r>
              <w:t>Ich frage die Staatsregierung, wie hoch ist insgesamt seit 2005 die Summe der Drittmittel der Stiftung Bayerische Gedenkstätten, die neben den Z</w:t>
            </w:r>
            <w:r>
              <w:t>u</w:t>
            </w:r>
            <w:r>
              <w:t>schüssen aus Bund und Land für die Arbeit der Stiftung Bayerische Geden</w:t>
            </w:r>
            <w:r>
              <w:t>k</w:t>
            </w:r>
            <w:r>
              <w:t>stätten zur Verfügung stand?</w:t>
            </w:r>
          </w:p>
        </w:tc>
      </w:tr>
    </w:tbl>
    <w:p w:rsidR="00DB3BD0" w:rsidRDefault="00DB3BD0" w:rsidP="00DB3BD0">
      <w:pPr>
        <w:pStyle w:val="LTUeberschrAntwortRessort"/>
      </w:pPr>
      <w:r>
        <w:lastRenderedPageBreak/>
        <w:t>Antwort des Staatsministeriums für Bildung und Kultus, Wissenschaft und Kunst</w:t>
      </w:r>
    </w:p>
    <w:p w:rsidR="00DB3BD0" w:rsidRDefault="00DB3BD0" w:rsidP="00DB3BD0">
      <w:pPr>
        <w:pStyle w:val="LTAntwortRessortText"/>
      </w:pPr>
      <w:r>
        <w:t>Nachfolgender Tabelle kann die Summe der Drittmittel entnommen werden, die neben den Z</w:t>
      </w:r>
      <w:r>
        <w:t>u</w:t>
      </w:r>
      <w:r>
        <w:t>schüssen aus Bund und Land für die Arbeit der Stiftung Bayerische Gedenkstätten zur Verf</w:t>
      </w:r>
      <w:r>
        <w:t>ü</w:t>
      </w:r>
      <w:r>
        <w:t>gung stand (2006 bis 2016):</w:t>
      </w:r>
    </w:p>
    <w:p w:rsidR="00DB3BD0" w:rsidRDefault="00DB3BD0" w:rsidP="00DB3BD0">
      <w:pPr>
        <w:pStyle w:val="LTAntwortRessortText"/>
      </w:pPr>
    </w:p>
    <w:p w:rsidR="007B21D8" w:rsidRPr="007B21D8" w:rsidRDefault="007B21D8" w:rsidP="007B21D8">
      <w:pPr>
        <w:spacing w:line="360" w:lineRule="auto"/>
        <w:ind w:left="284"/>
        <w:rPr>
          <w:rFonts w:cs="Arial"/>
          <w:sz w:val="24"/>
        </w:rPr>
      </w:pPr>
      <w:r>
        <w:rPr>
          <w:rFonts w:cs="Arial"/>
          <w:noProof/>
          <w:sz w:val="24"/>
        </w:rPr>
        <w:drawing>
          <wp:inline distT="0" distB="0" distL="0" distR="0">
            <wp:extent cx="5767705" cy="366331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705" cy="3663315"/>
                    </a:xfrm>
                    <a:prstGeom prst="rect">
                      <a:avLst/>
                    </a:prstGeom>
                    <a:noFill/>
                    <a:ln>
                      <a:noFill/>
                    </a:ln>
                  </pic:spPr>
                </pic:pic>
              </a:graphicData>
            </a:graphic>
          </wp:inline>
        </w:drawing>
      </w:r>
    </w:p>
    <w:p w:rsidR="00DB3BD0" w:rsidRDefault="00DB3BD0" w:rsidP="00DB3BD0">
      <w:pPr>
        <w:pStyle w:val="LTAntwortRessortText"/>
      </w:pP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Günther</w:t>
            </w:r>
            <w:r w:rsidRPr="00DB3BD0">
              <w:rPr>
                <w:b/>
              </w:rPr>
              <w:br/>
              <w:t>Knoblauch</w:t>
            </w:r>
            <w:r w:rsidRPr="00DB3BD0">
              <w:rPr>
                <w:b/>
              </w:rPr>
              <w:br/>
            </w:r>
            <w:r w:rsidRPr="00DB3BD0">
              <w:t>(SPD)</w:t>
            </w:r>
            <w:r>
              <w:fldChar w:fldCharType="begin"/>
            </w:r>
            <w:r>
              <w:instrText xml:space="preserve"> TC </w:instrText>
            </w:r>
            <w:r w:rsidR="00FD4D2F">
              <w:instrText>„</w:instrText>
            </w:r>
            <w:bookmarkStart w:id="36" w:name="_Toc475001290"/>
            <w:r>
              <w:instrText>Knoblauch, Günther (SPD)</w:instrText>
            </w:r>
            <w:r>
              <w:br/>
              <w:instrText>Laienförderung durch den Kulturfonds</w:instrText>
            </w:r>
            <w:bookmarkEnd w:id="36"/>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unter welchen Voraussetzungen sind Thea</w:t>
            </w:r>
            <w:r w:rsidR="007B21D8">
              <w:t>-</w:t>
            </w:r>
            <w:r>
              <w:t>ter-, Kunst- und Musikprojekte durch den Kulturfonds Bayern förderfähig, wenn keine professionellen Darsteller, Interpreten und Regisseure mitwirken, erwägt die Staatsregierung die Erweiterung der Förderfähigkeit durch den Kulturfonds, wenn nur Laien mitwirken und ist beispielsweise ein Kooperat</w:t>
            </w:r>
            <w:r>
              <w:t>i</w:t>
            </w:r>
            <w:r>
              <w:t>onsprojekt zwischen einem Laientheater aus dem ländlichen Raum und e</w:t>
            </w:r>
            <w:r>
              <w:t>i</w:t>
            </w:r>
            <w:r>
              <w:t>nem professionellen Theater aus München bzw. Nürnberg förderfähig?</w:t>
            </w:r>
          </w:p>
          <w:p w:rsidR="00DB3BD0" w:rsidRDefault="00DB3BD0" w:rsidP="00DB3BD0">
            <w:pPr>
              <w:pStyle w:val="LTAnfrageText"/>
            </w:pPr>
          </w:p>
        </w:tc>
      </w:tr>
    </w:tbl>
    <w:p w:rsidR="00E640D1" w:rsidRDefault="00E640D1" w:rsidP="00DB3BD0">
      <w:pPr>
        <w:pStyle w:val="LTUeberschrAntwortRessort"/>
      </w:pPr>
    </w:p>
    <w:p w:rsidR="00E640D1" w:rsidRDefault="00E640D1">
      <w:pPr>
        <w:rPr>
          <w:b/>
          <w:szCs w:val="22"/>
        </w:rPr>
      </w:pPr>
      <w:r>
        <w:br w:type="page"/>
      </w:r>
    </w:p>
    <w:p w:rsidR="00DB3BD0" w:rsidRDefault="00DB3BD0" w:rsidP="00DB3BD0">
      <w:pPr>
        <w:pStyle w:val="LTUeberschrAntwortRessort"/>
      </w:pPr>
      <w:r>
        <w:lastRenderedPageBreak/>
        <w:t>Antwort des Staatsministeriums für Bildung und Kultus, Wissenschaft und Kunst</w:t>
      </w:r>
    </w:p>
    <w:p w:rsidR="00DB3BD0" w:rsidRDefault="00DB3BD0" w:rsidP="00DB3BD0">
      <w:pPr>
        <w:pStyle w:val="LTAntwortRessortText"/>
      </w:pPr>
      <w:r>
        <w:t>Aus dem Kulturfonds Bereich Kunst werden u.a. Projekte aus den Bereichen Theater, zeitg</w:t>
      </w:r>
      <w:r>
        <w:t>e</w:t>
      </w:r>
      <w:r>
        <w:t>nössi</w:t>
      </w:r>
      <w:r w:rsidR="007B21D8">
        <w:t xml:space="preserve">sche Kunst, </w:t>
      </w:r>
      <w:r>
        <w:t>Musik und Laienmusik gefördert. Die Vorhaben sollen in der Regel von übe</w:t>
      </w:r>
      <w:r>
        <w:t>r</w:t>
      </w:r>
      <w:r>
        <w:t>regionaler, zumindest aber von überörtlicher Bedeutung sein. Das Fördergebiet umfasst ganz Bayern, ausgeschlossen sind jedoch Maßnahmen in München und Nürnberg.</w:t>
      </w:r>
    </w:p>
    <w:p w:rsidR="00DB3BD0" w:rsidRDefault="00DB3BD0" w:rsidP="00DB3BD0">
      <w:pPr>
        <w:pStyle w:val="LTAntwortRessortText"/>
      </w:pPr>
      <w:r>
        <w:t xml:space="preserve">Theaterproduktionen können aus dem Kulturfonds Bayern gefördert werden, auch wenn daran nur Laien mittwirken, soweit diesem Projekt sowohl inhaltlich (Stückeauswahl) als auch für die Ausführung Professionalität bescheinigt werden und </w:t>
      </w:r>
      <w:r w:rsidR="007B21D8">
        <w:t>Überregionalität</w:t>
      </w:r>
      <w:r>
        <w:t xml:space="preserve"> zugesprochen werden kann. </w:t>
      </w:r>
    </w:p>
    <w:p w:rsidR="00DB3BD0" w:rsidRDefault="00DB3BD0" w:rsidP="00DB3BD0">
      <w:pPr>
        <w:pStyle w:val="LTAntwortRessortText"/>
      </w:pPr>
      <w:r>
        <w:t>Bei Ausstellungen, Symposien und ähnlichen Projekten, die im Bereich der zeitgenössischen Kunst aus dem Kulturfonds gefördert werden können, wird von den beteiligten Künstlern Profe</w:t>
      </w:r>
      <w:r>
        <w:t>s</w:t>
      </w:r>
      <w:r>
        <w:t xml:space="preserve">sionalität sowie vom Projekt zumindest eine überörtliche Bedeutung gefordert. Für die Förderung von reinen Hobbykünstlern stellt der Kulturfonds kein Förderinstrument dar.  </w:t>
      </w:r>
    </w:p>
    <w:p w:rsidR="00DB3BD0" w:rsidRDefault="00DB3BD0" w:rsidP="00DB3BD0">
      <w:pPr>
        <w:pStyle w:val="LTAntwortRessortText"/>
      </w:pPr>
      <w:r>
        <w:t xml:space="preserve">Der Förderbereich </w:t>
      </w:r>
      <w:r w:rsidR="00FD4D2F">
        <w:t>„</w:t>
      </w:r>
      <w:r>
        <w:t>Musikpflege</w:t>
      </w:r>
      <w:r w:rsidR="00FD4D2F">
        <w:t>“</w:t>
      </w:r>
      <w:r>
        <w:t xml:space="preserve"> umfasst Veranstaltungen aus dem Bereich der künstlerischen professionellen Musik, wobei im Einzelfall auch Laienmusiker oder -gruppen sowie Nachwuch</w:t>
      </w:r>
      <w:r>
        <w:t>s</w:t>
      </w:r>
      <w:r>
        <w:t xml:space="preserve">künstler hieran beteiligt sein können. </w:t>
      </w:r>
    </w:p>
    <w:p w:rsidR="00DB3BD0" w:rsidRDefault="00DB3BD0" w:rsidP="00DB3BD0">
      <w:pPr>
        <w:pStyle w:val="LTAntwortRessortText"/>
      </w:pPr>
      <w:r>
        <w:t xml:space="preserve">Dagegen eröffnet der Förderbereich </w:t>
      </w:r>
      <w:r w:rsidR="00FD4D2F">
        <w:t>„</w:t>
      </w:r>
      <w:r>
        <w:t>Laienmusik</w:t>
      </w:r>
      <w:r w:rsidR="00FD4D2F">
        <w:t>“</w:t>
      </w:r>
      <w:r>
        <w:t xml:space="preserve"> die Möglichkeit zur Förderung geeigneter Ei</w:t>
      </w:r>
      <w:r>
        <w:t>n</w:t>
      </w:r>
      <w:r>
        <w:t>zelprojekte in der Laienmusik, wobei sich der Kulturfonds hierbei auf die Förderung bayernweiter Projekte beschränkt, da die Heimat- und Kulturpflege originäre Aufgabe der Städte und Gemei</w:t>
      </w:r>
      <w:r>
        <w:t>n</w:t>
      </w:r>
      <w:r>
        <w:t xml:space="preserve">den, die überörtliche Kulturpflege Aufgabe der Bezirke darstellt. </w:t>
      </w:r>
    </w:p>
    <w:p w:rsidR="00DB3BD0" w:rsidRDefault="00DB3BD0" w:rsidP="00DB3BD0">
      <w:pPr>
        <w:pStyle w:val="LTAntwortRessortText"/>
      </w:pPr>
      <w:r>
        <w:t xml:space="preserve">Die geltenden Förderbereiche und Fördervoraussetzungen des Kulturfonds haben sich bewährt; eine Ausweitung auf weitere Laienprojekte ist insbesondere aufgrund der großen Anzahl der bayerischen </w:t>
      </w:r>
      <w:r w:rsidR="007B21D8">
        <w:t>Amateurtheater, Amateurkünstler</w:t>
      </w:r>
      <w:r>
        <w:t>innen</w:t>
      </w:r>
      <w:r w:rsidR="007B21D8">
        <w:t xml:space="preserve"> bzw. -künstler und Laienmusiker</w:t>
      </w:r>
      <w:r>
        <w:t>innen</w:t>
      </w:r>
      <w:r w:rsidR="007B21D8">
        <w:t xml:space="preserve"> bzw. -musiker</w:t>
      </w:r>
      <w:r>
        <w:t xml:space="preserve"> und Laienensembles und der begrenzten Mittelausstattun</w:t>
      </w:r>
      <w:r w:rsidR="007B21D8">
        <w:t xml:space="preserve">g des Kulturfonds Bayern nicht </w:t>
      </w:r>
      <w:r>
        <w:t>angedacht.</w:t>
      </w:r>
    </w:p>
    <w:p w:rsidR="00DB3BD0" w:rsidRDefault="00DB3BD0" w:rsidP="00DB3BD0">
      <w:pPr>
        <w:pStyle w:val="LTAntwortRessortText"/>
      </w:pPr>
      <w:r>
        <w:t>Kooperationsprojekte von Laienbühnen aus dem ländlichen Raum mit einem professionellen Theater aus München bzw. Nürnberg wären aus dem Kulturfonds grundsätzlich förderfähig, wenn</w:t>
      </w:r>
    </w:p>
    <w:p w:rsidR="00DB3BD0" w:rsidRDefault="00DB3BD0" w:rsidP="007B21D8">
      <w:pPr>
        <w:pStyle w:val="LTAntwortRessortText"/>
        <w:numPr>
          <w:ilvl w:val="1"/>
          <w:numId w:val="29"/>
        </w:numPr>
        <w:spacing w:before="120"/>
        <w:ind w:left="709" w:hanging="283"/>
      </w:pPr>
      <w:r>
        <w:t>die Aufführungen im ländlichen Raum und nicht in München und Nürnberg stattfinden,</w:t>
      </w:r>
    </w:p>
    <w:p w:rsidR="00DB3BD0" w:rsidRDefault="00DB3BD0" w:rsidP="007B21D8">
      <w:pPr>
        <w:pStyle w:val="LTAntwortRessortText"/>
        <w:numPr>
          <w:ilvl w:val="1"/>
          <w:numId w:val="29"/>
        </w:numPr>
        <w:spacing w:before="120"/>
        <w:ind w:left="709" w:hanging="283"/>
      </w:pPr>
      <w:r>
        <w:t>das Projekt professionell ausgeführt wird und</w:t>
      </w:r>
    </w:p>
    <w:p w:rsidR="00DB3BD0" w:rsidRDefault="00DB3BD0" w:rsidP="007B21D8">
      <w:pPr>
        <w:pStyle w:val="LTAntwortRessortText"/>
        <w:numPr>
          <w:ilvl w:val="1"/>
          <w:numId w:val="29"/>
        </w:numPr>
        <w:spacing w:before="120"/>
        <w:ind w:left="709" w:hanging="283"/>
      </w:pPr>
      <w:r>
        <w:t>ihm eine überregionale, zumindest aber überörtliche Bedeutung zukommt.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Ulrich</w:t>
            </w:r>
            <w:r w:rsidRPr="00DB3BD0">
              <w:rPr>
                <w:b/>
              </w:rPr>
              <w:br/>
              <w:t>Leiner</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37" w:name="_Toc475001291"/>
            <w:r>
              <w:instrText>Leiner, Ulrich (BÜNDNIS 90/DIE GRÜNEN)</w:instrText>
            </w:r>
            <w:r>
              <w:br/>
              <w:instrText>Schulgeld für Heilerziehungspflegerinnen und -pfleger</w:instrText>
            </w:r>
            <w:bookmarkEnd w:id="37"/>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inwiefern ist es durch den klassenbezogenen Zuschuss (Pflegebonus) für die Fachschulen für Heilerziehungspflege und Heilerziehungspflegehilfe gelungen, die privaten Fachschulen zum Verzicht auf die Erhebung von Schulgeld zu motivieren, welche Fachschulen erheben auch weiterhin von ihren Schülerinnen und Schülern Schulgeld (bitte auch die Höhe angeben) und hat die Erhebung von Schulgeld in jedem Fall zu einem Verlust auf den Anspruch auf Pflegebonus geführt?</w:t>
            </w:r>
          </w:p>
          <w:p w:rsidR="00DB3BD0" w:rsidRDefault="00DB3BD0" w:rsidP="00DB3BD0">
            <w:pPr>
              <w:pStyle w:val="LTAnfrageText"/>
            </w:pPr>
          </w:p>
        </w:tc>
      </w:tr>
    </w:tbl>
    <w:p w:rsidR="00DB3BD0" w:rsidRDefault="00DB3BD0" w:rsidP="00DB3BD0">
      <w:pPr>
        <w:pStyle w:val="LTUeberschrAntwortRessort"/>
      </w:pPr>
      <w:r>
        <w:lastRenderedPageBreak/>
        <w:t>Antwort des Staatsministeriums für Bildung und Kultus, Wissenschaft und Kunst</w:t>
      </w:r>
    </w:p>
    <w:p w:rsidR="00DB3BD0" w:rsidRDefault="00DB3BD0" w:rsidP="00DB3BD0">
      <w:pPr>
        <w:pStyle w:val="LTAntwortRessortText"/>
      </w:pPr>
      <w:r>
        <w:t>Im Schuljahr 2015/</w:t>
      </w:r>
      <w:r w:rsidR="007B21D8">
        <w:t>20</w:t>
      </w:r>
      <w:r>
        <w:t>16 hat keine Fachschule für Heilerziehungspflegehilfe oder für Heilerzi</w:t>
      </w:r>
      <w:r>
        <w:t>e</w:t>
      </w:r>
      <w:r>
        <w:t>hungspflege Schulgeld erhoben. Für das Schuljahr 2016/</w:t>
      </w:r>
      <w:r w:rsidR="007B21D8">
        <w:t>20</w:t>
      </w:r>
      <w:r>
        <w:t xml:space="preserve">17 steht die verbindliche Abfrage noch an, das Staatsministerium </w:t>
      </w:r>
      <w:r w:rsidR="007B21D8">
        <w:t xml:space="preserve">für Bildung und Kultus, Wissenschaft und Kunst </w:t>
      </w:r>
      <w:r>
        <w:t>hat allerdings keine Hinweise, dass in diesem Schuljahr an den genannten Schulen Schulgeld erhoben würde.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Margit</w:t>
            </w:r>
            <w:r w:rsidRPr="00DB3BD0">
              <w:rPr>
                <w:b/>
              </w:rPr>
              <w:br/>
              <w:t>Wild</w:t>
            </w:r>
            <w:r w:rsidRPr="00DB3BD0">
              <w:rPr>
                <w:b/>
              </w:rPr>
              <w:br/>
            </w:r>
            <w:r w:rsidRPr="00DB3BD0">
              <w:t>(SPD)</w:t>
            </w:r>
            <w:r>
              <w:fldChar w:fldCharType="begin"/>
            </w:r>
            <w:r>
              <w:instrText xml:space="preserve"> TC </w:instrText>
            </w:r>
            <w:r w:rsidR="00FD4D2F">
              <w:instrText>„</w:instrText>
            </w:r>
            <w:bookmarkStart w:id="38" w:name="_Toc475001292"/>
            <w:r>
              <w:instrText>Wild, Margit (SPD)</w:instrText>
            </w:r>
            <w:r>
              <w:br/>
              <w:instrText>Sachstand bezüglich des Lehrstuhls für Kinder- und Jugendpsychiatrie in Regensburg</w:instrText>
            </w:r>
            <w:bookmarkEnd w:id="38"/>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die Bewerbungen für die Professur für Kinder- und Jugendpsych</w:t>
            </w:r>
            <w:r>
              <w:t>i</w:t>
            </w:r>
            <w:r>
              <w:t>atrie und -psychotherapie an der Universität Regensburg am Bezirksklinikum Regensburg bis zum 17. August 2015 eingegangen sein sollten und die B</w:t>
            </w:r>
            <w:r>
              <w:t>e</w:t>
            </w:r>
            <w:r>
              <w:t>setzung laut Ausschreibung zum nächstmöglichen Zeitpunkt erfolgen sollte, frage ich die Staatsregierung, wie viele Bewerbungen sind eingegangen und was ist der aktuelle Sachstand bei der Besetzung des Lehrstuhls?</w:t>
            </w:r>
          </w:p>
          <w:p w:rsidR="00DB3BD0" w:rsidRDefault="00DB3BD0" w:rsidP="00DB3BD0">
            <w:pPr>
              <w:pStyle w:val="LTAnfrageText"/>
            </w:pPr>
          </w:p>
        </w:tc>
      </w:tr>
    </w:tbl>
    <w:p w:rsidR="00DB3BD0" w:rsidRDefault="00DB3BD0" w:rsidP="00DB3BD0">
      <w:pPr>
        <w:pStyle w:val="LTUeberschrAntwortRessort"/>
      </w:pPr>
      <w:r>
        <w:t>Antwort des Staatsministeriums für Bildung und Kultus, Wissenschaft und Kunst</w:t>
      </w:r>
    </w:p>
    <w:p w:rsidR="00DB3BD0" w:rsidRDefault="00DB3BD0" w:rsidP="00DB3BD0">
      <w:pPr>
        <w:pStyle w:val="LTAntwortRessortText"/>
      </w:pPr>
      <w:r>
        <w:t>Das derzeitige Berufungsverfahren für den neuen Lehrstuhl für Kinder- und Jugendpsychiatrie der Universität Regensburg am Bezirksklinikum Regensburg läuft noch; es liegt nach der G</w:t>
      </w:r>
      <w:r>
        <w:t>e</w:t>
      </w:r>
      <w:r>
        <w:t>nehmigung der Ausschreibung durch das Staatsministerium für Bildung und Kultus, Wisse</w:t>
      </w:r>
      <w:r>
        <w:t>n</w:t>
      </w:r>
      <w:r>
        <w:t>schaft und Kunst in der Verantwortung der Universität. Diese hat mitgeteilt, dass zehn Bewe</w:t>
      </w:r>
      <w:r>
        <w:t>r</w:t>
      </w:r>
      <w:r>
        <w:t>bungen eingegangen sind. In 2016 wurden grundsätzlich listenfähige Kandidaten von der Ber</w:t>
      </w:r>
      <w:r>
        <w:t>u</w:t>
      </w:r>
      <w:r>
        <w:t>fungskommission, der auch ein Vertreter der Medizinischen Einrichtungen des Bezirks Oberpfalz (medbo) angehört, an ihren jetzigen Standorten besucht. Derzeit wird die Berufungsliste erstellt; hierzu fehlen noch externe Gutachten, die in Bälde erwartet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Isabell</w:t>
            </w:r>
            <w:r w:rsidRPr="00DB3BD0">
              <w:rPr>
                <w:b/>
              </w:rPr>
              <w:br/>
              <w:t>Zacharias</w:t>
            </w:r>
            <w:r w:rsidRPr="00DB3BD0">
              <w:rPr>
                <w:b/>
              </w:rPr>
              <w:br/>
            </w:r>
            <w:r w:rsidRPr="00DB3BD0">
              <w:t>(SPD)</w:t>
            </w:r>
            <w:r>
              <w:fldChar w:fldCharType="begin"/>
            </w:r>
            <w:r>
              <w:instrText xml:space="preserve"> TC </w:instrText>
            </w:r>
            <w:r w:rsidR="00FD4D2F">
              <w:instrText>„</w:instrText>
            </w:r>
            <w:bookmarkStart w:id="39" w:name="_Toc475001293"/>
            <w:r>
              <w:instrText>Zacharias, Isabell (SPD)</w:instrText>
            </w:r>
            <w:r>
              <w:br/>
              <w:instrText>Inklusive Hochschule</w:instrText>
            </w:r>
            <w:bookmarkEnd w:id="39"/>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hoch ist der Anteil chronisch kranker St</w:t>
            </w:r>
            <w:r>
              <w:t>u</w:t>
            </w:r>
            <w:r>
              <w:t>dierender oder Studierender mit Behinderungen an den Studierenden insg</w:t>
            </w:r>
            <w:r>
              <w:t>e</w:t>
            </w:r>
            <w:r>
              <w:t>samt (aufgelistet nach Hochschulen und Universitäten), sind an den bayer</w:t>
            </w:r>
            <w:r>
              <w:t>i</w:t>
            </w:r>
            <w:r>
              <w:t>schen Hochschulen und Universitäten alle Studiengänge barrierefrei zugän</w:t>
            </w:r>
            <w:r>
              <w:t>g</w:t>
            </w:r>
            <w:r>
              <w:t>lich und</w:t>
            </w:r>
            <w:r w:rsidR="00FD4D2F">
              <w:t xml:space="preserve"> </w:t>
            </w:r>
            <w:r>
              <w:t>ist gewährleistet, dass alle Studierenden an allen Lehrveranstaltu</w:t>
            </w:r>
            <w:r>
              <w:t>n</w:t>
            </w:r>
            <w:r>
              <w:t>gen und an allen anderen offiziellen Veranstaltungen der Hochschulen und Universitäten barrierefrei teilnehmen können?</w:t>
            </w:r>
          </w:p>
          <w:p w:rsidR="00DB3BD0" w:rsidRDefault="00DB3BD0" w:rsidP="00DB3BD0">
            <w:pPr>
              <w:pStyle w:val="LTAnfrageText"/>
            </w:pPr>
          </w:p>
        </w:tc>
      </w:tr>
    </w:tbl>
    <w:p w:rsidR="00DB3BD0" w:rsidRDefault="00DB3BD0" w:rsidP="00DB3BD0">
      <w:pPr>
        <w:pStyle w:val="LTUeberschrAntwortRessort"/>
      </w:pPr>
      <w:r>
        <w:t>Antwort des Staatsministeriums für Bildung und Kultus, Wissenschaft und Kunst</w:t>
      </w:r>
    </w:p>
    <w:p w:rsidR="00DB3BD0" w:rsidRPr="007D2213" w:rsidRDefault="007D2213" w:rsidP="00DB3BD0">
      <w:pPr>
        <w:pStyle w:val="LTAntwortRessortText"/>
        <w:rPr>
          <w:u w:val="single"/>
        </w:rPr>
      </w:pPr>
      <w:r w:rsidRPr="007D2213">
        <w:rPr>
          <w:u w:val="single"/>
        </w:rPr>
        <w:t>Zur ersten Teilfrage:</w:t>
      </w:r>
    </w:p>
    <w:p w:rsidR="002D720A" w:rsidRDefault="00DB3BD0" w:rsidP="007D2213">
      <w:pPr>
        <w:pStyle w:val="LTAntwortRessortText"/>
        <w:spacing w:before="120"/>
      </w:pPr>
      <w:r>
        <w:t>Angaben über Behinderungen oder chronische Erkrankungen zählen nicht zu den Daten, die von den bayerischen Hochschulen erhoben werden dürfen. Keine Studienbewerberin und kein Studienbewerber ist verpflichtet, Behinderungen oder chronische Erkrankungen offenzulegen. Die Hochschulen erfahren hiervon in der Regel nur, soweit die Betroffenen entsprechende A</w:t>
      </w:r>
      <w:r>
        <w:t>n</w:t>
      </w:r>
      <w:r w:rsidR="007D2213">
        <w:t>gebote (z.</w:t>
      </w:r>
      <w:r>
        <w:t>B. Beratung) in Ans</w:t>
      </w:r>
      <w:r w:rsidR="007D2213">
        <w:t>pruch nehmen oder Anträge (z.</w:t>
      </w:r>
      <w:r>
        <w:t xml:space="preserve">B. auf Nachteilsausgleich) stellen. </w:t>
      </w:r>
      <w:r>
        <w:lastRenderedPageBreak/>
        <w:t xml:space="preserve">Eine genaue Beantwortung der </w:t>
      </w:r>
      <w:r w:rsidR="007D2213">
        <w:t xml:space="preserve">Frage ist daher nicht möglich. </w:t>
      </w:r>
      <w:r>
        <w:t>Soweit Informationen vorliegen, beruhen diese auf Umfrageaktionen mit freiwilliger Teilnahme auf der Grundlage einer Selbs</w:t>
      </w:r>
      <w:r>
        <w:t>t</w:t>
      </w:r>
      <w:r>
        <w:t xml:space="preserve">einschätzung der Betroffenen. Dem Staatsministerium </w:t>
      </w:r>
      <w:r w:rsidR="007D2213">
        <w:t xml:space="preserve">für Bildung und Kultus, Wissenschaft und Kunst (StMBW) </w:t>
      </w:r>
      <w:r>
        <w:t>liegt eine Sonderauswertung der im Auftrag des Deutschen Studentenwerks durchgeführten best-Studie (</w:t>
      </w:r>
      <w:r w:rsidR="00FD4D2F">
        <w:t>„</w:t>
      </w:r>
      <w:r>
        <w:t>beeinträchtigt studieren</w:t>
      </w:r>
      <w:r w:rsidR="00FD4D2F">
        <w:t>“</w:t>
      </w:r>
      <w:r>
        <w:t>; Unger et al. 2012) für Bayern vor. Sie ist im Internet abrufbar unter</w:t>
      </w:r>
      <w:r w:rsidR="007D2213">
        <w:t xml:space="preserve"> </w:t>
      </w:r>
      <w:hyperlink r:id="rId17" w:history="1">
        <w:r w:rsidR="002D720A" w:rsidRPr="003B6D83">
          <w:rPr>
            <w:rStyle w:val="Hyperlink"/>
          </w:rPr>
          <w:t>http://www.behindertenbeauftragter.uni-wuerzburg.de/fileadmin/</w:t>
        </w:r>
        <w:r w:rsidR="002D720A" w:rsidRPr="003B6D83">
          <w:rPr>
            <w:rStyle w:val="Hyperlink"/>
          </w:rPr>
          <w:softHyphen/>
          <w:t>32500250/_temp_/Sonderauswertung_best2011_Bayern.pdf</w:t>
        </w:r>
      </w:hyperlink>
    </w:p>
    <w:p w:rsidR="00DB3BD0" w:rsidRDefault="00DB3BD0" w:rsidP="00DB3BD0">
      <w:pPr>
        <w:pStyle w:val="LTAntwortRessortText"/>
      </w:pPr>
      <w:r>
        <w:t>Die Daten, die nach Universitäten und Hochschulen für angewandte Wissenschaften unte</w:t>
      </w:r>
      <w:r>
        <w:t>r</w:t>
      </w:r>
      <w:r>
        <w:t>scheiden, beruhen auf der Auskunft der 1.759 teilnehmenden Studierenden von 21 Hochschulen und ihrer Selbsteinschätzung bezüglich der von der Studie vorgegebenen Kategorien von Beei</w:t>
      </w:r>
      <w:r>
        <w:t>n</w:t>
      </w:r>
      <w:r>
        <w:t>trächtigungsarten. Diese Einschätzungen müssen nicht zwingend identisch mit einer Behind</w:t>
      </w:r>
      <w:r>
        <w:t>e</w:t>
      </w:r>
      <w:r>
        <w:t xml:space="preserve">rung im Sinne des Sozialrechts oder mit einer chronischen Krankheit im medizinischen Sinne sein. </w:t>
      </w:r>
    </w:p>
    <w:p w:rsidR="00DB3BD0" w:rsidRDefault="00DB3BD0" w:rsidP="00DB3BD0">
      <w:pPr>
        <w:pStyle w:val="LTAntwortRessortText"/>
      </w:pPr>
      <w:r>
        <w:t>Derzeit erfolgt eine erneute Datenerhebung zur aktuellen Situation Studierender mit Behind</w:t>
      </w:r>
      <w:r>
        <w:t>e</w:t>
      </w:r>
      <w:r>
        <w:t>rung und chronischen Erkrankungen (</w:t>
      </w:r>
      <w:r w:rsidR="00FD4D2F">
        <w:t>„</w:t>
      </w:r>
      <w:r>
        <w:t>best2</w:t>
      </w:r>
      <w:r w:rsidR="00FD4D2F">
        <w:t>“</w:t>
      </w:r>
      <w:r>
        <w:t xml:space="preserve">; vgl. </w:t>
      </w:r>
      <w:hyperlink r:id="rId18" w:history="1">
        <w:r w:rsidR="007D2213" w:rsidRPr="003B6D83">
          <w:rPr>
            <w:rStyle w:val="Hyperlink"/>
          </w:rPr>
          <w:t>http://best-umfrage.de/</w:t>
        </w:r>
      </w:hyperlink>
      <w:r w:rsidR="007D2213">
        <w:t xml:space="preserve"> </w:t>
      </w:r>
      <w:r>
        <w:t>). Die Ergebnisse ble</w:t>
      </w:r>
      <w:r>
        <w:t>i</w:t>
      </w:r>
      <w:r>
        <w:t>ben abzuwarten.</w:t>
      </w:r>
    </w:p>
    <w:p w:rsidR="00DB3BD0" w:rsidRPr="007D2213" w:rsidRDefault="007D2213" w:rsidP="00DB3BD0">
      <w:pPr>
        <w:pStyle w:val="LTAntwortRessortText"/>
        <w:rPr>
          <w:u w:val="single"/>
        </w:rPr>
      </w:pPr>
      <w:r>
        <w:rPr>
          <w:u w:val="single"/>
        </w:rPr>
        <w:t>Zur zweiten Teilfrage:</w:t>
      </w:r>
    </w:p>
    <w:p w:rsidR="00DB3BD0" w:rsidRDefault="00DB3BD0" w:rsidP="007D2213">
      <w:pPr>
        <w:pStyle w:val="LTAntwortRessortText"/>
        <w:spacing w:before="120"/>
      </w:pPr>
      <w:r>
        <w:t>Für eine umfassende Aussage zur Barrierefreiheit aller Studiengänge und barrierefreier Tei</w:t>
      </w:r>
      <w:r>
        <w:t>l</w:t>
      </w:r>
      <w:r>
        <w:t xml:space="preserve">nahme an Lehrveranstaltungen liegen dem </w:t>
      </w:r>
      <w:r w:rsidR="007D2213">
        <w:t xml:space="preserve">StMBW </w:t>
      </w:r>
      <w:r>
        <w:t>keine Daten vor. Eine Datenerhebung wäre im Hinblick auf die Vielfalt der Studiengänge und Beeinträchtigungen auch kaum möglich. Nach dem Hochschulkompass der Hochschulrektorenkonferenz gibt es 2</w:t>
      </w:r>
      <w:r w:rsidR="007D2213">
        <w:t>.</w:t>
      </w:r>
      <w:r>
        <w:t>387 Studiengänge an staa</w:t>
      </w:r>
      <w:r>
        <w:t>t</w:t>
      </w:r>
      <w:r>
        <w:t>lichen Hochschulen (2</w:t>
      </w:r>
      <w:r w:rsidR="007D2213">
        <w:t>.</w:t>
      </w:r>
      <w:r>
        <w:t>792 einschließlich der nichtstaatlichen Hochschulen) und damit mehrere Tausend Veranstaltungen an den bayerischen Hochschulen. Die Formen der Behinderung und chronischen Krankheiten sind sehr vielgestaltig und umfassen verschiedene Formen von Si</w:t>
      </w:r>
      <w:r>
        <w:t>n</w:t>
      </w:r>
      <w:r>
        <w:t>nesbeeinträchtigungen, körperlichen Behinderungen, sonstige Beeinträchtigungen</w:t>
      </w:r>
      <w:r w:rsidR="00A27DDA">
        <w:t>,</w:t>
      </w:r>
      <w:r>
        <w:t xml:space="preserve"> wie z.B. L</w:t>
      </w:r>
      <w:r>
        <w:t>e</w:t>
      </w:r>
      <w:r>
        <w:t>gasthenie, psychische Erkrankungen und chronische Erkrankungen. Insofern sind die Anford</w:t>
      </w:r>
      <w:r>
        <w:t>e</w:t>
      </w:r>
      <w:r>
        <w:t>rungen an Barrierefreiheit auch vielgestaltig. Die Hochschulen haben vielfältige Anstrengungen unternommen, um einen barrierefreien Zugang zu den Lehrveranstaltungen zu ermöglichen, und entsprechende Beratungsstrukturen aufgebaut. Sie geben z.B. technische Unterstützung, haben behindertengerechte Arbeitsplätze eingerichtet, führen Fortbildungen für Dozenten und sonstige Mitarbeiter durch, bewilligen Nachteilsausgleich e</w:t>
      </w:r>
      <w:r w:rsidR="00A27DDA">
        <w:t>tc. Diesbezüglich wird auf den Vollzugsb</w:t>
      </w:r>
      <w:r>
        <w:t xml:space="preserve">ericht des </w:t>
      </w:r>
      <w:r w:rsidR="007D2213">
        <w:t>StMBW</w:t>
      </w:r>
      <w:r>
        <w:t xml:space="preserve"> vom 7. Juli 2016 (</w:t>
      </w:r>
      <w:r w:rsidR="007D2213">
        <w:t>Beschluss auf</w:t>
      </w:r>
      <w:r>
        <w:t xml:space="preserve"> Drs. 16/6761) zur Umsetzung des Konzept der i</w:t>
      </w:r>
      <w:r>
        <w:t>n</w:t>
      </w:r>
      <w:r>
        <w:t xml:space="preserve">klusiven Hochschule verwiesen. Zudem ist darauf hinzuweisen, dass nicht alle Maßnahmen für ein barrierefreies Studium von den Hochschulen zu verantworten sind. Hier sind z.B. auch die Eingliederungshilfe oder die Krankenkassen als weitere Kostenträger zu nennen. </w:t>
      </w:r>
    </w:p>
    <w:p w:rsidR="00DB3BD0" w:rsidRDefault="00DB3BD0" w:rsidP="00DB3BD0">
      <w:pPr>
        <w:pStyle w:val="LTAntwortRessortText"/>
      </w:pPr>
      <w:r>
        <w:t>In baulicher Hinsicht sind nicht alle von d</w:t>
      </w:r>
      <w:r w:rsidR="007D2213">
        <w:t xml:space="preserve">en Hochschulen genutzten Räume </w:t>
      </w:r>
      <w:r>
        <w:t>barrierefrei. Es wird angestrebt, die 2014 im Rahmen einer Abfrage der Obersten Baubehörde im Staatsministerium des Innern, für Bau und Verkehr in den Bereichen äußere Zugänglichkeit und/oder Sanitärräume bei den staatlichen Liegenschaften ermittelten Defizite bis zum Jahr 2023 zu beheben, vorb</w:t>
      </w:r>
      <w:r>
        <w:t>e</w:t>
      </w:r>
      <w:r>
        <w:t>haltlich der Bereitstellung der erforderlichen Mittel durch den Haushaltsgesetzgeber und der Umsetzungsmöglichkeiten vor Ort (z.B. sind teilweise Arbeiten zur Vermeidung von Beeinträc</w:t>
      </w:r>
      <w:r>
        <w:t>h</w:t>
      </w:r>
      <w:r>
        <w:t>tigungen des Lehrbetriebs nur in der vorlesungsfreien Zeit möglich).</w:t>
      </w:r>
    </w:p>
    <w:p w:rsidR="00E640D1" w:rsidRDefault="00E640D1">
      <w:pPr>
        <w:rPr>
          <w:rFonts w:cs="Arial"/>
          <w:b/>
          <w:sz w:val="22"/>
          <w:szCs w:val="22"/>
        </w:rPr>
      </w:pPr>
      <w:r>
        <w:br w:type="page"/>
      </w:r>
    </w:p>
    <w:p w:rsidR="00E640D1" w:rsidRDefault="00E640D1" w:rsidP="00E640D1">
      <w:pPr>
        <w:pStyle w:val="LTUeberschrRessort"/>
        <w:spacing w:before="1320"/>
      </w:pPr>
    </w:p>
    <w:p w:rsidR="00DB3BD0" w:rsidRDefault="00DB3BD0" w:rsidP="00E640D1">
      <w:pPr>
        <w:pStyle w:val="LTUeberschrRessort"/>
      </w:pPr>
      <w:r>
        <w:t>Geschäftsbereich des Staatsministeriums der Finanzen, für Landesentwicklung und Heimat</w:t>
      </w:r>
      <w:r>
        <w:fldChar w:fldCharType="begin"/>
      </w:r>
      <w:r>
        <w:instrText xml:space="preserve"> TC </w:instrText>
      </w:r>
      <w:r w:rsidR="00FD4D2F">
        <w:instrText>„</w:instrText>
      </w:r>
      <w:bookmarkStart w:id="40" w:name="_Toc475001294"/>
      <w:r>
        <w:instrText>Geschäftsbereich des Staatsministeriums der Finanzen, für Landesentwicklung und Heimat</w:instrText>
      </w:r>
      <w:bookmarkEnd w:id="40"/>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Klaus</w:t>
            </w:r>
            <w:r w:rsidRPr="00DB3BD0">
              <w:rPr>
                <w:b/>
              </w:rPr>
              <w:br/>
              <w:t>Adelt</w:t>
            </w:r>
            <w:r w:rsidRPr="00DB3BD0">
              <w:rPr>
                <w:b/>
              </w:rPr>
              <w:br/>
            </w:r>
            <w:r w:rsidRPr="00DB3BD0">
              <w:t>(SPD)</w:t>
            </w:r>
            <w:r>
              <w:fldChar w:fldCharType="begin"/>
            </w:r>
            <w:r>
              <w:instrText xml:space="preserve"> TC </w:instrText>
            </w:r>
            <w:r w:rsidR="00FD4D2F">
              <w:instrText>„</w:instrText>
            </w:r>
            <w:bookmarkStart w:id="41" w:name="_Toc475001295"/>
            <w:r>
              <w:instrText>Adelt, Klaus (SPD)</w:instrText>
            </w:r>
            <w:r>
              <w:br/>
              <w:instrText>Immobilien Freistaat Bayern</w:instrText>
            </w:r>
            <w:bookmarkEnd w:id="41"/>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Nachlass- und eigene Immobilien hat die Immobilien Freistaat Bayern (IMBY) in den letzten fünf Jahren verkauft und wie viele davon wurden von Kommunen und Gebietskörperschaften erworben bzw. sind in deren Eigentum übergegangen?</w:t>
            </w:r>
          </w:p>
          <w:p w:rsidR="00DB3BD0" w:rsidRDefault="00DB3BD0" w:rsidP="00DB3BD0">
            <w:pPr>
              <w:pStyle w:val="LTAnfrageText"/>
            </w:pPr>
          </w:p>
        </w:tc>
      </w:tr>
    </w:tbl>
    <w:p w:rsidR="00DB3BD0" w:rsidRDefault="00DB3BD0" w:rsidP="00E640D1">
      <w:pPr>
        <w:pStyle w:val="LTUeberschrAntwortRessort"/>
        <w:spacing w:before="840"/>
      </w:pPr>
      <w:r>
        <w:t>Antwort des Staatsministeriums der Finanzen, für Landesentwicklung und Heimat</w:t>
      </w:r>
    </w:p>
    <w:p w:rsidR="00DB3BD0" w:rsidRDefault="00DB3BD0" w:rsidP="00DB3BD0">
      <w:pPr>
        <w:pStyle w:val="LTAntwortRessortText"/>
      </w:pPr>
      <w:r>
        <w:t xml:space="preserve">Die Immobilien Freistaat Bayern hat </w:t>
      </w:r>
      <w:r w:rsidR="002D720A">
        <w:t>–</w:t>
      </w:r>
      <w:r>
        <w:t xml:space="preserve"> im Auftrag des für die Abwicklung von Nachlassvermögen zuständigen Landesamtes für Finanzen </w:t>
      </w:r>
      <w:r w:rsidR="002D720A">
        <w:t>– 134 Immobi</w:t>
      </w:r>
      <w:r>
        <w:t>lien in 2012 (davon an Kommunen und G</w:t>
      </w:r>
      <w:r w:rsidR="002D720A">
        <w:t>ebietskörperschaften [auch Bun</w:t>
      </w:r>
      <w:r>
        <w:t>desrepublik Deutschland und andere Bundesländer; nicht aber etwaige kommunaleigene oder -nahe Gesellsch</w:t>
      </w:r>
      <w:r w:rsidR="002D720A">
        <w:t>aften wie Stadtwerke oder Wirt</w:t>
      </w:r>
      <w:r>
        <w:t>schaftsbe</w:t>
      </w:r>
      <w:r w:rsidR="002D720A">
        <w:softHyphen/>
      </w:r>
      <w:r>
        <w:t>teiligungsgesellschaften]: 12), 95 in 2013 (16), 105 in 2014 (9),108 in 2015 (13) und</w:t>
      </w:r>
      <w:r w:rsidR="002D720A">
        <w:t xml:space="preserve"> </w:t>
      </w:r>
      <w:r>
        <w:t>98 in 2016 (11) verwertet.</w:t>
      </w:r>
    </w:p>
    <w:p w:rsidR="00DB3BD0" w:rsidRDefault="00DB3BD0" w:rsidP="00DB3BD0">
      <w:pPr>
        <w:pStyle w:val="LTAntwortRessortText"/>
      </w:pPr>
      <w:r>
        <w:t xml:space="preserve">Darüber hinaus hat die Immobilien Freistaat Bayern </w:t>
      </w:r>
      <w:r w:rsidR="002D720A">
        <w:t>129 staatliche Immobi</w:t>
      </w:r>
      <w:r>
        <w:t>lien in 2012 (32), 124 in 2013 (36), 119 in 2014 (30), 100 in 2015 (25)</w:t>
      </w:r>
      <w:r w:rsidR="002D720A">
        <w:t xml:space="preserve"> </w:t>
      </w:r>
      <w:r>
        <w:t>und 101 in 2016 (35) verwertet.</w:t>
      </w:r>
    </w:p>
    <w:p w:rsidR="00E640D1" w:rsidRDefault="00E640D1">
      <w:pPr>
        <w:rPr>
          <w:rFonts w:cs="Arial"/>
          <w:b/>
          <w:sz w:val="22"/>
          <w:szCs w:val="22"/>
        </w:rPr>
      </w:pPr>
      <w:r>
        <w:br w:type="page"/>
      </w:r>
    </w:p>
    <w:p w:rsidR="00DB3BD0" w:rsidRDefault="00DB3BD0" w:rsidP="00DB3BD0">
      <w:pPr>
        <w:pStyle w:val="LTUeberschrRessort"/>
      </w:pPr>
      <w:r>
        <w:lastRenderedPageBreak/>
        <w:t>Geschäftsbereich des Staatsministeriums für Wirtschaft und Medien, Energie und Technologie</w:t>
      </w:r>
      <w:r>
        <w:fldChar w:fldCharType="begin"/>
      </w:r>
      <w:r>
        <w:instrText xml:space="preserve"> TC </w:instrText>
      </w:r>
      <w:r w:rsidR="00FD4D2F">
        <w:instrText>„</w:instrText>
      </w:r>
      <w:bookmarkStart w:id="42" w:name="_Toc475001296"/>
      <w:r>
        <w:instrText>Geschäftsbereich des Staatsministeriums für Wirtschaft und Medien, Energie und Technologie</w:instrText>
      </w:r>
      <w:bookmarkEnd w:id="42"/>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Susann</w:t>
            </w:r>
            <w:r w:rsidRPr="00DB3BD0">
              <w:rPr>
                <w:b/>
              </w:rPr>
              <w:br/>
              <w:t>Biedefeld</w:t>
            </w:r>
            <w:r w:rsidRPr="00DB3BD0">
              <w:rPr>
                <w:b/>
              </w:rPr>
              <w:br/>
            </w:r>
            <w:r w:rsidRPr="00DB3BD0">
              <w:t>(SPD)</w:t>
            </w:r>
            <w:r>
              <w:fldChar w:fldCharType="begin"/>
            </w:r>
            <w:r>
              <w:instrText xml:space="preserve"> TC </w:instrText>
            </w:r>
            <w:r w:rsidR="00FD4D2F">
              <w:instrText>„</w:instrText>
            </w:r>
            <w:bookmarkStart w:id="43" w:name="_Toc475001297"/>
            <w:r>
              <w:instrText>Biedefeld, Susann (SPD)</w:instrText>
            </w:r>
            <w:r>
              <w:br/>
              <w:instrText>Weitere Belastung des Coburger Landes und des Obermains durch Stromtrassen verhindern</w:instrText>
            </w:r>
            <w:bookmarkEnd w:id="43"/>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was gedenkt sie zu unternehmen, um weitere Belastungen des Coburger Landes und des Obermains durch Stromtrassen (im Speziellen die P 44) zu verhindern, welche Maßnahmen haben speziell der Staatsminister der Finanzen, für Landesentwicklung und Heimat, Dr.</w:t>
            </w:r>
            <w:r w:rsidR="002D720A">
              <w:t> </w:t>
            </w:r>
            <w:r>
              <w:t>Markus Söder, und die Staatsministerin für Wirtschaft und Medien, Ene</w:t>
            </w:r>
            <w:r>
              <w:t>r</w:t>
            </w:r>
            <w:r>
              <w:t>gie und Technologie, Ilse Aigner, (die sich beide offiziell gegen eine Umse</w:t>
            </w:r>
            <w:r>
              <w:t>t</w:t>
            </w:r>
            <w:r>
              <w:t>zung der Projek</w:t>
            </w:r>
            <w:r w:rsidR="002D720A">
              <w:t>te P 44 bzw. P 44</w:t>
            </w:r>
            <w:r>
              <w:t>mod ausgesprochen haben) bisher getro</w:t>
            </w:r>
            <w:r>
              <w:t>f</w:t>
            </w:r>
            <w:r>
              <w:t xml:space="preserve">fen, und welche </w:t>
            </w:r>
            <w:r w:rsidR="002D720A">
              <w:t>Alternativen zur P 44 bzw. P 44</w:t>
            </w:r>
            <w:r>
              <w:t>mod sieht die Staatsregi</w:t>
            </w:r>
            <w:r>
              <w:t>e</w:t>
            </w:r>
            <w:r>
              <w:t>rung?</w:t>
            </w:r>
          </w:p>
          <w:p w:rsidR="00DB3BD0" w:rsidRDefault="00DB3BD0" w:rsidP="00DB3BD0">
            <w:pPr>
              <w:pStyle w:val="LTAnfrageText"/>
            </w:pPr>
          </w:p>
        </w:tc>
      </w:tr>
    </w:tbl>
    <w:p w:rsidR="00DB3BD0" w:rsidRDefault="00DB3BD0" w:rsidP="00DB3BD0">
      <w:pPr>
        <w:pStyle w:val="LTUeberschrAntwortRessort"/>
      </w:pPr>
      <w:r>
        <w:t>Antwort des Staatsministeriums für Wirtschaft und Medien, Energie und Technologie</w:t>
      </w:r>
    </w:p>
    <w:p w:rsidR="00DB3BD0" w:rsidRDefault="00DB3BD0" w:rsidP="00DB3BD0">
      <w:pPr>
        <w:pStyle w:val="LTAntwortRessortText"/>
      </w:pPr>
      <w:r>
        <w:t>Die Staatsregierung hält an ihrem Ziel fest, den Stromnetzausbau auf ein Mindestmaß zu b</w:t>
      </w:r>
      <w:r>
        <w:t>e</w:t>
      </w:r>
      <w:r>
        <w:t>schränken und so verträglich wie möglich für Mensch und Natur zu gestalten.</w:t>
      </w:r>
    </w:p>
    <w:p w:rsidR="00DB3BD0" w:rsidRDefault="00DB3BD0" w:rsidP="00DB3BD0">
      <w:pPr>
        <w:pStyle w:val="LTAntwortRessortText"/>
      </w:pPr>
      <w:r>
        <w:t>Durch den Stromnetzausbau darf keine Region überlastet werden, daher lehnt die Staatsregi</w:t>
      </w:r>
      <w:r>
        <w:t>e</w:t>
      </w:r>
      <w:r>
        <w:t>rung die Projekte P44 und P44mod in ihrer heutigen Ausgestaltung ab. Mit den von der Staat</w:t>
      </w:r>
      <w:r>
        <w:t>s</w:t>
      </w:r>
      <w:r>
        <w:t xml:space="preserve">regierung maßgeblich beeinflussten energiepolitischen Vereinbarungen vom 1. Juli 2015 der Spitzen der Großen Koalition wurde nicht nur die Erdverkabelung der HGÜ-Verbindungen </w:t>
      </w:r>
      <w:r w:rsidR="002D720A">
        <w:t xml:space="preserve">(HGÜ = </w:t>
      </w:r>
      <w:r w:rsidR="002D720A" w:rsidRPr="002D720A">
        <w:t>Hochspannungs-Gleichstrom-Übertragung</w:t>
      </w:r>
      <w:r w:rsidR="002D720A">
        <w:t>)</w:t>
      </w:r>
      <w:r w:rsidR="002D720A" w:rsidRPr="002D720A">
        <w:t xml:space="preserve"> </w:t>
      </w:r>
      <w:r>
        <w:t>Sued</w:t>
      </w:r>
      <w:r w:rsidR="002D720A">
        <w:t>Link und Sued</w:t>
      </w:r>
      <w:r>
        <w:t>OstLink durchgesetzt, sondern auch die Aufnahme des von der Bundesnetzagentur bereits mit dem Netzentwicklungsplan 2024 bestätigten Projekts P44 in das Bundesbedarfsplangesetz Ende 2015 verhindert. Durch die Festlegung des neuen Endpunkts am Netzknoten Isar bei Landshut ist es der Staatsregierung darüber hinaus gelungen, ursprünglich im Raum stehende Trassenvarianten des HGÜ-Korri</w:t>
      </w:r>
      <w:r w:rsidR="003816B6">
        <w:softHyphen/>
      </w:r>
      <w:r>
        <w:t>dors</w:t>
      </w:r>
      <w:r w:rsidR="003816B6">
        <w:t> </w:t>
      </w:r>
      <w:r>
        <w:t xml:space="preserve">D (vormals </w:t>
      </w:r>
      <w:r w:rsidR="00FD4D2F">
        <w:t>„</w:t>
      </w:r>
      <w:r>
        <w:t>Gleichstrompassage Süd-Ost</w:t>
      </w:r>
      <w:r w:rsidR="00FD4D2F">
        <w:t>“</w:t>
      </w:r>
      <w:r>
        <w:t>) quer durch nahezu ganz Bayern und damit auch durch das westliche Oberfranken abzuwenden.</w:t>
      </w:r>
    </w:p>
    <w:p w:rsidR="00DB3BD0" w:rsidRDefault="00DB3BD0" w:rsidP="00DB3BD0">
      <w:pPr>
        <w:pStyle w:val="LTAntwortRessortText"/>
      </w:pPr>
      <w:r>
        <w:t>Die Staatsregierung hat sich auch in der Stellungnahme zum Netzentwicklungsplan 2025 klar gegen den Bau der vorgeschlagenen Projekte P44mod und P44 ausgesprochen. Diese Position gilt unverändert fort und wird gegenüber dem Bund, der Bundesnetzagentur und den Übertr</w:t>
      </w:r>
      <w:r>
        <w:t>a</w:t>
      </w:r>
      <w:r>
        <w:t>gungsnetzbetreibern vertreten.</w:t>
      </w:r>
    </w:p>
    <w:p w:rsidR="00DB3BD0" w:rsidRDefault="002D720A" w:rsidP="00DB3BD0">
      <w:pPr>
        <w:pStyle w:val="LTAntwortRessortText"/>
      </w:pPr>
      <w:r>
        <w:t>A</w:t>
      </w:r>
      <w:r w:rsidR="00DB3BD0">
        <w:t>uch die Landesplanung leistet einen wesentlichen Beitrag für einen möglichst bürgerfreundl</w:t>
      </w:r>
      <w:r w:rsidR="00DB3BD0">
        <w:t>i</w:t>
      </w:r>
      <w:r w:rsidR="00DB3BD0">
        <w:t>chen Netzausbau, insbesondere durch einen neuen Grundsatz im Landesentwicklungspr</w:t>
      </w:r>
      <w:r w:rsidR="00DB3BD0">
        <w:t>o</w:t>
      </w:r>
      <w:r w:rsidR="00DB3BD0">
        <w:t>gramm Bayern (LEP), mit dem grundsätzlich Mindestabstände zwischen Wohngebäuden und neuen Höchstspannungsfreileitungen eingeführt werden.</w:t>
      </w:r>
    </w:p>
    <w:p w:rsidR="00DB3BD0" w:rsidRDefault="00DB3BD0" w:rsidP="00DB3BD0">
      <w:pPr>
        <w:pStyle w:val="LTAntwortRessortText"/>
      </w:pPr>
      <w:r>
        <w:t>Ziel der Staatsregierung ist es, den Automatismus zu durchbrechen, durch den das Voranschre</w:t>
      </w:r>
      <w:r>
        <w:t>i</w:t>
      </w:r>
      <w:r>
        <w:t>ten der Energiewende zu immer höherem Netzausbaubedarf von Norden nach Süden führt. Hierzu wird auf Druck Bayerns in Kürze die Erneuerbare-Energien-Ausführungsverordnung so geändert, dass im Zuge der Umstellung der Förderung der Windenergie auf Ausschreibungen der Windkraftausbau im sogenannten Netzausbaugebiet in Norddeutschland gedeckelt werden kann.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Abgeordneter</w:t>
            </w:r>
            <w:r w:rsidRPr="00DB3BD0">
              <w:br/>
            </w:r>
            <w:r w:rsidRPr="00DB3BD0">
              <w:rPr>
                <w:b/>
              </w:rPr>
              <w:t>Ludwig</w:t>
            </w:r>
            <w:r w:rsidRPr="00DB3BD0">
              <w:rPr>
                <w:b/>
              </w:rPr>
              <w:br/>
              <w:t>Hartmann</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44" w:name="_Toc475001298"/>
            <w:r>
              <w:instrText>Hartmann, Ludwig (BÜNDNIS 90/DIE GRÜNEN)</w:instrText>
            </w:r>
            <w:r>
              <w:br/>
              <w:instrText>Gesicherte elektrische Leistung in Bayern</w:instrText>
            </w:r>
            <w:bookmarkEnd w:id="44"/>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hoch war die gesicherte elektrische Lei</w:t>
            </w:r>
            <w:r>
              <w:t>s</w:t>
            </w:r>
            <w:r>
              <w:t>tung in Bayern im Jahr 2015 und wie wird diese ermittelt?</w:t>
            </w:r>
          </w:p>
          <w:p w:rsidR="00DB3BD0" w:rsidRDefault="00DB3BD0" w:rsidP="00DB3BD0">
            <w:pPr>
              <w:pStyle w:val="LTAnfrageText"/>
            </w:pPr>
          </w:p>
        </w:tc>
      </w:tr>
    </w:tbl>
    <w:p w:rsidR="00DB3BD0" w:rsidRDefault="00DB3BD0" w:rsidP="00E640D1">
      <w:pPr>
        <w:pStyle w:val="LTUeberschrAntwortRessort"/>
        <w:spacing w:before="840"/>
      </w:pPr>
      <w:r>
        <w:t>Antwort des Staatsministeriums für Wirtschaft und Medien, Energie und Technologie</w:t>
      </w:r>
    </w:p>
    <w:p w:rsidR="00DB3BD0" w:rsidRDefault="00DB3BD0" w:rsidP="00DB3BD0">
      <w:pPr>
        <w:pStyle w:val="LTAntwortRessortText"/>
      </w:pPr>
      <w:r>
        <w:t xml:space="preserve">Die gesicherte </w:t>
      </w:r>
      <w:r w:rsidR="003229D5">
        <w:t xml:space="preserve">elektrische </w:t>
      </w:r>
      <w:r>
        <w:t>Leistung ist das Ergebnis einer Wahrscheinlichkeitsbetrachtung in Abhängigkeit von Kraftwerkstyp und eingesetztem Energieträger. Sie gibt an, welche Erze</w:t>
      </w:r>
      <w:r>
        <w:t>u</w:t>
      </w:r>
      <w:r>
        <w:t>gungsleistung als jeder Zeit verfügbar betrachtet werden kann. Je nach Datenquelle und B</w:t>
      </w:r>
      <w:r>
        <w:t>e</w:t>
      </w:r>
      <w:r>
        <w:t>rechnungsansatz variieren die Ergebnisse und bewegen sich für Bayern im Jahr 2015 in einem Be</w:t>
      </w:r>
      <w:r w:rsidR="003229D5">
        <w:t>reich von rund 12,5 Gigawatt</w:t>
      </w:r>
      <w:r>
        <w:t>.</w:t>
      </w:r>
    </w:p>
    <w:p w:rsidR="00E640D1" w:rsidRDefault="00E640D1" w:rsidP="00DB3BD0">
      <w:pPr>
        <w:pStyle w:val="LTAntwortRessortText"/>
      </w:pP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Reinhold</w:t>
            </w:r>
            <w:r w:rsidRPr="00DB3BD0">
              <w:rPr>
                <w:b/>
              </w:rPr>
              <w:br/>
              <w:t>Strobl</w:t>
            </w:r>
            <w:r w:rsidRPr="00DB3BD0">
              <w:rPr>
                <w:b/>
              </w:rPr>
              <w:br/>
            </w:r>
            <w:r w:rsidRPr="00DB3BD0">
              <w:t>(SPD)</w:t>
            </w:r>
            <w:r>
              <w:fldChar w:fldCharType="begin"/>
            </w:r>
            <w:r>
              <w:instrText xml:space="preserve"> TC </w:instrText>
            </w:r>
            <w:r w:rsidR="00FD4D2F">
              <w:instrText>„</w:instrText>
            </w:r>
            <w:bookmarkStart w:id="45" w:name="_Toc475001299"/>
            <w:r>
              <w:instrText>Strobl, Reinhold (SPD)</w:instrText>
            </w:r>
            <w:r>
              <w:br/>
              <w:instrText>10.000 Häuser-Programm</w:instrText>
            </w:r>
            <w:bookmarkEnd w:id="45"/>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Vor dem erfreulich</w:t>
            </w:r>
            <w:r w:rsidR="003816B6">
              <w:t>en Hintergrund, dass das 10.000-</w:t>
            </w:r>
            <w:r>
              <w:t>Häuser-Programm von Bauherren seit dem Start im September 2015 stark nachgefragt wird, die Anzahl der Anträge die Erwartungen stark übertroffen hat, so dass der akt</w:t>
            </w:r>
            <w:r>
              <w:t>u</w:t>
            </w:r>
            <w:r>
              <w:t>ell mögliche Förderrahmen bereits erreicht ist und das Programm vorübe</w:t>
            </w:r>
            <w:r>
              <w:t>r</w:t>
            </w:r>
            <w:r>
              <w:t>gehend geschlossen werden musste, obwohl das Staatsministerium für Wir</w:t>
            </w:r>
            <w:r>
              <w:t>t</w:t>
            </w:r>
            <w:r>
              <w:t>schaft und Medien, Energie und Technologie dieses Förderprogramm bis Ende 2018 aufgelegt hat, frage ich die Staatsregierung, wann mit einer For</w:t>
            </w:r>
            <w:r>
              <w:t>t</w:t>
            </w:r>
            <w:r>
              <w:t xml:space="preserve">setzung dieses Förderprogramms sowohl für den Förderprogrammteil </w:t>
            </w:r>
            <w:r w:rsidR="00FD4D2F">
              <w:t>„</w:t>
            </w:r>
            <w:r>
              <w:t>Ene</w:t>
            </w:r>
            <w:r>
              <w:t>r</w:t>
            </w:r>
            <w:r>
              <w:t>gieSystemHaus</w:t>
            </w:r>
            <w:r w:rsidR="00FD4D2F">
              <w:t>“</w:t>
            </w:r>
            <w:r>
              <w:t xml:space="preserve">, als auch für den </w:t>
            </w:r>
            <w:r w:rsidR="00FD4D2F">
              <w:t>„</w:t>
            </w:r>
            <w:r>
              <w:t>Heizungstausch</w:t>
            </w:r>
            <w:r w:rsidR="00FD4D2F">
              <w:t>“</w:t>
            </w:r>
            <w:r>
              <w:t xml:space="preserve"> zu rechnen ist?</w:t>
            </w:r>
          </w:p>
          <w:p w:rsidR="00DB3BD0" w:rsidRDefault="00DB3BD0" w:rsidP="00DB3BD0">
            <w:pPr>
              <w:pStyle w:val="LTAnfrageText"/>
            </w:pPr>
          </w:p>
        </w:tc>
      </w:tr>
    </w:tbl>
    <w:p w:rsidR="00DB3BD0" w:rsidRDefault="00DB3BD0" w:rsidP="00DB3BD0">
      <w:pPr>
        <w:pStyle w:val="LTUeberschrAntwortRessort"/>
      </w:pPr>
      <w:r>
        <w:t>Antwort des Staatsministeriums für Wirtschaft und Medien, Energie und Technologie</w:t>
      </w:r>
    </w:p>
    <w:p w:rsidR="00DB3BD0" w:rsidRDefault="00DB3BD0" w:rsidP="00DB3BD0">
      <w:pPr>
        <w:pStyle w:val="LTAntwortRessortText"/>
      </w:pPr>
      <w:r>
        <w:t>Das Programm hat bereits unmittelbar nach seinem Start eine erfreulich große Resonanz erfa</w:t>
      </w:r>
      <w:r>
        <w:t>h</w:t>
      </w:r>
      <w:r>
        <w:t>ren. Aus haushaltsrechtlichen Gründen war deshalb ein vorübergehender Antragstopp erforde</w:t>
      </w:r>
      <w:r>
        <w:t>r</w:t>
      </w:r>
      <w:r>
        <w:t>lich. Das Programm soll zeitnah fortgesetzt werden. Dabei sollen die beiden Programmteile zei</w:t>
      </w:r>
      <w:r>
        <w:t>t</w:t>
      </w:r>
      <w:r>
        <w:t>gleich wieder gestartet werden. Die hierzu notwendigen Abstimmungsgespräche finden statt.</w:t>
      </w:r>
    </w:p>
    <w:p w:rsidR="00DB3BD0" w:rsidRDefault="00DB3BD0" w:rsidP="00DB3BD0">
      <w:pPr>
        <w:pStyle w:val="LTAntwortRessortText"/>
      </w:pPr>
      <w:r>
        <w:t xml:space="preserve">Im Anschluss daran </w:t>
      </w:r>
      <w:r w:rsidR="003816B6">
        <w:t>wird das Staatsministerium für Wirtschaft und Medien, Energie und Techn</w:t>
      </w:r>
      <w:r w:rsidR="003816B6">
        <w:t>o</w:t>
      </w:r>
      <w:r w:rsidR="003816B6">
        <w:t>logie</w:t>
      </w:r>
      <w:r>
        <w:t xml:space="preserve"> interessierte Bürgerinnen und Bürger über die Homepage </w:t>
      </w:r>
      <w:hyperlink r:id="rId19" w:history="1">
        <w:r w:rsidR="003229D5" w:rsidRPr="003B6D83">
          <w:rPr>
            <w:rStyle w:val="Hyperlink"/>
          </w:rPr>
          <w:t>www.EnergieBonus.Bayern</w:t>
        </w:r>
      </w:hyperlink>
      <w:r w:rsidR="003229D5">
        <w:t xml:space="preserve"> </w:t>
      </w:r>
      <w:r>
        <w:t>über die Wiederöffnung und mit einer konkreten Terminangabe informieren.</w:t>
      </w:r>
    </w:p>
    <w:p w:rsidR="00DB3BD0" w:rsidRDefault="00DB3BD0" w:rsidP="00DB3BD0">
      <w:pPr>
        <w:pStyle w:val="LTUeberschrRessort"/>
      </w:pPr>
      <w:r>
        <w:lastRenderedPageBreak/>
        <w:t>Geschäftsbereich des Staatsministeriums für Umwelt und Verbraucherschutz</w:t>
      </w:r>
      <w:r>
        <w:fldChar w:fldCharType="begin"/>
      </w:r>
      <w:r>
        <w:instrText xml:space="preserve"> TC </w:instrText>
      </w:r>
      <w:r w:rsidR="00FD4D2F">
        <w:instrText>„</w:instrText>
      </w:r>
      <w:bookmarkStart w:id="46" w:name="_Toc475001300"/>
      <w:r>
        <w:instrText>Geschäftsbereich des Staatsministeriums für Umwelt und Verbraucherschutz</w:instrText>
      </w:r>
      <w:bookmarkEnd w:id="46"/>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Dr. Leopold</w:t>
            </w:r>
            <w:r w:rsidRPr="00DB3BD0">
              <w:rPr>
                <w:b/>
              </w:rPr>
              <w:br/>
              <w:t>Herz</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47" w:name="_Toc475001301"/>
            <w:r>
              <w:instrText>Dr. Herz, Leopold (FREIE WÄHLER)</w:instrText>
            </w:r>
            <w:r>
              <w:br/>
              <w:instrText>Einschätzung der Gefahr für die Westliche Honigbiene durch die Varroamilbe Varroa jacobsoni</w:instrText>
            </w:r>
            <w:bookmarkEnd w:id="47"/>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die zweite Varroa-Milbenart Varroa jacobsoni bislang nur in der Lage gewesen ist, sich auf der Östlichen Honigbiene zu vermehren, nach aktuellen Forschungsergebnissen jedoch den Wirtswechsel hin zur Westl</w:t>
            </w:r>
            <w:r>
              <w:t>i</w:t>
            </w:r>
            <w:r>
              <w:t xml:space="preserve">chen Honigbiene geschafft hat, frage ich die Staatsregierung, wie sie die Gefahr einschätzt, die von der zweiten Art der asiatischen Varroamilbe (Varroa jacobsoni) ausgeht, die aktuell noch nicht in Europa angekommen ist, jedoch über den Handel hierher gelangen könnte </w:t>
            </w:r>
            <w:r w:rsidR="003229D5">
              <w:t>–</w:t>
            </w:r>
            <w:r>
              <w:t xml:space="preserve"> so wie es bereits vor rund 60 Jahren mit der aus Asien nach Europa eingeschleppten Varroa d</w:t>
            </w:r>
            <w:r>
              <w:t>e</w:t>
            </w:r>
            <w:r>
              <w:t xml:space="preserve">structor geschehen ist </w:t>
            </w:r>
            <w:r w:rsidR="003229D5">
              <w:t>–</w:t>
            </w:r>
            <w:r>
              <w:t>, welche Gegenmaßnahmen sich einleiten ließen, um eine Verbreitung der Varroa jacobsoni in Europa zu verhindern bzw. möglichst gering zu halten, und ob es in Bayern eventuell schon Bestrebu</w:t>
            </w:r>
            <w:r>
              <w:t>n</w:t>
            </w:r>
            <w:r>
              <w:t>gen und Vorbereitungen gibt, sich vor der Gefahr einer Einschleppung und Ausbreitung der Varroa-Art zu schützen?</w:t>
            </w:r>
          </w:p>
          <w:p w:rsidR="00DB3BD0" w:rsidRDefault="00DB3BD0" w:rsidP="00DB3BD0">
            <w:pPr>
              <w:pStyle w:val="LTAnfrageText"/>
            </w:pPr>
          </w:p>
        </w:tc>
      </w:tr>
    </w:tbl>
    <w:p w:rsidR="00DB3BD0" w:rsidRDefault="00DB3BD0" w:rsidP="00DB3BD0">
      <w:pPr>
        <w:pStyle w:val="LTUeberschrAntwortRessort"/>
      </w:pPr>
      <w:r>
        <w:t>Antwort des Staatsministeriums für Umwelt und Verbraucherschutz</w:t>
      </w:r>
    </w:p>
    <w:p w:rsidR="00DB3BD0" w:rsidRDefault="00DB3BD0" w:rsidP="00DB3BD0">
      <w:pPr>
        <w:pStyle w:val="LTAntwortRessortText"/>
      </w:pPr>
      <w:r>
        <w:t>Nach Einschätzung des Fachzentrums Bienen der Bayerischen Landesanstalt für Weinbau und Gartenbau hat die zweite Varroa-Milbenart Varroa jacobsoni offensichtlich erst vor wenigen Ja</w:t>
      </w:r>
      <w:r>
        <w:t>h</w:t>
      </w:r>
      <w:r>
        <w:t>ren den Wirtswechsel von ihrem ursprünglichen Wirt, der östlichen Honigbiene (Apis cerana) auf den neuen Wirt, die westliche Honigbiene (Apis mellifera) vollzogen (erstmalig festgestellt im Jahr 2008). Die bisherigen Funde von Varroa jacobsoni mit Vermehrung in Apis mellifera-Brut sind auf Papua Neuguinea beschränkt. Derzeit kann die Virulenz von Varro</w:t>
      </w:r>
      <w:r w:rsidR="007D041E">
        <w:t>a jacobsoni in Apis mellifera-</w:t>
      </w:r>
      <w:r>
        <w:t>Völkern noch nicht eindeutig eingeschätzt werden. Völkerzusammenbrüche auf Papua Neuguinea der letzten Jahre werden aber mit dem neuen Wirt in Verbindung gebracht. Da Varroa jacobsoni sich in Apis mellifera-Völkern sowohl in Drohnenbrut als auch in Arbeiterinne</w:t>
      </w:r>
      <w:r>
        <w:t>n</w:t>
      </w:r>
      <w:r>
        <w:t>brut vermehren kann (im Gegensatz zur Vermehrung bei Apis cerana, wo Vermehrung nur in Drohnenbrut stattfindet), ist von einem ähnlichen Schadenspotenzial auszugehen wie von Varroa destructor.</w:t>
      </w:r>
    </w:p>
    <w:p w:rsidR="00DB3BD0" w:rsidRDefault="00DB3BD0" w:rsidP="00DB3BD0">
      <w:pPr>
        <w:pStyle w:val="LTAntwortRessortText"/>
      </w:pPr>
      <w:r>
        <w:t>Das Fachzentrum Bienen und der Bienengesundheitsdienst des Tiergesundheitsdienstes Ba</w:t>
      </w:r>
      <w:r>
        <w:t>y</w:t>
      </w:r>
      <w:r>
        <w:t>ern werden die weitere Entwicklung aufmerksam beobachten, um eine Einschleppung dieser Milbenart zu verhindern.</w:t>
      </w:r>
    </w:p>
    <w:p w:rsidR="00DB3BD0" w:rsidRDefault="00DB3BD0" w:rsidP="00DB3BD0">
      <w:pPr>
        <w:pStyle w:val="LTAntwortRessortText"/>
      </w:pPr>
      <w:r>
        <w:t>Die Einfuhr von Bienen- und Hummelköniginnen der Art Apis mellifera und Bombus spp. mit B</w:t>
      </w:r>
      <w:r>
        <w:t>e</w:t>
      </w:r>
      <w:r>
        <w:t>gleitbienen unterliegt unionsrechtlichen Bestimmungen. Diese Sendungen dürfen nur aus sog</w:t>
      </w:r>
      <w:r>
        <w:t>e</w:t>
      </w:r>
      <w:r>
        <w:t>nannten gelisteten Drittländern und Gebieten in die Europäische Union eingeführt werden, in denen das Auftreten bes</w:t>
      </w:r>
      <w:r w:rsidR="007D041E">
        <w:t>timmter Bienenkrankheiten</w:t>
      </w:r>
      <w:r w:rsidR="003C104D">
        <w:t>,</w:t>
      </w:r>
      <w:r w:rsidR="007D041E">
        <w:t xml:space="preserve"> wie z</w:t>
      </w:r>
      <w:r>
        <w:t xml:space="preserve"> B. der bösartigen Faulbrut oder des Kleinen Bienenbeutekäfers</w:t>
      </w:r>
      <w:r w:rsidR="003C104D">
        <w:t>,</w:t>
      </w:r>
      <w:r>
        <w:t xml:space="preserve"> anzeigepflichtig ist. Sie müssen dabei von einer vorgeschriebenen Tiergesundheitsbescheinigung begleitet werden, die von einem amtlichen Kontrolleur des Au</w:t>
      </w:r>
      <w:r>
        <w:t>s</w:t>
      </w:r>
      <w:r>
        <w:t>fuhrdrittlandes ausgefüllt und unterzeichnet wurde.</w:t>
      </w:r>
    </w:p>
    <w:p w:rsidR="00DB3BD0" w:rsidRDefault="00DB3BD0" w:rsidP="00DB3BD0">
      <w:pPr>
        <w:pStyle w:val="LTAntwortRessortText"/>
      </w:pPr>
      <w:r>
        <w:t>Die Einfuhr in die Europäische Union ist nur über zugelassene Grenzkontrollstellen zulässig. Dort werden im Rahmen der Einfuhruntersuchung eine Dokumentenprüfung, eine Nämlichkeit</w:t>
      </w:r>
      <w:r>
        <w:t>s</w:t>
      </w:r>
      <w:r>
        <w:t>kontrolle sowie eine physische Untersuchung durchgeführt. Papua Neuguinea ist derzeit nicht als Drittland gelistet. Die Einfuhr von Bienen aus diesem Land ist somit nicht zulässig.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Abgeordneter</w:t>
            </w:r>
            <w:r w:rsidRPr="00DB3BD0">
              <w:br/>
            </w:r>
            <w:r w:rsidRPr="00DB3BD0">
              <w:rPr>
                <w:b/>
              </w:rPr>
              <w:t>Nikolaus</w:t>
            </w:r>
            <w:r w:rsidRPr="00DB3BD0">
              <w:rPr>
                <w:b/>
              </w:rPr>
              <w:br/>
              <w:t>Kraus</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48" w:name="_Toc475001302"/>
            <w:r>
              <w:instrText>Kraus, Nikolaus (FREIE WÄHLER)</w:instrText>
            </w:r>
            <w:r>
              <w:br/>
              <w:instrText>Rechtliche Regelungen bei Herdenschutzhunden und Hütehunden</w:instrText>
            </w:r>
            <w:bookmarkEnd w:id="48"/>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welche</w:t>
            </w:r>
            <w:r w:rsidR="00FD4D2F">
              <w:t xml:space="preserve"> </w:t>
            </w:r>
            <w:r>
              <w:t>gesetzlichen Regelungen gibt es b</w:t>
            </w:r>
            <w:r>
              <w:t>e</w:t>
            </w:r>
            <w:r>
              <w:t>treffend der Haltung von Herdenschutzhunden und Hütehunden, kann es</w:t>
            </w:r>
            <w:r w:rsidR="00FD4D2F">
              <w:t xml:space="preserve"> </w:t>
            </w:r>
            <w:r>
              <w:t>aktuell zu Cross Compliance-Verstößen kommen, da diese Tiere in landwir</w:t>
            </w:r>
            <w:r>
              <w:t>t</w:t>
            </w:r>
            <w:r>
              <w:t>schaftlichen Betrieben</w:t>
            </w:r>
            <w:r w:rsidR="00FD4D2F">
              <w:t xml:space="preserve"> </w:t>
            </w:r>
            <w:r>
              <w:t>immer bei der zu beschützenden bzw. behütenden</w:t>
            </w:r>
            <w:r w:rsidR="00FD4D2F">
              <w:t xml:space="preserve"> </w:t>
            </w:r>
            <w:r>
              <w:t>Herde, also auch auf dem Feld und im Stall gehalten werden und ist es mö</w:t>
            </w:r>
            <w:r>
              <w:t>g</w:t>
            </w:r>
            <w:r>
              <w:t>lich bzw. geplant, eine Förderung für Herdenschutzhunde einzuführen, wie es in Brandenburg bereits der Fall ist?</w:t>
            </w:r>
          </w:p>
          <w:p w:rsidR="00DB3BD0" w:rsidRDefault="00DB3BD0" w:rsidP="00DB3BD0">
            <w:pPr>
              <w:pStyle w:val="LTAnfrageText"/>
            </w:pPr>
          </w:p>
        </w:tc>
      </w:tr>
    </w:tbl>
    <w:p w:rsidR="00DB3BD0" w:rsidRDefault="00DB3BD0" w:rsidP="00DB3BD0">
      <w:pPr>
        <w:pStyle w:val="LTUeberschrAntwortRessort"/>
      </w:pPr>
      <w:r>
        <w:t>Antwort des Staatsministeriums für Umwelt und Verbraucherschutz</w:t>
      </w:r>
    </w:p>
    <w:p w:rsidR="00DB3BD0" w:rsidRDefault="00DB3BD0" w:rsidP="00DB3BD0">
      <w:pPr>
        <w:pStyle w:val="LTAntwortRessortText"/>
      </w:pPr>
      <w:r>
        <w:t xml:space="preserve">Die Anforderungen an das Halten von Hunden im Freien sind in </w:t>
      </w:r>
      <w:r w:rsidR="003C104D">
        <w:t xml:space="preserve">§ 4 </w:t>
      </w:r>
      <w:r>
        <w:t xml:space="preserve">der Tierschutz-Hundeverordnung </w:t>
      </w:r>
      <w:r w:rsidR="003C104D">
        <w:t>(TierSchHu</w:t>
      </w:r>
      <w:r w:rsidR="007D041E">
        <w:t xml:space="preserve">V) </w:t>
      </w:r>
      <w:r>
        <w:t>des B</w:t>
      </w:r>
      <w:r w:rsidR="007D041E">
        <w:t>undesministeriums für Ernährung und Landwirtschaft</w:t>
      </w:r>
      <w:r>
        <w:t xml:space="preserve"> vom 2. Mai 2001 geregelt. Danach muss der Halter dafür sorgen, dass dem Hund eine Schutzhütte und außerhalb der Schutzhütte ein witterungsgeschützter, schattiger Liegeplatz mit wärmeg</w:t>
      </w:r>
      <w:r>
        <w:t>e</w:t>
      </w:r>
      <w:r>
        <w:t>dämmtem Boden zur Verfügung stehen. Während der Tätigkeiten, für die ein Hund ausgebildet wurde oder wird, hat die Betreuungsperson dafür zu sorgen, dass dem Hund während der R</w:t>
      </w:r>
      <w:r>
        <w:t>u</w:t>
      </w:r>
      <w:r>
        <w:t>hezeiten ein witterungsgeschützter und wärmegedämmter Liegeplatz zur Verfügung steht.</w:t>
      </w:r>
    </w:p>
    <w:p w:rsidR="00DB3BD0" w:rsidRDefault="00DB3BD0" w:rsidP="00DB3BD0">
      <w:pPr>
        <w:pStyle w:val="LTAntwortRessortText"/>
      </w:pPr>
      <w:r>
        <w:t>Außerdem sind auch die allgemeinen Anforderungen dieser Verordnung an die Hundehaltung wie ausreichender Umgang mit der Betreuungsperson, jederzeit Zugang zu Wasser, Versorgung mit artgemäßem Futter, regelmäßige Pflege und Gesundheitsvorsorge zu beachten.</w:t>
      </w:r>
    </w:p>
    <w:p w:rsidR="00DB3BD0" w:rsidRDefault="00DB3BD0" w:rsidP="00DB3BD0">
      <w:pPr>
        <w:pStyle w:val="LTAntwortRessortText"/>
      </w:pPr>
      <w:r>
        <w:t>Die Haltung von Herdenschutzhunden und Hütehunden unterliegt nicht den Cross Compliance</w:t>
      </w:r>
      <w:r w:rsidR="007D041E">
        <w:t>-</w:t>
      </w:r>
      <w:r>
        <w:t>Regelungen.</w:t>
      </w:r>
    </w:p>
    <w:p w:rsidR="00DB3BD0" w:rsidRDefault="00DB3BD0" w:rsidP="00DB3BD0">
      <w:pPr>
        <w:pStyle w:val="LTAntwortRessortText"/>
      </w:pPr>
      <w:r>
        <w:t xml:space="preserve">Aktuell können im Rahmen des Bayerischen Wildtiermanagements durch den Präventionsfonds des </w:t>
      </w:r>
      <w:r w:rsidR="007D041E">
        <w:t>Staatsministeriums für Umwelt und Verbraucherschutz</w:t>
      </w:r>
      <w:r>
        <w:t xml:space="preserve"> in Kooperation mit dem </w:t>
      </w:r>
      <w:r w:rsidR="007D041E">
        <w:t>Staatsmini</w:t>
      </w:r>
      <w:r w:rsidR="007D041E">
        <w:t>s</w:t>
      </w:r>
      <w:r w:rsidR="007D041E">
        <w:t xml:space="preserve">terium für Ernährung, Landwirtschaft und Forsten </w:t>
      </w:r>
      <w:r>
        <w:t>Präventionsmaßnahmen im Bereich des He</w:t>
      </w:r>
      <w:r>
        <w:t>r</w:t>
      </w:r>
      <w:r>
        <w:t xml:space="preserve">denschutzes erprobt werden. Im Rahmen dieses Präventionsfonds werden auch Themen zum Herdenschutz, wie </w:t>
      </w:r>
      <w:r w:rsidR="003C104D">
        <w:t xml:space="preserve">z.B. </w:t>
      </w:r>
      <w:r>
        <w:t>die Integration von Herdenschutzhunden in Nutztierherden, unterstützt, vermittelt und durchgeführt. Mit Unterstützung des Präventionsfonds können in Regionen mit Wolfsanwesenheit Präventionsmaßnahmen mit Herdenschutzhunden im Rahmen von Pilotpr</w:t>
      </w:r>
      <w:r>
        <w:t>o</w:t>
      </w:r>
      <w:r>
        <w:t>jekten umgesetzt werden. Ein Förderprogramm zum Herdenschutz befindet sich in Vorbereitung.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2"/>
        <w:gridCol w:w="7037"/>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Florian</w:t>
            </w:r>
            <w:r w:rsidRPr="00DB3BD0">
              <w:rPr>
                <w:b/>
              </w:rPr>
              <w:br/>
              <w:t>Streibl</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49" w:name="_Toc475001303"/>
            <w:r>
              <w:instrText>Streibl, Florian (FREIE WÄHLER)</w:instrText>
            </w:r>
            <w:r>
              <w:br/>
              <w:instrText>Abgrenzung Wildbach - Gewässer 3. Ordnung</w:instrText>
            </w:r>
            <w:bookmarkEnd w:id="49"/>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Wildbäche definiert sind als oberirdische Gewässer mit zumindest streckenweise großem Gefälle, rasch und stark wechselndem Abfluss und zeitweise hoher Feststoffführung, frage ich die Staatsregierung, aus welchen Gründen das Gewässer Brucklaine am Hechendorfer Berg bei Grafenaschau am 29.November 2016 vom Wildbach in ein Gewässer 3. Ordnung umg</w:t>
            </w:r>
            <w:r>
              <w:t>e</w:t>
            </w:r>
            <w:r>
              <w:t>widmet wurde?</w:t>
            </w:r>
          </w:p>
          <w:p w:rsidR="00DB3BD0" w:rsidRDefault="00DB3BD0" w:rsidP="00DB3BD0">
            <w:pPr>
              <w:pStyle w:val="LTAnfrageText"/>
            </w:pPr>
          </w:p>
        </w:tc>
      </w:tr>
    </w:tbl>
    <w:p w:rsidR="00DB3BD0" w:rsidRDefault="00DB3BD0" w:rsidP="00DB3BD0">
      <w:pPr>
        <w:pStyle w:val="LTUeberschrAntwortRessort"/>
      </w:pPr>
      <w:r>
        <w:lastRenderedPageBreak/>
        <w:t>Antwort des Staatsministeriums für Umwelt und Verbraucherschutz</w:t>
      </w:r>
    </w:p>
    <w:p w:rsidR="00DB3BD0" w:rsidRDefault="00DB3BD0" w:rsidP="00DB3BD0">
      <w:pPr>
        <w:pStyle w:val="LTAntwortRessortText"/>
      </w:pPr>
      <w:r>
        <w:t>Die Brucklaine war vor der Rutschung am Hechendorfer Berg ein Wildbach. Durch die Ru</w:t>
      </w:r>
      <w:r>
        <w:t>t</w:t>
      </w:r>
      <w:r>
        <w:t xml:space="preserve">schung hat die Brucklaine einen Großteil ihres Einzugsgebietes verloren und damit auch ihren wildbachtypischen Charakter (stark wechselnde Abflüsse, Geschiebe etc.). Infolgedessen wurde in Abstimmung mit der Gemeinde Schwaigen vereinbart, dass die Brucklaine im Unterlauf als Gewässer </w:t>
      </w:r>
      <w:r w:rsidR="00115803">
        <w:t>3</w:t>
      </w:r>
      <w:r>
        <w:t>. Ord</w:t>
      </w:r>
      <w:r w:rsidR="00115803">
        <w:t>n</w:t>
      </w:r>
      <w:r>
        <w:t>ung klassifiziert wird. Die Gemeinde hat damit die Möglichkeit unverzüglich und mit einer 75</w:t>
      </w:r>
      <w:r w:rsidR="00115803">
        <w:t>-p</w:t>
      </w:r>
      <w:r w:rsidR="00FD4D2F">
        <w:t>rozent</w:t>
      </w:r>
      <w:r>
        <w:t>igen Förderung Planungsarbeiten für die Sicherung der Gemeindeve</w:t>
      </w:r>
      <w:r>
        <w:t>r</w:t>
      </w:r>
      <w:r>
        <w:t>bindungsstraße in Auftrag geben zu können.</w:t>
      </w:r>
    </w:p>
    <w:p w:rsidR="00DB3BD0" w:rsidRDefault="00DB3BD0" w:rsidP="00DB3BD0">
      <w:pPr>
        <w:pStyle w:val="LTAntwortRessortText"/>
      </w:pPr>
      <w:r>
        <w:t>Maßnahmen gegen Schäden durch die Rutschung werden mit der Gemeinde besprochen.</w:t>
      </w: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Benno</w:t>
            </w:r>
            <w:r w:rsidRPr="00DB3BD0">
              <w:rPr>
                <w:b/>
              </w:rPr>
              <w:br/>
              <w:t>Zierer</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50" w:name="_Toc475001304"/>
            <w:r>
              <w:instrText>Zierer, Benno (FREIE WÄHLER)</w:instrText>
            </w:r>
            <w:r>
              <w:br/>
              <w:instrText>Neubau der Reptilienauffangstation: Finanzielle Unterstützung durch den Bund und andere Bundesländer</w:instrText>
            </w:r>
            <w:bookmarkEnd w:id="50"/>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ob das Bundesministerium der Finanzen s</w:t>
            </w:r>
            <w:r>
              <w:t>o</w:t>
            </w:r>
            <w:r>
              <w:t xml:space="preserve">wie die Länder Baden-Württemberg, Hessen, Thüringen und Sachsen </w:t>
            </w:r>
            <w:r w:rsidR="00115803">
              <w:t>–</w:t>
            </w:r>
            <w:r>
              <w:t xml:space="preserve"> wie von der Staatsregierung mit Schreiben vom 12. September 2016 angefragt </w:t>
            </w:r>
            <w:r w:rsidR="00115803">
              <w:t xml:space="preserve">– </w:t>
            </w:r>
            <w:r>
              <w:t>bereit sind, sich finanziell an einem Neubau der Auffangstation für Reptilien München zu beteiligen und wenn ja, in welcher Höhe?</w:t>
            </w:r>
          </w:p>
          <w:p w:rsidR="00DB3BD0" w:rsidRDefault="00DB3BD0" w:rsidP="00DB3BD0">
            <w:pPr>
              <w:pStyle w:val="LTAnfrageText"/>
            </w:pPr>
          </w:p>
        </w:tc>
      </w:tr>
    </w:tbl>
    <w:p w:rsidR="00DB3BD0" w:rsidRDefault="00DB3BD0" w:rsidP="00E640D1">
      <w:pPr>
        <w:pStyle w:val="LTUeberschrAntwortRessort"/>
        <w:spacing w:before="840"/>
      </w:pPr>
      <w:r>
        <w:t>Antwort des Staatsministeriums für Umwelt und Verbraucherschutz</w:t>
      </w:r>
    </w:p>
    <w:p w:rsidR="00DB3BD0" w:rsidRDefault="00DB3BD0" w:rsidP="00DB3BD0">
      <w:pPr>
        <w:pStyle w:val="LTAntwortRessortText"/>
      </w:pPr>
      <w:r>
        <w:t>Das Bundesministerium für Finanzen sowie die Länder Baden-Württemberg, Hessen und Th</w:t>
      </w:r>
      <w:r>
        <w:t>ü</w:t>
      </w:r>
      <w:r>
        <w:t>ringen lehnen es aus verschiedenen Gründen ab, sich finanziell an einem Neubau der Au</w:t>
      </w:r>
      <w:r>
        <w:t>f</w:t>
      </w:r>
      <w:r>
        <w:t>fangstation für Reptilien München zu beteiligen. Sachsen hat eine Beteiligung nicht von vorn</w:t>
      </w:r>
      <w:r>
        <w:t>e</w:t>
      </w:r>
      <w:r>
        <w:t xml:space="preserve">herein abgelehnt, </w:t>
      </w:r>
      <w:r w:rsidR="00FD4D2F">
        <w:t>„</w:t>
      </w:r>
      <w:r>
        <w:t>wenn diese Auffangstation für den süd- und mitteldeutschen Raum ausg</w:t>
      </w:r>
      <w:r>
        <w:t>e</w:t>
      </w:r>
      <w:r>
        <w:t>baut würde</w:t>
      </w:r>
      <w:r w:rsidR="00FD4D2F">
        <w:t>“</w:t>
      </w:r>
      <w:r>
        <w:t>; konkrete Aussagen zur Höhe einer evtl. finanziellen Beteiligung wurden nicht g</w:t>
      </w:r>
      <w:r>
        <w:t>e</w:t>
      </w:r>
      <w:r>
        <w:t>troffen.</w:t>
      </w:r>
    </w:p>
    <w:p w:rsidR="00E640D1" w:rsidRDefault="00E640D1">
      <w:pPr>
        <w:rPr>
          <w:rFonts w:cs="Arial"/>
          <w:b/>
          <w:sz w:val="22"/>
          <w:szCs w:val="22"/>
        </w:rPr>
      </w:pPr>
      <w:r>
        <w:br w:type="page"/>
      </w:r>
    </w:p>
    <w:p w:rsidR="00DB3BD0" w:rsidRDefault="00DB3BD0" w:rsidP="00DB3BD0">
      <w:pPr>
        <w:pStyle w:val="LTUeberschrRessort"/>
      </w:pPr>
      <w:r>
        <w:lastRenderedPageBreak/>
        <w:t>Geschäftsbereich des Staatsministeriums für Ernährung, Landwirtschaft und For</w:t>
      </w:r>
      <w:r>
        <w:t>s</w:t>
      </w:r>
      <w:r>
        <w:t>ten</w:t>
      </w:r>
      <w:r>
        <w:fldChar w:fldCharType="begin"/>
      </w:r>
      <w:r>
        <w:instrText xml:space="preserve"> TC </w:instrText>
      </w:r>
      <w:r w:rsidR="00FD4D2F">
        <w:instrText>„</w:instrText>
      </w:r>
      <w:bookmarkStart w:id="51" w:name="_Toc475001305"/>
      <w:r>
        <w:instrText>Geschäftsbereich des Staatsministeriums für Ernährung, Landwirtschaft und Forsten</w:instrText>
      </w:r>
      <w:bookmarkEnd w:id="51"/>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Horst</w:t>
            </w:r>
            <w:r w:rsidRPr="00DB3BD0">
              <w:rPr>
                <w:b/>
              </w:rPr>
              <w:br/>
              <w:t>Arnold</w:t>
            </w:r>
            <w:r w:rsidRPr="00DB3BD0">
              <w:rPr>
                <w:b/>
              </w:rPr>
              <w:br/>
            </w:r>
            <w:r w:rsidRPr="00DB3BD0">
              <w:t>(SPD)</w:t>
            </w:r>
            <w:r>
              <w:fldChar w:fldCharType="begin"/>
            </w:r>
            <w:r>
              <w:instrText xml:space="preserve"> TC </w:instrText>
            </w:r>
            <w:r w:rsidR="00FD4D2F">
              <w:instrText>„</w:instrText>
            </w:r>
            <w:bookmarkStart w:id="52" w:name="_Toc475001306"/>
            <w:r>
              <w:instrText>Arnold, Horst (SPD)</w:instrText>
            </w:r>
            <w:r>
              <w:br/>
              <w:instrText>Informationskampagne des Bundesministeriums für Ernährung und Landwirtschaft zum Wasserverbrauch in Bayern</w:instrText>
            </w:r>
            <w:bookmarkEnd w:id="52"/>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teilt sie die Aussage des Bundesministeriums für Ernährung und Landwirtschaft, dass 99 Prozent des bilanzierten Wasse</w:t>
            </w:r>
            <w:r>
              <w:t>r</w:t>
            </w:r>
            <w:r>
              <w:t xml:space="preserve">verbrauchs auf den Anbau von Futterpflanzen entfallen würden (z.B. für ein Kilogramm Steak 15.000 Liter Wasser gemäß Plakat auf der </w:t>
            </w:r>
            <w:r w:rsidR="00FD4D2F">
              <w:t>„</w:t>
            </w:r>
            <w:r>
              <w:t>Grünen W</w:t>
            </w:r>
            <w:r>
              <w:t>o</w:t>
            </w:r>
            <w:r>
              <w:t>che</w:t>
            </w:r>
            <w:r w:rsidR="00FD4D2F">
              <w:t>“</w:t>
            </w:r>
            <w:r>
              <w:t xml:space="preserve"> (siehe </w:t>
            </w:r>
            <w:r w:rsidR="00FD4D2F">
              <w:t>„</w:t>
            </w:r>
            <w:r>
              <w:t>Bayerisches Landwirtschaftliches Wochenblatt</w:t>
            </w:r>
            <w:r w:rsidR="00FD4D2F">
              <w:t>“</w:t>
            </w:r>
            <w:r>
              <w:t xml:space="preserve"> vom 3. Febr</w:t>
            </w:r>
            <w:r>
              <w:t>u</w:t>
            </w:r>
            <w:r>
              <w:t>ar</w:t>
            </w:r>
            <w:r w:rsidR="00115803">
              <w:t> </w:t>
            </w:r>
            <w:r>
              <w:t>2017, S. 18) und trifft diese Aussage auch für Bayern zu?</w:t>
            </w:r>
          </w:p>
          <w:p w:rsidR="00DB3BD0" w:rsidRDefault="00DB3BD0" w:rsidP="00DB3BD0">
            <w:pPr>
              <w:pStyle w:val="LTAnfrageText"/>
            </w:pPr>
          </w:p>
        </w:tc>
      </w:tr>
    </w:tbl>
    <w:p w:rsidR="00DB3BD0" w:rsidRDefault="00DB3BD0" w:rsidP="00DB3BD0">
      <w:pPr>
        <w:pStyle w:val="LTUeberschrAntwortRessort"/>
      </w:pPr>
      <w:r>
        <w:t>Antwort des Staatsministeriums für Ernährung, Landwirtschaft und Forsten</w:t>
      </w:r>
    </w:p>
    <w:p w:rsidR="00DB3BD0" w:rsidRDefault="00DB3BD0" w:rsidP="00DB3BD0">
      <w:pPr>
        <w:pStyle w:val="LTAntwortRessortText"/>
      </w:pPr>
      <w:r>
        <w:t>Es ist bekannt, dass zum Wachstum von Grünfutterpflanzen, insbesondere Grünland, eine hohe Wassermenge, insbesondere über Verdunstung, umgesetzt wird. Für die Produktion von Rin</w:t>
      </w:r>
      <w:r>
        <w:t>d</w:t>
      </w:r>
      <w:r>
        <w:t>fleisch, die bekanntermaßen vor allem auf begünstigten Grünlandstandorten wirtschaftliche Vo</w:t>
      </w:r>
      <w:r>
        <w:t>r</w:t>
      </w:r>
      <w:r>
        <w:t>teile hat, lassen sich über die eingesetzten Futtermittel sowie Verarbeitungsprozesse (etc.) the</w:t>
      </w:r>
      <w:r>
        <w:t>o</w:t>
      </w:r>
      <w:r>
        <w:t>retisch notwendige Wassermengen ermitteln. Aufgrund der in der Regel hohen Niederschläge in Grünlandgebieten hat die Verwertung des Grünlandaufwuchses keinen wesentlichen Einfluss auf den Wasserhaushalt, was die Berechnung einer solchen Wassermenge suggerieren könnte.</w:t>
      </w:r>
    </w:p>
    <w:p w:rsidR="00DB3BD0" w:rsidRDefault="00DB3BD0" w:rsidP="00DB3BD0">
      <w:pPr>
        <w:pStyle w:val="LTAntwortRessortText"/>
      </w:pPr>
      <w:r>
        <w:t>Aufgrund fehlender Produktionsalternativen sowie de</w:t>
      </w:r>
      <w:r w:rsidR="00115803">
        <w:t>r mangelnden Aussagekraft der o</w:t>
      </w:r>
      <w:r>
        <w:t xml:space="preserve"> g. Wa</w:t>
      </w:r>
      <w:r>
        <w:t>s</w:t>
      </w:r>
      <w:r>
        <w:t>sermenge sieht die Staatsregierung für regionalisierte Kalkulationen derzeit keine praktische R</w:t>
      </w:r>
      <w:r>
        <w:t>e</w:t>
      </w:r>
      <w:r>
        <w:t>levanz bzw. Notwendigkeit.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Annette</w:t>
            </w:r>
            <w:r w:rsidRPr="00DB3BD0">
              <w:rPr>
                <w:b/>
              </w:rPr>
              <w:br/>
              <w:t>Karl</w:t>
            </w:r>
            <w:r w:rsidRPr="00DB3BD0">
              <w:rPr>
                <w:b/>
              </w:rPr>
              <w:br/>
            </w:r>
            <w:r w:rsidRPr="00DB3BD0">
              <w:t>(SPD)</w:t>
            </w:r>
            <w:r>
              <w:fldChar w:fldCharType="begin"/>
            </w:r>
            <w:r>
              <w:instrText xml:space="preserve"> TC </w:instrText>
            </w:r>
            <w:r w:rsidR="00FD4D2F">
              <w:instrText>„</w:instrText>
            </w:r>
            <w:bookmarkStart w:id="53" w:name="_Toc475001307"/>
            <w:r>
              <w:instrText>Karl, Annette (SPD)</w:instrText>
            </w:r>
            <w:r>
              <w:br/>
              <w:instrText>Vogelgrippe in Bayern</w:instrText>
            </w:r>
            <w:bookmarkEnd w:id="53"/>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ist es korrekt, dass Mitte Februar 2017 für Eier aus Legehennenhaltungen, die in der Regel im Freiland gehalten werden und aktuell (bedingt durch die Vogelgrippe) behördlich zu einer Stallpflicht verpflichtet wurden, die Möglichkeit der Vermarktung von Freilandeiern en</w:t>
            </w:r>
            <w:r>
              <w:t>t</w:t>
            </w:r>
            <w:r>
              <w:t xml:space="preserve">fällt, trifft es </w:t>
            </w:r>
            <w:r w:rsidR="00115803">
              <w:t xml:space="preserve">– </w:t>
            </w:r>
            <w:r>
              <w:t xml:space="preserve">soweit der Staatsregierung bekannt </w:t>
            </w:r>
            <w:r w:rsidR="00115803">
              <w:t xml:space="preserve">– </w:t>
            </w:r>
            <w:r>
              <w:t>zu, dass in anderen Bundesländern diesbezüglich eine Unterbrechung der Anordnung zur ve</w:t>
            </w:r>
            <w:r>
              <w:t>r</w:t>
            </w:r>
            <w:r>
              <w:t>pflichtenden Stallhaltung (beispielsweise in Baden-Württemberg) verfügt wurde und wie unterstützt die Staatsregierung Betriebe, die aktuell mit Pro</w:t>
            </w:r>
            <w:r>
              <w:t>b</w:t>
            </w:r>
            <w:r>
              <w:t>lemen hinsichtlich des Absatzes ihrer Eier infolge der Stallpflicht zu kämpfen haben?</w:t>
            </w:r>
          </w:p>
          <w:p w:rsidR="00DB3BD0" w:rsidRDefault="00DB3BD0" w:rsidP="00DB3BD0">
            <w:pPr>
              <w:pStyle w:val="LTAnfrageText"/>
            </w:pPr>
          </w:p>
        </w:tc>
      </w:tr>
    </w:tbl>
    <w:p w:rsidR="00DB3BD0" w:rsidRDefault="00DB3BD0" w:rsidP="00DB3BD0">
      <w:pPr>
        <w:pStyle w:val="LTUeberschrAntwortRessort"/>
      </w:pPr>
      <w:r>
        <w:t>Antwort des Staatsministeriums für Ernährung, Landwirtschaft und Forsten</w:t>
      </w:r>
    </w:p>
    <w:p w:rsidR="00DB3BD0" w:rsidRDefault="00DB3BD0" w:rsidP="00DB3BD0">
      <w:pPr>
        <w:pStyle w:val="LTAntwortRessortText"/>
      </w:pPr>
      <w:r>
        <w:t>Im Fall der konventionellen Freilandhaltung dürfen nach der Verordnung (EG) Nr. 589/2008 A</w:t>
      </w:r>
      <w:r>
        <w:t>n</w:t>
      </w:r>
      <w:r>
        <w:t>hang II Nummer 1 Buchstabe a) im Falle von Beschränkungen zu einem Auslauf im Freien (ei</w:t>
      </w:r>
      <w:r>
        <w:t>n</w:t>
      </w:r>
      <w:r>
        <w:t>schließlich auf der Grundlage des Gemeinschaftsrechts verhängter veterinärrechtlicher B</w:t>
      </w:r>
      <w:r>
        <w:t>e</w:t>
      </w:r>
      <w:r>
        <w:t>schränkungen zum Schutz der Gesundheit von Mensch und Tier) Eier für die Dauer der B</w:t>
      </w:r>
      <w:r>
        <w:t>e</w:t>
      </w:r>
      <w:r>
        <w:lastRenderedPageBreak/>
        <w:t xml:space="preserve">schränkung, in keinem Fall aber länger als zwölf Wochen, weiterhin als </w:t>
      </w:r>
      <w:r w:rsidR="00FD4D2F">
        <w:t>„</w:t>
      </w:r>
      <w:r>
        <w:t>Eier aus Freilandha</w:t>
      </w:r>
      <w:r>
        <w:t>l</w:t>
      </w:r>
      <w:r>
        <w:t>tung</w:t>
      </w:r>
      <w:r w:rsidR="00FD4D2F">
        <w:t>“</w:t>
      </w:r>
      <w:r>
        <w:t xml:space="preserve"> vermarktet werden. Damit endet im Fall einer behördlich angeordneten Stallpflicht </w:t>
      </w:r>
      <w:r w:rsidR="00C146F6">
        <w:t>12 </w:t>
      </w:r>
      <w:r>
        <w:t xml:space="preserve">Wochen nach deren Bekanntgabe die Möglichkeit der Vermarktung von Freilandeiern. </w:t>
      </w:r>
    </w:p>
    <w:p w:rsidR="00DB3BD0" w:rsidRDefault="00DB3BD0" w:rsidP="00DB3BD0">
      <w:pPr>
        <w:pStyle w:val="LTAntwortRessortText"/>
      </w:pPr>
      <w:r>
        <w:t>Nach Kenntnis der Staatsregierung endete mit dem 31. Januar 2017 die befristete landesweite Pflicht zur Aufstallung von Geflügel in Baden-Württemberg. Ab dem 2. Februar 2017 wurde die Stallpflicht in Form von Allgemeinverfügungen risikoorientiert regional neu angeordnet.</w:t>
      </w:r>
    </w:p>
    <w:p w:rsidR="00DB3BD0" w:rsidRDefault="00DB3BD0" w:rsidP="00DB3BD0">
      <w:pPr>
        <w:pStyle w:val="LTAntwortRessortText"/>
      </w:pPr>
      <w:r>
        <w:t>Die Möglichkeiten einer Unterstützung für Betriebe, die aufgrund des aktuellen Geflügelpestg</w:t>
      </w:r>
      <w:r>
        <w:t>e</w:t>
      </w:r>
      <w:r>
        <w:t xml:space="preserve">schehens Probleme mit dem Absatz ihrer Eier haben, werden derzeit von der Staatsregierung geprüft. </w:t>
      </w:r>
      <w:r w:rsidR="00C146F6">
        <w:t>Der Staatsminister für Ernährung, Landwirtschaft und Forsten, Helmut</w:t>
      </w:r>
      <w:r>
        <w:t xml:space="preserve"> Brunner</w:t>
      </w:r>
      <w:r w:rsidR="00847790">
        <w:t>,</w:t>
      </w:r>
      <w:r>
        <w:t xml:space="preserve"> hat sich diesbezüglich an </w:t>
      </w:r>
      <w:r w:rsidR="00C146F6">
        <w:t>den EU-</w:t>
      </w:r>
      <w:r>
        <w:t>Kommissar</w:t>
      </w:r>
      <w:r w:rsidR="00C146F6">
        <w:t xml:space="preserve"> für Landwirtschaft und ländliche Entwicklung,</w:t>
      </w:r>
      <w:r>
        <w:t xml:space="preserve"> </w:t>
      </w:r>
      <w:r w:rsidR="00C146F6">
        <w:t xml:space="preserve">Phil </w:t>
      </w:r>
      <w:r>
        <w:t>Hogan</w:t>
      </w:r>
      <w:r w:rsidR="00847790">
        <w:t>,</w:t>
      </w:r>
      <w:r>
        <w:t xml:space="preserve"> und </w:t>
      </w:r>
      <w:r w:rsidR="00C146F6">
        <w:t>den Bundesminister für Ernährung und Landwirtschaft, Christian</w:t>
      </w:r>
      <w:r>
        <w:t xml:space="preserve"> Schmidt</w:t>
      </w:r>
      <w:r w:rsidR="00C146F6">
        <w:t>,</w:t>
      </w:r>
      <w:r>
        <w:t xml:space="preserve"> gewandt und L</w:t>
      </w:r>
      <w:r>
        <w:t>ö</w:t>
      </w:r>
      <w:r>
        <w:t>sungen für die betroffenen Betriebe gefordert.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Thomas</w:t>
            </w:r>
            <w:r w:rsidRPr="00DB3BD0">
              <w:rPr>
                <w:b/>
              </w:rPr>
              <w:br/>
              <w:t>Mütze</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54" w:name="_Toc475001308"/>
            <w:r>
              <w:instrText>Mütze, Thomas (BÜNDNIS 90/DIE GRÜNEN)</w:instrText>
            </w:r>
            <w:r>
              <w:br/>
              <w:instrText>Nutzung der Holzrechte im Spessart</w:instrText>
            </w:r>
            <w:bookmarkEnd w:id="54"/>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die Zahl der Holzrechtler im Spessart auf der Informationsvera</w:t>
            </w:r>
            <w:r>
              <w:t>n</w:t>
            </w:r>
            <w:r>
              <w:t>staltung der Staatsministerin für Umwelt und Verbraucherschutz, Ulrike Scharf, am Freitag, den 10. Februar 2017 in Aschaffenburg auf 60.000 g</w:t>
            </w:r>
            <w:r>
              <w:t>e</w:t>
            </w:r>
            <w:r>
              <w:t>schätzt wurde, frage ich die Staatsregierung, wie viele dieser Berechtigten übten in den letzten fünf Jahren ihr Holzrecht tatsächlich aus, wie viele Ster Holz wurden in diesem Zusammenhang an die Holzrechtler abgegeben, inklusive des Brennholzes, das von den Staatsforsten im Spessart verkauft wurde und wie viele Holzrechtler wären von dem aktuellen Gebietsvorschlag betroffen?</w:t>
            </w:r>
          </w:p>
          <w:p w:rsidR="00DB3BD0" w:rsidRDefault="00DB3BD0" w:rsidP="00DB3BD0">
            <w:pPr>
              <w:pStyle w:val="LTAnfrageText"/>
            </w:pPr>
          </w:p>
        </w:tc>
      </w:tr>
    </w:tbl>
    <w:p w:rsidR="00DB3BD0" w:rsidRDefault="00DB3BD0" w:rsidP="00DB3BD0">
      <w:pPr>
        <w:pStyle w:val="LTUeberschrAntwortRessort"/>
      </w:pPr>
      <w:r>
        <w:t>Antwort des Staatsministeriums für Ernährung, Landwirtschaft und Forsten</w:t>
      </w:r>
    </w:p>
    <w:p w:rsidR="00DB3BD0" w:rsidRDefault="00DB3BD0" w:rsidP="00DB3BD0">
      <w:pPr>
        <w:pStyle w:val="LTAntwortRessortText"/>
      </w:pPr>
      <w:r>
        <w:t xml:space="preserve">Im Spessart sind rund 90 </w:t>
      </w:r>
      <w:r w:rsidR="00FD4D2F">
        <w:t>Prozent</w:t>
      </w:r>
      <w:r>
        <w:t xml:space="preserve"> der Staatswaldflächen mit den sogenannten </w:t>
      </w:r>
      <w:r w:rsidR="00FD4D2F">
        <w:t>„</w:t>
      </w:r>
      <w:r>
        <w:t>Spessartfors</w:t>
      </w:r>
      <w:r>
        <w:t>t</w:t>
      </w:r>
      <w:r>
        <w:t>rechten</w:t>
      </w:r>
      <w:r w:rsidR="00FD4D2F">
        <w:t>“</w:t>
      </w:r>
      <w:r>
        <w:t xml:space="preserve"> belastet. Das betrifft eine Fläche von rund 38.000 ha. Berechtigt sind aktuell 28 polit</w:t>
      </w:r>
      <w:r>
        <w:t>i</w:t>
      </w:r>
      <w:r>
        <w:t>sche Gemeinden mit zusammengenommen etwa 60.000 Einwohnern. Die Ausübung der Spes</w:t>
      </w:r>
      <w:r w:rsidR="00847790">
        <w:t>-</w:t>
      </w:r>
      <w:r>
        <w:t>sartforstrechte steht den Gemeindeangehörigen zu. Die Rechte werden bis heute aktiv genutzt.</w:t>
      </w:r>
    </w:p>
    <w:p w:rsidR="00DB3BD0" w:rsidRDefault="00DB3BD0" w:rsidP="00DB3BD0">
      <w:pPr>
        <w:pStyle w:val="LTAntwortRessortText"/>
      </w:pPr>
      <w:r>
        <w:t xml:space="preserve">Die </w:t>
      </w:r>
      <w:r w:rsidR="0007237C">
        <w:t xml:space="preserve">am </w:t>
      </w:r>
      <w:r w:rsidR="00847790">
        <w:t>10. Februar 2017</w:t>
      </w:r>
      <w:r>
        <w:t xml:space="preserve"> vorgestellte Suchkulisse des </w:t>
      </w:r>
      <w:r w:rsidR="0007237C">
        <w:t>Staatsministeriums für Umwelt und Ve</w:t>
      </w:r>
      <w:r w:rsidR="0007237C">
        <w:t>r</w:t>
      </w:r>
      <w:r w:rsidR="0007237C">
        <w:t>braucherschutz</w:t>
      </w:r>
      <w:r>
        <w:t xml:space="preserve"> umfasst im Wesentlichen Flächen des Forstbetriebs Rothenbuch der Bayer</w:t>
      </w:r>
      <w:r>
        <w:t>i</w:t>
      </w:r>
      <w:r>
        <w:t xml:space="preserve">schen Staatsforsten </w:t>
      </w:r>
      <w:r w:rsidR="0007237C">
        <w:t xml:space="preserve">(BaySF) </w:t>
      </w:r>
      <w:r>
        <w:t>AöR</w:t>
      </w:r>
      <w:r w:rsidR="0007237C">
        <w:t xml:space="preserve"> (= Anstalt des öffentlichen Rechts)</w:t>
      </w:r>
      <w:r>
        <w:t xml:space="preserve">. Insgesamt sind rund 90 </w:t>
      </w:r>
      <w:r w:rsidR="00FD4D2F">
        <w:t>Prozent</w:t>
      </w:r>
      <w:r>
        <w:t xml:space="preserve"> des Forstbetriebs Rothenbuch mit den Forstrechten belastet. Regelmäßig sind mehrere Gemeinden auf derselben Fläche berechtigt. In den letzten fünf Jahren waren hier Hiebe mit e</w:t>
      </w:r>
      <w:r>
        <w:t>i</w:t>
      </w:r>
      <w:r>
        <w:t>ner Fläche von ca. 3.700 ha von der Rechteausübung betroffen. Die Hiebe waren gleichmäßig über den gesamten Forstbetrieb verteilt. Die dabei an die Berechtigten abgegebene Rechthol</w:t>
      </w:r>
      <w:r>
        <w:t>z</w:t>
      </w:r>
      <w:r>
        <w:t>menge betrug rund 36.700 Raummeter. Die Zahl der aktiven Berechtigten wird von der BaySF nicht erhoben. Eine Erfassung der während der Freigabezeiten aktiven Berechtigten ist nicht möglich, weil sich der einzelne Berechtigte weder anmelden noch das gewonnene Rechtholz vorzeigen muss.</w:t>
      </w:r>
    </w:p>
    <w:p w:rsidR="00DB3BD0" w:rsidRDefault="00DB3BD0" w:rsidP="00DB3BD0">
      <w:pPr>
        <w:pStyle w:val="LTAntwortRessortText"/>
      </w:pPr>
      <w:r>
        <w:t>Daneben wurden im gleichen Zeitraum vom Forstbetrieb Rothenbuch jährlich zwischen 10.000 und 16.000 Ster Brennholz an 350 bis 650 Selbstwerber vermarktet.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w:t>
            </w:r>
            <w:r w:rsidRPr="00DB3BD0">
              <w:br/>
            </w:r>
            <w:r w:rsidRPr="00DB3BD0">
              <w:rPr>
                <w:b/>
              </w:rPr>
              <w:t>Gisela</w:t>
            </w:r>
            <w:r w:rsidRPr="00DB3BD0">
              <w:rPr>
                <w:b/>
              </w:rPr>
              <w:br/>
              <w:t>Sengl</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55" w:name="_Toc475001309"/>
            <w:r>
              <w:instrText>Sengl, Gisela (BÜNDNIS 90/DIE GRÜNEN)</w:instrText>
            </w:r>
            <w:r>
              <w:br/>
              <w:instrText>Anteil der Cross Compliance-Verstöße gegen das Düngerecht</w:instrText>
            </w:r>
            <w:bookmarkEnd w:id="55"/>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hoch war für die Jahre 2015 und 2016 jeweils der Anteil der Cross Compliance-Verstöße, die die Einhaltung der Nitratrichtlinie bzw. des Düngerechts betrafen, wie viel Prozent dieser Ve</w:t>
            </w:r>
            <w:r>
              <w:t>r</w:t>
            </w:r>
            <w:r>
              <w:t>stöße betrafen jeweils Fehler bei der Erstellung von Nährstoffbilanzen und wie viel Prozent dieser</w:t>
            </w:r>
            <w:r w:rsidR="00FD4D2F">
              <w:t xml:space="preserve"> </w:t>
            </w:r>
            <w:r>
              <w:t>Verstöße betrafen jeweils fehlende Bodenunters</w:t>
            </w:r>
            <w:r>
              <w:t>u</w:t>
            </w:r>
            <w:r>
              <w:t>chungen?</w:t>
            </w:r>
          </w:p>
          <w:p w:rsidR="00DB3BD0" w:rsidRDefault="00DB3BD0" w:rsidP="00DB3BD0">
            <w:pPr>
              <w:pStyle w:val="LTAnfrageText"/>
            </w:pPr>
          </w:p>
        </w:tc>
      </w:tr>
    </w:tbl>
    <w:p w:rsidR="00DB3BD0" w:rsidRDefault="00DB3BD0" w:rsidP="00DB3BD0">
      <w:pPr>
        <w:pStyle w:val="LTUeberschrAntwortRessort"/>
      </w:pPr>
      <w:r>
        <w:t>Antwort des Staatsministeriums für Ernährung, Landwirtschaft und Forsten</w:t>
      </w:r>
    </w:p>
    <w:p w:rsidR="00DB3BD0" w:rsidRPr="0007237C" w:rsidRDefault="00DB3BD0" w:rsidP="00DB3BD0">
      <w:pPr>
        <w:pStyle w:val="LTAntwortRessortText"/>
        <w:rPr>
          <w:u w:val="single"/>
        </w:rPr>
      </w:pPr>
      <w:r w:rsidRPr="0007237C">
        <w:rPr>
          <w:u w:val="single"/>
        </w:rPr>
        <w:t>Zur ersten Teilfrage:</w:t>
      </w:r>
    </w:p>
    <w:p w:rsidR="00DB3BD0" w:rsidRDefault="00DB3BD0" w:rsidP="00DB3BD0">
      <w:pPr>
        <w:pStyle w:val="LTAntwortRessort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67"/>
      </w:tblGrid>
      <w:tr w:rsidR="0007237C" w:rsidRPr="0007237C" w:rsidTr="0007237C">
        <w:tc>
          <w:tcPr>
            <w:tcW w:w="1242"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Jahr</w:t>
            </w:r>
          </w:p>
        </w:tc>
        <w:tc>
          <w:tcPr>
            <w:tcW w:w="6967" w:type="dxa"/>
            <w:shd w:val="clear" w:color="auto" w:fill="auto"/>
          </w:tcPr>
          <w:p w:rsidR="0007237C" w:rsidRPr="0007237C" w:rsidRDefault="0007237C" w:rsidP="0007237C">
            <w:pPr>
              <w:rPr>
                <w:rFonts w:ascii="Times New Roman" w:hAnsi="Times New Roman"/>
                <w:b/>
                <w:szCs w:val="20"/>
              </w:rPr>
            </w:pPr>
            <w:r>
              <w:rPr>
                <w:rFonts w:ascii="Times New Roman" w:hAnsi="Times New Roman"/>
                <w:b/>
                <w:szCs w:val="20"/>
              </w:rPr>
              <w:t>Anteil der Cross Compliance (CC)</w:t>
            </w:r>
            <w:r w:rsidRPr="0007237C">
              <w:rPr>
                <w:rFonts w:ascii="Times New Roman" w:hAnsi="Times New Roman"/>
                <w:b/>
                <w:szCs w:val="20"/>
              </w:rPr>
              <w:t>-Verstöße* im Rechtsakt Nitratrichtlinie**</w:t>
            </w:r>
            <w:r>
              <w:rPr>
                <w:rFonts w:ascii="Times New Roman" w:hAnsi="Times New Roman"/>
                <w:b/>
                <w:szCs w:val="20"/>
              </w:rPr>
              <w:t xml:space="preserve"> in Prozent</w:t>
            </w:r>
          </w:p>
        </w:tc>
      </w:tr>
      <w:tr w:rsidR="0007237C" w:rsidRPr="0007237C" w:rsidTr="0007237C">
        <w:tc>
          <w:tcPr>
            <w:tcW w:w="1242"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2015</w:t>
            </w:r>
          </w:p>
        </w:tc>
        <w:tc>
          <w:tcPr>
            <w:tcW w:w="6967" w:type="dxa"/>
            <w:shd w:val="clear" w:color="auto" w:fill="auto"/>
          </w:tcPr>
          <w:p w:rsidR="0007237C" w:rsidRPr="0007237C" w:rsidRDefault="0007237C" w:rsidP="0007237C">
            <w:pPr>
              <w:spacing w:line="400" w:lineRule="exact"/>
              <w:rPr>
                <w:rFonts w:ascii="Times New Roman" w:hAnsi="Times New Roman"/>
                <w:szCs w:val="20"/>
              </w:rPr>
            </w:pPr>
            <w:r w:rsidRPr="0007237C">
              <w:rPr>
                <w:rFonts w:ascii="Times New Roman" w:hAnsi="Times New Roman"/>
                <w:szCs w:val="20"/>
              </w:rPr>
              <w:t>8,5</w:t>
            </w:r>
          </w:p>
        </w:tc>
      </w:tr>
      <w:tr w:rsidR="0007237C" w:rsidRPr="0007237C" w:rsidTr="0007237C">
        <w:tc>
          <w:tcPr>
            <w:tcW w:w="1242"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2016</w:t>
            </w:r>
          </w:p>
        </w:tc>
        <w:tc>
          <w:tcPr>
            <w:tcW w:w="6967" w:type="dxa"/>
            <w:shd w:val="clear" w:color="auto" w:fill="auto"/>
          </w:tcPr>
          <w:p w:rsidR="0007237C" w:rsidRPr="0007237C" w:rsidRDefault="0007237C" w:rsidP="0007237C">
            <w:pPr>
              <w:spacing w:line="400" w:lineRule="exact"/>
              <w:rPr>
                <w:rFonts w:ascii="Times New Roman" w:hAnsi="Times New Roman"/>
                <w:szCs w:val="20"/>
              </w:rPr>
            </w:pPr>
            <w:r w:rsidRPr="0007237C">
              <w:rPr>
                <w:rFonts w:ascii="Times New Roman" w:hAnsi="Times New Roman"/>
                <w:szCs w:val="20"/>
              </w:rPr>
              <w:t>8,7</w:t>
            </w:r>
          </w:p>
        </w:tc>
      </w:tr>
    </w:tbl>
    <w:p w:rsidR="00DB3BD0" w:rsidRPr="0007237C" w:rsidRDefault="00DB3BD0" w:rsidP="0007237C">
      <w:pPr>
        <w:pStyle w:val="LTAntwortRessortText"/>
        <w:spacing w:before="120"/>
        <w:rPr>
          <w:sz w:val="16"/>
          <w:szCs w:val="16"/>
        </w:rPr>
      </w:pPr>
      <w:r w:rsidRPr="0007237C">
        <w:rPr>
          <w:sz w:val="16"/>
          <w:szCs w:val="16"/>
        </w:rPr>
        <w:t>* bezogen auf alle im entsp</w:t>
      </w:r>
      <w:r w:rsidR="0007237C">
        <w:rPr>
          <w:sz w:val="16"/>
          <w:szCs w:val="16"/>
        </w:rPr>
        <w:t>rechenden Jahr festgestellten CC</w:t>
      </w:r>
      <w:r w:rsidRPr="0007237C">
        <w:rPr>
          <w:sz w:val="16"/>
          <w:szCs w:val="16"/>
        </w:rPr>
        <w:t>-Verstöße</w:t>
      </w:r>
      <w:r w:rsidR="0007237C">
        <w:rPr>
          <w:sz w:val="16"/>
          <w:szCs w:val="16"/>
        </w:rPr>
        <w:t>,</w:t>
      </w:r>
    </w:p>
    <w:p w:rsidR="00DB3BD0" w:rsidRPr="0007237C" w:rsidRDefault="0007237C" w:rsidP="0007237C">
      <w:pPr>
        <w:pStyle w:val="LTAntwortRessortText"/>
        <w:spacing w:before="0"/>
        <w:rPr>
          <w:sz w:val="16"/>
          <w:szCs w:val="16"/>
        </w:rPr>
      </w:pPr>
      <w:r>
        <w:rPr>
          <w:sz w:val="16"/>
          <w:szCs w:val="16"/>
        </w:rPr>
        <w:t>** s</w:t>
      </w:r>
      <w:r w:rsidR="00DB3BD0" w:rsidRPr="0007237C">
        <w:rPr>
          <w:sz w:val="16"/>
          <w:szCs w:val="16"/>
        </w:rPr>
        <w:t>eit 2015 ist nur noch das Düngerecht, das sich auf Stickstoff bezieht, CC-relevant</w:t>
      </w:r>
      <w:r>
        <w:rPr>
          <w:sz w:val="16"/>
          <w:szCs w:val="16"/>
        </w:rPr>
        <w:t>.</w:t>
      </w:r>
    </w:p>
    <w:p w:rsidR="00DB3BD0" w:rsidRPr="0007237C" w:rsidRDefault="00DB3BD0" w:rsidP="0007237C">
      <w:pPr>
        <w:pStyle w:val="LTAntwortRessortText"/>
        <w:spacing w:before="60"/>
        <w:rPr>
          <w:sz w:val="16"/>
          <w:szCs w:val="16"/>
        </w:rPr>
      </w:pPr>
      <w:r w:rsidRPr="0007237C">
        <w:rPr>
          <w:sz w:val="16"/>
          <w:szCs w:val="16"/>
        </w:rPr>
        <w:t>Datenquelle HIT-Datenbank</w:t>
      </w:r>
    </w:p>
    <w:p w:rsidR="00DB3BD0" w:rsidRPr="0007237C" w:rsidRDefault="00DB3BD0" w:rsidP="00DB3BD0">
      <w:pPr>
        <w:pStyle w:val="LTAntwortRessortText"/>
        <w:rPr>
          <w:u w:val="single"/>
        </w:rPr>
      </w:pPr>
      <w:r w:rsidRPr="0007237C">
        <w:rPr>
          <w:u w:val="single"/>
        </w:rPr>
        <w:t>Zur zweiten Teilfrage:</w:t>
      </w:r>
    </w:p>
    <w:p w:rsidR="00DB3BD0" w:rsidRDefault="00DB3BD0" w:rsidP="00DB3BD0">
      <w:pPr>
        <w:pStyle w:val="LTAntwortRessort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7317"/>
      </w:tblGrid>
      <w:tr w:rsidR="0007237C" w:rsidRPr="0007237C" w:rsidTr="0007237C">
        <w:tc>
          <w:tcPr>
            <w:tcW w:w="871"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Jahr</w:t>
            </w:r>
          </w:p>
        </w:tc>
        <w:tc>
          <w:tcPr>
            <w:tcW w:w="7317" w:type="dxa"/>
            <w:shd w:val="clear" w:color="auto" w:fill="auto"/>
          </w:tcPr>
          <w:p w:rsidR="0007237C" w:rsidRPr="0007237C" w:rsidRDefault="0007237C" w:rsidP="0007237C">
            <w:pPr>
              <w:rPr>
                <w:rFonts w:ascii="Times New Roman" w:hAnsi="Times New Roman"/>
                <w:b/>
                <w:szCs w:val="20"/>
              </w:rPr>
            </w:pPr>
            <w:r w:rsidRPr="0007237C">
              <w:rPr>
                <w:rFonts w:ascii="Times New Roman" w:hAnsi="Times New Roman"/>
                <w:b/>
                <w:szCs w:val="20"/>
              </w:rPr>
              <w:t xml:space="preserve">Anteil der CC-Verstöße* im Kontrollkriterium Nährstoffbilanz für Stickstoff** gem. § 5 Abs. 1 </w:t>
            </w:r>
            <w:r>
              <w:rPr>
                <w:rFonts w:ascii="Times New Roman" w:hAnsi="Times New Roman"/>
                <w:b/>
                <w:szCs w:val="20"/>
              </w:rPr>
              <w:t>der Düngeverordnung – DüV (in Prozent</w:t>
            </w:r>
            <w:r w:rsidRPr="0007237C">
              <w:rPr>
                <w:rFonts w:ascii="Times New Roman" w:hAnsi="Times New Roman"/>
                <w:b/>
                <w:szCs w:val="20"/>
              </w:rPr>
              <w:t>)</w:t>
            </w:r>
          </w:p>
        </w:tc>
      </w:tr>
      <w:tr w:rsidR="0007237C" w:rsidRPr="0007237C" w:rsidTr="0007237C">
        <w:tc>
          <w:tcPr>
            <w:tcW w:w="871"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2015</w:t>
            </w:r>
          </w:p>
        </w:tc>
        <w:tc>
          <w:tcPr>
            <w:tcW w:w="7317" w:type="dxa"/>
            <w:shd w:val="clear" w:color="auto" w:fill="auto"/>
          </w:tcPr>
          <w:p w:rsidR="0007237C" w:rsidRPr="0007237C" w:rsidRDefault="0007237C" w:rsidP="0007237C">
            <w:pPr>
              <w:spacing w:line="400" w:lineRule="exact"/>
              <w:rPr>
                <w:rFonts w:ascii="Times New Roman" w:hAnsi="Times New Roman"/>
                <w:szCs w:val="20"/>
              </w:rPr>
            </w:pPr>
            <w:r w:rsidRPr="0007237C">
              <w:rPr>
                <w:rFonts w:ascii="Times New Roman" w:hAnsi="Times New Roman"/>
                <w:szCs w:val="20"/>
              </w:rPr>
              <w:t>36,0</w:t>
            </w:r>
          </w:p>
        </w:tc>
      </w:tr>
      <w:tr w:rsidR="0007237C" w:rsidRPr="0007237C" w:rsidTr="0007237C">
        <w:tc>
          <w:tcPr>
            <w:tcW w:w="871"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2016</w:t>
            </w:r>
          </w:p>
        </w:tc>
        <w:tc>
          <w:tcPr>
            <w:tcW w:w="7317" w:type="dxa"/>
            <w:shd w:val="clear" w:color="auto" w:fill="auto"/>
          </w:tcPr>
          <w:p w:rsidR="0007237C" w:rsidRPr="0007237C" w:rsidRDefault="0007237C" w:rsidP="0007237C">
            <w:pPr>
              <w:spacing w:line="400" w:lineRule="exact"/>
              <w:rPr>
                <w:rFonts w:ascii="Times New Roman" w:hAnsi="Times New Roman"/>
                <w:szCs w:val="20"/>
              </w:rPr>
            </w:pPr>
            <w:r w:rsidRPr="0007237C">
              <w:rPr>
                <w:rFonts w:ascii="Times New Roman" w:hAnsi="Times New Roman"/>
                <w:szCs w:val="20"/>
              </w:rPr>
              <w:t>28,6</w:t>
            </w:r>
          </w:p>
        </w:tc>
      </w:tr>
    </w:tbl>
    <w:p w:rsidR="00DB3BD0" w:rsidRPr="0007237C" w:rsidRDefault="00DB3BD0" w:rsidP="0007237C">
      <w:pPr>
        <w:pStyle w:val="LTAntwortRessortText"/>
        <w:spacing w:before="120"/>
        <w:rPr>
          <w:sz w:val="16"/>
          <w:szCs w:val="16"/>
        </w:rPr>
      </w:pPr>
      <w:r w:rsidRPr="0007237C">
        <w:rPr>
          <w:sz w:val="16"/>
          <w:szCs w:val="16"/>
        </w:rPr>
        <w:t>* bezogen auf alle im entsprechenden Jahr festgestellten CC-Verstößen gegen die Einhaltung der Nitratrichtlinie</w:t>
      </w:r>
      <w:r w:rsidR="0007237C">
        <w:rPr>
          <w:sz w:val="16"/>
          <w:szCs w:val="16"/>
        </w:rPr>
        <w:t>,</w:t>
      </w:r>
    </w:p>
    <w:p w:rsidR="00DB3BD0" w:rsidRPr="0007237C" w:rsidRDefault="0007237C" w:rsidP="0007237C">
      <w:pPr>
        <w:pStyle w:val="LTAntwortRessortText"/>
        <w:spacing w:before="0"/>
        <w:rPr>
          <w:sz w:val="16"/>
          <w:szCs w:val="16"/>
        </w:rPr>
      </w:pPr>
      <w:r>
        <w:rPr>
          <w:sz w:val="16"/>
          <w:szCs w:val="16"/>
        </w:rPr>
        <w:t>** s</w:t>
      </w:r>
      <w:r w:rsidR="00DB3BD0" w:rsidRPr="0007237C">
        <w:rPr>
          <w:sz w:val="16"/>
          <w:szCs w:val="16"/>
        </w:rPr>
        <w:t>eit 2015 ist nur noch das Düngerecht, das sich auf Stickstoff bezieht, CC-relevant</w:t>
      </w:r>
      <w:r>
        <w:rPr>
          <w:sz w:val="16"/>
          <w:szCs w:val="16"/>
        </w:rPr>
        <w:t>.</w:t>
      </w:r>
      <w:r w:rsidR="00DB3BD0" w:rsidRPr="0007237C">
        <w:rPr>
          <w:sz w:val="16"/>
          <w:szCs w:val="16"/>
        </w:rPr>
        <w:t xml:space="preserve"> </w:t>
      </w:r>
    </w:p>
    <w:p w:rsidR="00DB3BD0" w:rsidRPr="0007237C" w:rsidRDefault="00DB3BD0" w:rsidP="0007237C">
      <w:pPr>
        <w:pStyle w:val="LTAntwortRessortText"/>
        <w:spacing w:before="60"/>
        <w:rPr>
          <w:sz w:val="16"/>
          <w:szCs w:val="16"/>
        </w:rPr>
      </w:pPr>
      <w:r w:rsidRPr="0007237C">
        <w:rPr>
          <w:sz w:val="16"/>
          <w:szCs w:val="16"/>
        </w:rPr>
        <w:t>Datenquelle HIT-Datenbank</w:t>
      </w:r>
    </w:p>
    <w:p w:rsidR="00DB3BD0" w:rsidRPr="0007237C" w:rsidRDefault="00DB3BD0" w:rsidP="00DB3BD0">
      <w:pPr>
        <w:pStyle w:val="LTAntwortRessortText"/>
        <w:rPr>
          <w:u w:val="single"/>
        </w:rPr>
      </w:pPr>
      <w:r w:rsidRPr="0007237C">
        <w:rPr>
          <w:u w:val="single"/>
        </w:rPr>
        <w:t>Zur dritten Teilfrage:</w:t>
      </w:r>
    </w:p>
    <w:p w:rsidR="00DB3BD0" w:rsidRPr="0007237C" w:rsidRDefault="00DB3BD0" w:rsidP="00DB3BD0">
      <w:pPr>
        <w:pStyle w:val="LTAntwortRessortText"/>
        <w:rPr>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7317"/>
      </w:tblGrid>
      <w:tr w:rsidR="0007237C" w:rsidRPr="0007237C" w:rsidTr="0007237C">
        <w:tc>
          <w:tcPr>
            <w:tcW w:w="871"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Jahr</w:t>
            </w:r>
          </w:p>
        </w:tc>
        <w:tc>
          <w:tcPr>
            <w:tcW w:w="7317" w:type="dxa"/>
            <w:shd w:val="clear" w:color="auto" w:fill="auto"/>
          </w:tcPr>
          <w:p w:rsidR="0007237C" w:rsidRPr="0007237C" w:rsidRDefault="0007237C" w:rsidP="00F64945">
            <w:pPr>
              <w:rPr>
                <w:rFonts w:ascii="Times New Roman" w:hAnsi="Times New Roman"/>
                <w:b/>
                <w:szCs w:val="20"/>
              </w:rPr>
            </w:pPr>
            <w:r w:rsidRPr="0007237C">
              <w:rPr>
                <w:rFonts w:ascii="Times New Roman" w:hAnsi="Times New Roman"/>
                <w:b/>
                <w:szCs w:val="20"/>
              </w:rPr>
              <w:t xml:space="preserve">Anteil der CC-Verstöße* im Kontrollkriterium </w:t>
            </w:r>
            <w:r w:rsidR="00F64945">
              <w:rPr>
                <w:rFonts w:ascii="Times New Roman" w:hAnsi="Times New Roman"/>
                <w:b/>
                <w:szCs w:val="20"/>
              </w:rPr>
              <w:t xml:space="preserve">Bodenuntersuchung – </w:t>
            </w:r>
            <w:r w:rsidR="00F64945" w:rsidRPr="00F64945">
              <w:rPr>
                <w:rFonts w:ascii="Times New Roman" w:hAnsi="Times New Roman"/>
                <w:b/>
                <w:szCs w:val="20"/>
              </w:rPr>
              <w:t>N</w:t>
            </w:r>
            <w:r w:rsidR="00F64945" w:rsidRPr="00F64945">
              <w:rPr>
                <w:rFonts w:ascii="Times New Roman" w:hAnsi="Times New Roman"/>
                <w:b/>
                <w:szCs w:val="20"/>
                <w:vertAlign w:val="subscript"/>
              </w:rPr>
              <w:t>min</w:t>
            </w:r>
            <w:r w:rsidR="00F64945" w:rsidRPr="00F64945">
              <w:rPr>
                <w:rFonts w:ascii="Times New Roman" w:hAnsi="Times New Roman"/>
                <w:b/>
                <w:szCs w:val="20"/>
              </w:rPr>
              <w:t xml:space="preserve"> </w:t>
            </w:r>
            <w:r w:rsidR="00F64945">
              <w:rPr>
                <w:rFonts w:ascii="Times New Roman" w:hAnsi="Times New Roman"/>
                <w:b/>
                <w:szCs w:val="20"/>
              </w:rPr>
              <w:t xml:space="preserve">(= </w:t>
            </w:r>
            <w:r w:rsidR="00F64945" w:rsidRPr="00F64945">
              <w:rPr>
                <w:rFonts w:ascii="Times New Roman" w:hAnsi="Times New Roman"/>
                <w:b/>
                <w:szCs w:val="20"/>
              </w:rPr>
              <w:t>G</w:t>
            </w:r>
            <w:r w:rsidR="00F64945" w:rsidRPr="00F64945">
              <w:rPr>
                <w:rFonts w:ascii="Times New Roman" w:hAnsi="Times New Roman"/>
                <w:b/>
                <w:szCs w:val="20"/>
              </w:rPr>
              <w:t>e</w:t>
            </w:r>
            <w:r w:rsidR="00F64945" w:rsidRPr="00F64945">
              <w:rPr>
                <w:rFonts w:ascii="Times New Roman" w:hAnsi="Times New Roman"/>
                <w:b/>
                <w:szCs w:val="20"/>
              </w:rPr>
              <w:t>halt eines Bodens an verfügbarem mineralisierten Stickstoff</w:t>
            </w:r>
            <w:r w:rsidR="00F64945">
              <w:rPr>
                <w:rFonts w:ascii="Times New Roman" w:hAnsi="Times New Roman"/>
                <w:b/>
                <w:szCs w:val="20"/>
              </w:rPr>
              <w:t>)</w:t>
            </w:r>
            <w:r w:rsidR="00F64945" w:rsidRPr="00F64945">
              <w:rPr>
                <w:rFonts w:ascii="Times New Roman" w:hAnsi="Times New Roman"/>
                <w:b/>
                <w:szCs w:val="20"/>
              </w:rPr>
              <w:t xml:space="preserve"> </w:t>
            </w:r>
            <w:r w:rsidRPr="0007237C">
              <w:rPr>
                <w:rFonts w:ascii="Times New Roman" w:hAnsi="Times New Roman"/>
                <w:b/>
                <w:szCs w:val="20"/>
              </w:rPr>
              <w:t>** gem. § 3 Abs. 3 DüV (in %)</w:t>
            </w:r>
          </w:p>
        </w:tc>
      </w:tr>
      <w:tr w:rsidR="0007237C" w:rsidRPr="0007237C" w:rsidTr="0007237C">
        <w:tc>
          <w:tcPr>
            <w:tcW w:w="871"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2015</w:t>
            </w:r>
          </w:p>
        </w:tc>
        <w:tc>
          <w:tcPr>
            <w:tcW w:w="7317" w:type="dxa"/>
            <w:shd w:val="clear" w:color="auto" w:fill="auto"/>
          </w:tcPr>
          <w:p w:rsidR="0007237C" w:rsidRPr="0007237C" w:rsidRDefault="0007237C" w:rsidP="0007237C">
            <w:pPr>
              <w:spacing w:line="400" w:lineRule="exact"/>
              <w:rPr>
                <w:rFonts w:ascii="Times New Roman" w:hAnsi="Times New Roman"/>
                <w:szCs w:val="20"/>
              </w:rPr>
            </w:pPr>
            <w:r w:rsidRPr="0007237C">
              <w:rPr>
                <w:rFonts w:ascii="Times New Roman" w:hAnsi="Times New Roman"/>
                <w:szCs w:val="20"/>
              </w:rPr>
              <w:t>18,8</w:t>
            </w:r>
          </w:p>
        </w:tc>
      </w:tr>
      <w:tr w:rsidR="0007237C" w:rsidRPr="0007237C" w:rsidTr="0007237C">
        <w:tc>
          <w:tcPr>
            <w:tcW w:w="871" w:type="dxa"/>
            <w:shd w:val="clear" w:color="auto" w:fill="auto"/>
          </w:tcPr>
          <w:p w:rsidR="0007237C" w:rsidRPr="0007237C" w:rsidRDefault="0007237C" w:rsidP="0007237C">
            <w:pPr>
              <w:spacing w:line="400" w:lineRule="exact"/>
              <w:rPr>
                <w:rFonts w:ascii="Times New Roman" w:hAnsi="Times New Roman"/>
                <w:b/>
                <w:szCs w:val="20"/>
              </w:rPr>
            </w:pPr>
            <w:r w:rsidRPr="0007237C">
              <w:rPr>
                <w:rFonts w:ascii="Times New Roman" w:hAnsi="Times New Roman"/>
                <w:b/>
                <w:szCs w:val="20"/>
              </w:rPr>
              <w:t>2016</w:t>
            </w:r>
          </w:p>
        </w:tc>
        <w:tc>
          <w:tcPr>
            <w:tcW w:w="7317" w:type="dxa"/>
            <w:shd w:val="clear" w:color="auto" w:fill="auto"/>
          </w:tcPr>
          <w:p w:rsidR="0007237C" w:rsidRPr="0007237C" w:rsidRDefault="0007237C" w:rsidP="0007237C">
            <w:pPr>
              <w:spacing w:line="400" w:lineRule="exact"/>
              <w:rPr>
                <w:rFonts w:ascii="Times New Roman" w:hAnsi="Times New Roman"/>
                <w:szCs w:val="20"/>
              </w:rPr>
            </w:pPr>
            <w:r w:rsidRPr="0007237C">
              <w:rPr>
                <w:rFonts w:ascii="Times New Roman" w:hAnsi="Times New Roman"/>
                <w:szCs w:val="20"/>
              </w:rPr>
              <w:t>15,2</w:t>
            </w:r>
          </w:p>
        </w:tc>
      </w:tr>
    </w:tbl>
    <w:p w:rsidR="00DB3BD0" w:rsidRPr="0007237C" w:rsidRDefault="00DB3BD0" w:rsidP="0007237C">
      <w:pPr>
        <w:pStyle w:val="LTAntwortRessortText"/>
        <w:spacing w:before="120"/>
        <w:rPr>
          <w:sz w:val="16"/>
          <w:szCs w:val="16"/>
        </w:rPr>
      </w:pPr>
      <w:r w:rsidRPr="0007237C">
        <w:rPr>
          <w:sz w:val="16"/>
          <w:szCs w:val="16"/>
        </w:rPr>
        <w:t>* bezogen auf alle im entsprechenden Jahr festgestellten CC-Verstößen gegen die Einhaltung der Nitratrichtlinie</w:t>
      </w:r>
      <w:r w:rsidR="0007237C">
        <w:rPr>
          <w:sz w:val="16"/>
          <w:szCs w:val="16"/>
        </w:rPr>
        <w:t>,</w:t>
      </w:r>
    </w:p>
    <w:p w:rsidR="00DB3BD0" w:rsidRPr="0007237C" w:rsidRDefault="0007237C" w:rsidP="0007237C">
      <w:pPr>
        <w:pStyle w:val="LTAntwortRessortText"/>
        <w:spacing w:before="0"/>
        <w:rPr>
          <w:sz w:val="16"/>
          <w:szCs w:val="16"/>
        </w:rPr>
      </w:pPr>
      <w:r>
        <w:rPr>
          <w:sz w:val="16"/>
          <w:szCs w:val="16"/>
        </w:rPr>
        <w:t>** s</w:t>
      </w:r>
      <w:r w:rsidR="00DB3BD0" w:rsidRPr="0007237C">
        <w:rPr>
          <w:sz w:val="16"/>
          <w:szCs w:val="16"/>
        </w:rPr>
        <w:t>eit 2015 ist nur noch das Düngerecht, das sich auf Stickstoff bezieht, CC-relevant</w:t>
      </w:r>
      <w:r>
        <w:rPr>
          <w:sz w:val="16"/>
          <w:szCs w:val="16"/>
        </w:rPr>
        <w:t>.</w:t>
      </w:r>
    </w:p>
    <w:p w:rsidR="00DB3BD0" w:rsidRPr="0007237C" w:rsidRDefault="00DB3BD0" w:rsidP="0007237C">
      <w:pPr>
        <w:pStyle w:val="LTAntwortRessortText"/>
        <w:spacing w:before="60"/>
        <w:rPr>
          <w:sz w:val="16"/>
          <w:szCs w:val="16"/>
        </w:rPr>
      </w:pPr>
      <w:r w:rsidRPr="0007237C">
        <w:rPr>
          <w:sz w:val="16"/>
          <w:szCs w:val="16"/>
        </w:rPr>
        <w:t>Datenquelle HIT-Datenbank</w:t>
      </w:r>
    </w:p>
    <w:p w:rsidR="00DB3BD0" w:rsidRDefault="00DB3BD0" w:rsidP="00DB3BD0">
      <w:pPr>
        <w:pStyle w:val="LTUeberschrRessort"/>
      </w:pPr>
      <w:r>
        <w:lastRenderedPageBreak/>
        <w:t>Geschäftsbereich des Staatsministeriums für Arbeit und Soziales, Familie und I</w:t>
      </w:r>
      <w:r>
        <w:t>n</w:t>
      </w:r>
      <w:r>
        <w:t>tegration</w:t>
      </w:r>
      <w:r>
        <w:fldChar w:fldCharType="begin"/>
      </w:r>
      <w:r>
        <w:instrText xml:space="preserve"> TC </w:instrText>
      </w:r>
      <w:r w:rsidR="00FD4D2F">
        <w:instrText>„</w:instrText>
      </w:r>
      <w:bookmarkStart w:id="56" w:name="_Toc475001310"/>
      <w:r>
        <w:instrText>Geschäftsbereich des Staatsministeriums für Arbeit und Soziales, Familie und Integration</w:instrText>
      </w:r>
      <w:bookmarkEnd w:id="56"/>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1"/>
        <w:gridCol w:w="7038"/>
      </w:tblGrid>
      <w:tr w:rsidR="00DB3BD0" w:rsidTr="00DB3BD0">
        <w:tc>
          <w:tcPr>
            <w:tcW w:w="2050" w:type="dxa"/>
            <w:shd w:val="clear" w:color="auto" w:fill="auto"/>
          </w:tcPr>
          <w:p w:rsidR="00DB3BD0" w:rsidRPr="00DB3BD0" w:rsidRDefault="00DB3BD0" w:rsidP="00DB3BD0">
            <w:pPr>
              <w:pStyle w:val="LTNumAnfrageIni1"/>
            </w:pPr>
            <w:r w:rsidRPr="00DB3BD0">
              <w:t>Abgeordneter</w:t>
            </w:r>
            <w:r w:rsidRPr="00DB3BD0">
              <w:br/>
            </w:r>
            <w:r w:rsidRPr="00DB3BD0">
              <w:rPr>
                <w:b/>
              </w:rPr>
              <w:t>Peter</w:t>
            </w:r>
            <w:r w:rsidRPr="00DB3BD0">
              <w:rPr>
                <w:b/>
              </w:rPr>
              <w:br/>
              <w:t>Meyer</w:t>
            </w:r>
            <w:r w:rsidRPr="00DB3BD0">
              <w:rPr>
                <w:b/>
              </w:rPr>
              <w:br/>
            </w:r>
            <w:r w:rsidRPr="00DB3BD0">
              <w:t>(FREIE WÄ</w:t>
            </w:r>
            <w:r w:rsidRPr="00DB3BD0">
              <w:t>H</w:t>
            </w:r>
            <w:r w:rsidRPr="00DB3BD0">
              <w:t>LER)</w:t>
            </w:r>
            <w:r>
              <w:fldChar w:fldCharType="begin"/>
            </w:r>
            <w:r>
              <w:instrText xml:space="preserve"> TC </w:instrText>
            </w:r>
            <w:r w:rsidR="00FD4D2F">
              <w:instrText>„</w:instrText>
            </w:r>
            <w:bookmarkStart w:id="57" w:name="_Toc475001311"/>
            <w:r>
              <w:instrText>Meyer, Peter (FREIE WÄHLER)</w:instrText>
            </w:r>
            <w:r>
              <w:br/>
              <w:instrText>Ergebnis des Gutachtens im Auftrag des Staatsministeriums für Arbeit und Soziales, Familie und Integration zur Zusammenfassung von Klinik Herzoghöhe und Höhenklinik</w:instrText>
            </w:r>
            <w:bookmarkEnd w:id="57"/>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ist das Ergebnis der Überprüfung der En</w:t>
            </w:r>
            <w:r>
              <w:t>t</w:t>
            </w:r>
            <w:r>
              <w:t>scheidung der Deutschen Rentenversicherung Nordbayern, die Klinik He</w:t>
            </w:r>
            <w:r>
              <w:t>r</w:t>
            </w:r>
            <w:r>
              <w:t>zoghöhe und die Höhenklinik Bischofsgrün in Bayreuth zusammenzufassen bzw. wann ist mit einer Veröffentlichung zu rechnen?</w:t>
            </w:r>
          </w:p>
          <w:p w:rsidR="00DB3BD0" w:rsidRDefault="00DB3BD0" w:rsidP="00DB3BD0">
            <w:pPr>
              <w:pStyle w:val="LTAnfrageText"/>
            </w:pPr>
          </w:p>
        </w:tc>
      </w:tr>
    </w:tbl>
    <w:p w:rsidR="00DB3BD0" w:rsidRDefault="00DB3BD0" w:rsidP="00DB3BD0">
      <w:pPr>
        <w:pStyle w:val="LTUeberschrAntwortRessort"/>
      </w:pPr>
      <w:r>
        <w:t>Antwort des Staatsministeriums für Arbeit und Soziales, Familie und Integration</w:t>
      </w:r>
    </w:p>
    <w:p w:rsidR="00DB3BD0" w:rsidRDefault="00DB3BD0" w:rsidP="00DB3BD0">
      <w:pPr>
        <w:pStyle w:val="LTAntwortRessortText"/>
      </w:pPr>
      <w:r>
        <w:t>Im Rahmen der rechtsaufsichtlichen Prüfung der Entscheidung des Vorstandes der Deutschen Rentenve</w:t>
      </w:r>
      <w:r w:rsidR="00734DB0">
        <w:t xml:space="preserve">rsicherung Nordbayern vom 23. März </w:t>
      </w:r>
      <w:r>
        <w:t xml:space="preserve">2016 wurde das Gutachten der beauftragten Firma termingerecht zum </w:t>
      </w:r>
      <w:r w:rsidR="00734DB0">
        <w:t xml:space="preserve">6. Februar </w:t>
      </w:r>
      <w:r>
        <w:t>2017 erstellt. Das Gutachten wird derzeit ausgewertet. A</w:t>
      </w:r>
      <w:r>
        <w:t>n</w:t>
      </w:r>
      <w:r>
        <w:t>schließend wird voraussichtlich von der Deutschen Rentenversicherung Nordbayern eine Ste</w:t>
      </w:r>
      <w:r>
        <w:t>l</w:t>
      </w:r>
      <w:r>
        <w:t>lungnahme einzuholen sein. Es ist derzeit nicht abzusehen, wann die rechtsaufsichtliche Pr</w:t>
      </w:r>
      <w:r>
        <w:t>ü</w:t>
      </w:r>
      <w:r>
        <w:t>fung beendet sein wird.</w:t>
      </w: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7042"/>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Doris</w:t>
            </w:r>
            <w:r w:rsidRPr="00DB3BD0">
              <w:rPr>
                <w:b/>
              </w:rPr>
              <w:br/>
              <w:t>Rauscher</w:t>
            </w:r>
            <w:r w:rsidRPr="00DB3BD0">
              <w:rPr>
                <w:b/>
              </w:rPr>
              <w:br/>
            </w:r>
            <w:r w:rsidRPr="00DB3BD0">
              <w:t>(SPD)</w:t>
            </w:r>
            <w:r>
              <w:fldChar w:fldCharType="begin"/>
            </w:r>
            <w:r>
              <w:instrText xml:space="preserve"> TC </w:instrText>
            </w:r>
            <w:r w:rsidR="00FD4D2F">
              <w:instrText>„</w:instrText>
            </w:r>
            <w:bookmarkStart w:id="58" w:name="_Toc475001312"/>
            <w:r>
              <w:instrText>Rauscher, Doris (SPD)</w:instrText>
            </w:r>
            <w:r>
              <w:br/>
              <w:instrText>Anforderungen für Maßnahmen der Ferienbetreuung in Bayern</w:instrText>
            </w:r>
            <w:bookmarkEnd w:id="58"/>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 xml:space="preserve">Ich frage die Staatsregierung, welche Kriterien führen bei der Erteilung einer Betriebserlaubnis für Ferienbetreuungsmaßnahmen zur Entscheidung, wer als Fachkraft mit </w:t>
            </w:r>
            <w:r w:rsidR="00FD4D2F">
              <w:t>„</w:t>
            </w:r>
            <w:r>
              <w:t>aufgabenspezifischen Ausbildungsnachweisen</w:t>
            </w:r>
            <w:r w:rsidR="00FD4D2F">
              <w:t>“</w:t>
            </w:r>
            <w:r>
              <w:t xml:space="preserve"> gemäß der Anforderung im Sozialgesetzbuch (SGB) Achtes Buch (VIII) gilt, welche U</w:t>
            </w:r>
            <w:r>
              <w:t>n</w:t>
            </w:r>
            <w:r>
              <w:t>terschiede gibt es bei den verschiedenen Ferienbetreuungsmaßnahmen (Tagesprogramm, Übernachtungsangebote etc.) hinsichtlich der Anforderu</w:t>
            </w:r>
            <w:r>
              <w:t>n</w:t>
            </w:r>
            <w:r>
              <w:t>gen an die Qualifizierung von Betreuungskräften, und wie stellen Staatsr</w:t>
            </w:r>
            <w:r>
              <w:t>e</w:t>
            </w:r>
            <w:r>
              <w:t>gierung und Bezirksregierungen sicher, dass zukünftig alle Anbieter von Ferienbetreuungsmaßnahmen in Bayern im Rahmen ihrer Arbeit eine B</w:t>
            </w:r>
            <w:r>
              <w:t>e</w:t>
            </w:r>
            <w:r>
              <w:t>triebserlaubnis beantragen, um allen Kindern und Jugendlichen gleiche Standards bieten zu können?</w:t>
            </w:r>
          </w:p>
          <w:p w:rsidR="00DB3BD0" w:rsidRDefault="00DB3BD0" w:rsidP="00DB3BD0">
            <w:pPr>
              <w:pStyle w:val="LTAnfrageText"/>
            </w:pPr>
          </w:p>
        </w:tc>
      </w:tr>
    </w:tbl>
    <w:p w:rsidR="00DB3BD0" w:rsidRDefault="00DB3BD0" w:rsidP="00E640D1">
      <w:pPr>
        <w:pStyle w:val="LTUeberschrAntwortRessort"/>
        <w:spacing w:before="600"/>
      </w:pPr>
      <w:r>
        <w:t>Antwort des Staatsministeriums für Arbeit und Soziales, Familie und Integration</w:t>
      </w:r>
    </w:p>
    <w:p w:rsidR="00DB3BD0" w:rsidRDefault="00DB3BD0" w:rsidP="00DB3BD0">
      <w:pPr>
        <w:pStyle w:val="LTAntwortRessortText"/>
      </w:pPr>
      <w:r>
        <w:t>Nicht jede Ferienbetreuungsmaßnahme unterliegt einer Betriebserlaubnis. Einer Betriebserlau</w:t>
      </w:r>
      <w:r>
        <w:t>b</w:t>
      </w:r>
      <w:r>
        <w:t>nis bedürfen Träger einer Einrichtung, die u.a. mit dem Zweck einer ganztägigen oder über e</w:t>
      </w:r>
      <w:r>
        <w:t>i</w:t>
      </w:r>
      <w:r>
        <w:t xml:space="preserve">nen Teil des Tages erfolgenden Unterkunftsgewährung betrieben wird. Soweit Ferienangebote der Betriebserlaubnispflicht nach § 45 </w:t>
      </w:r>
      <w:r w:rsidR="00734DB0">
        <w:t xml:space="preserve">des </w:t>
      </w:r>
      <w:r w:rsidR="00734DB0" w:rsidRPr="00734DB0">
        <w:t>Sozialgesetzbuch</w:t>
      </w:r>
      <w:r w:rsidR="00734DB0">
        <w:t>s (SGB) Achtes Buch (VIII)</w:t>
      </w:r>
      <w:r>
        <w:t xml:space="preserve"> unterli</w:t>
      </w:r>
      <w:r>
        <w:t>e</w:t>
      </w:r>
      <w:r>
        <w:t xml:space="preserve">gen, entscheidet hierüber die zuständige Regierung (§ 45 Abs. 1 </w:t>
      </w:r>
      <w:r w:rsidR="00734DB0">
        <w:t xml:space="preserve">des </w:t>
      </w:r>
      <w:r w:rsidR="00734DB0" w:rsidRPr="00734DB0">
        <w:t>Gesetz</w:t>
      </w:r>
      <w:r w:rsidR="00734DB0">
        <w:t>es</w:t>
      </w:r>
      <w:r w:rsidR="00734DB0" w:rsidRPr="00734DB0">
        <w:t xml:space="preserve"> zur Ausführung der Sozialgesetze </w:t>
      </w:r>
      <w:r w:rsidR="00734DB0">
        <w:t xml:space="preserve">– </w:t>
      </w:r>
      <w:r>
        <w:t>AGSG). Nähere gesetzliche Vorgaben zu den Anforderungen an das Pe</w:t>
      </w:r>
      <w:r>
        <w:t>r</w:t>
      </w:r>
      <w:r>
        <w:t>sonal über die Vorgaben des SGB VIII hinaus, gibt es hierzu auch wegen der sehr unterschiedl</w:t>
      </w:r>
      <w:r>
        <w:t>i</w:t>
      </w:r>
      <w:r>
        <w:t>chen Fallgestaltungen nicht. Als Betreuungspersonal kommen unter Berücksichtigung der ko</w:t>
      </w:r>
      <w:r>
        <w:t>n</w:t>
      </w:r>
      <w:r>
        <w:lastRenderedPageBreak/>
        <w:t>kreten Ferienbetreuungsmaßnahme grundsätzlich sozialpädagogisches Fachpersonal sowie a</w:t>
      </w:r>
      <w:r>
        <w:t>n</w:t>
      </w:r>
      <w:r>
        <w:t>dere geeignete Personen in Betracht, die über eine entsprechende pädagogische Qualifikation oder ausreichende Erfahrung in Erziehungs- oder Jugendarbeit verfügen.</w:t>
      </w:r>
    </w:p>
    <w:p w:rsidR="00DB3BD0" w:rsidRDefault="00DB3BD0" w:rsidP="00DB3BD0">
      <w:pPr>
        <w:pStyle w:val="LTAntwortRessortText"/>
      </w:pPr>
      <w:r>
        <w:t>Dabei werden die Anforderungen an die Qualifikation des Betreuungspersonals umso höher, je intensiver die Ferienbetreuung erfolgt. Die Überwachung der Beantragung einer Betriebserlau</w:t>
      </w:r>
      <w:r>
        <w:t>b</w:t>
      </w:r>
      <w:r>
        <w:t>nis durch den jeweiligen Anbieter von Ferienbetreuungsmaßnahmen liegt bei der jeweiligen Au</w:t>
      </w:r>
      <w:r>
        <w:t>f</w:t>
      </w:r>
      <w:r>
        <w:t>sichtsbehörde. Dadurch wird sichergestellt, dass gleiche Standards eingehalten werden. Eine Nichtbeachtung der Betriebserlaubnispflicht ist strafbewehrt (§§ 104,105 SGB VIII). In allen übr</w:t>
      </w:r>
      <w:r>
        <w:t>i</w:t>
      </w:r>
      <w:r>
        <w:t>gen Fällen, in denen es keiner Betriebserlaubnis bedarf, können gleiche Standards nicht g</w:t>
      </w:r>
      <w:r>
        <w:t>e</w:t>
      </w:r>
      <w:r>
        <w:t>währleistet werden.</w:t>
      </w:r>
    </w:p>
    <w:p w:rsidR="00E640D1" w:rsidRDefault="00E640D1">
      <w:pPr>
        <w:rPr>
          <w:rFonts w:cs="Arial"/>
          <w:b/>
          <w:sz w:val="22"/>
          <w:szCs w:val="22"/>
        </w:rPr>
      </w:pPr>
      <w:r>
        <w:br w:type="page"/>
      </w:r>
    </w:p>
    <w:p w:rsidR="00DB3BD0" w:rsidRDefault="00DB3BD0" w:rsidP="00DB3BD0">
      <w:pPr>
        <w:pStyle w:val="LTUeberschrRessort"/>
      </w:pPr>
      <w:r>
        <w:lastRenderedPageBreak/>
        <w:t>Geschäftsbereich des Staatsministeriums für Gesundheit und Pflege</w:t>
      </w:r>
      <w:r>
        <w:fldChar w:fldCharType="begin"/>
      </w:r>
      <w:r>
        <w:instrText xml:space="preserve"> TC </w:instrText>
      </w:r>
      <w:r w:rsidR="00FD4D2F">
        <w:instrText>„</w:instrText>
      </w:r>
      <w:bookmarkStart w:id="59" w:name="_Toc475001313"/>
      <w:r>
        <w:instrText>Geschäftsbereich des Staatsministeriums für Gesundheit und Pflege</w:instrText>
      </w:r>
      <w:bookmarkEnd w:id="59"/>
      <w:r w:rsidR="00FD4D2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Kerstin</w:t>
            </w:r>
            <w:r w:rsidRPr="00DB3BD0">
              <w:rPr>
                <w:b/>
              </w:rPr>
              <w:br/>
              <w:t>Celina</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60" w:name="_Toc475001314"/>
            <w:r>
              <w:instrText>Celina, Kerstin (BÜNDNIS 90/DIE GRÜNEN)</w:instrText>
            </w:r>
            <w:r>
              <w:br/>
              <w:instrText>Missstände in der Seniorenresidenz Gleusdorf</w:instrText>
            </w:r>
            <w:bookmarkEnd w:id="60"/>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Nachdem die Seniorenresidenz Schloss Gleusdorf seit Sommer 2016 im Mittelpunkt staatsanwaltlicher Ermittlungen steht, frage ich die Staatsregi</w:t>
            </w:r>
            <w:r>
              <w:t>e</w:t>
            </w:r>
            <w:r>
              <w:t>rung, welche Maßnahmen seitens staatlicher Stellen (insbesondere Bezirke Unter- und Oberfranken, Landratsamt Haßberge, Staatsanwaltschaft, Krim</w:t>
            </w:r>
            <w:r>
              <w:t>i</w:t>
            </w:r>
            <w:r>
              <w:t>nalpolizei) bisher vorgenommen und eingeleitet wurden, um die Situation in der Einrichtung zu verbessern, den gesundheitlichen Zustand der Bewohn</w:t>
            </w:r>
            <w:r>
              <w:t>e</w:t>
            </w:r>
            <w:r>
              <w:t>rinnen und Bewohner zu überprüfen und die Art der Pflege zu kontrollieren, zu welchen Zeitpunkt die Seniorenresidenz von den zuständigen Stellen kontrolliert wurde (bitte die genauen Daten und Ergebnisse ab dem Zeitraum 1. Januar 2016 bis heute angeben) und mit welchen Maßnahmen die Staat</w:t>
            </w:r>
            <w:r>
              <w:t>s</w:t>
            </w:r>
            <w:r>
              <w:t>regierung in Zukunft Missstände in Pflegeheimen verhindern will?</w:t>
            </w:r>
          </w:p>
          <w:p w:rsidR="00DB3BD0" w:rsidRDefault="00DB3BD0" w:rsidP="00DB3BD0">
            <w:pPr>
              <w:pStyle w:val="LTAnfrageText"/>
            </w:pPr>
          </w:p>
        </w:tc>
      </w:tr>
    </w:tbl>
    <w:p w:rsidR="00DB3BD0" w:rsidRDefault="00DB3BD0" w:rsidP="00DB3BD0">
      <w:pPr>
        <w:pStyle w:val="LTUeberschrAntwortRessort"/>
      </w:pPr>
      <w:r>
        <w:t>Antwort des Staatsministeriums für Gesundheit und Pflege</w:t>
      </w:r>
    </w:p>
    <w:p w:rsidR="00DB3BD0" w:rsidRDefault="00DB3BD0" w:rsidP="00DB3BD0">
      <w:pPr>
        <w:pStyle w:val="LTAntwortRessortText"/>
      </w:pPr>
      <w:r>
        <w:t>Das Staatsministerium für Gesundheit und Pflege hat den Fall der Seniorenresidenz Schloss Gleusdorf zum Anlass genommen zu prüfen, ob Verbesserungen an dem derzeitigen Kontroll- und Bewertungssystem erforderlich sind. Das Ziel ist, möglichst frühzeitig Informationen über schwerwiegende Vorwürfe gegenüber Pflegeheimen zu bekommen. Deshalb sollen der Inform</w:t>
      </w:r>
      <w:r>
        <w:t>a</w:t>
      </w:r>
      <w:r>
        <w:t>tionsaustausch und die Zusammenarbeit zwischen den Behörden und auch mit dem Medizin</w:t>
      </w:r>
      <w:r>
        <w:t>i</w:t>
      </w:r>
      <w:r>
        <w:t>schen Dienst der Krankenversicherung (MDK) verbessert werden.</w:t>
      </w:r>
    </w:p>
    <w:p w:rsidR="00DB3BD0" w:rsidRDefault="00DB3BD0" w:rsidP="00DB3BD0">
      <w:pPr>
        <w:pStyle w:val="LTAntwortRessortText"/>
      </w:pPr>
      <w:r>
        <w:t>Aufgrund der Prüfung des Vorgehens der zuständigen Fachstelle für Pflege- und Behinderte</w:t>
      </w:r>
      <w:r>
        <w:t>n</w:t>
      </w:r>
      <w:r>
        <w:t xml:space="preserve">einrichtungen </w:t>
      </w:r>
      <w:r w:rsidR="00734DB0">
        <w:t>–</w:t>
      </w:r>
      <w:r>
        <w:t xml:space="preserve"> Qualitätsentwicklung und Aufsicht (FQA) hat sich gezeigt, dass eine klare g</w:t>
      </w:r>
      <w:r>
        <w:t>e</w:t>
      </w:r>
      <w:r>
        <w:t>setzliche Abgrenzung des bestehenden Beratungsauftrages der FQA von den konkreten or</w:t>
      </w:r>
      <w:r>
        <w:t>d</w:t>
      </w:r>
      <w:r>
        <w:t>nungsrechtlichen Maßnahmen erforderlich ist.</w:t>
      </w:r>
    </w:p>
    <w:p w:rsidR="00DB3BD0" w:rsidRDefault="00DB3BD0" w:rsidP="00DB3BD0">
      <w:pPr>
        <w:pStyle w:val="LTAntwortRessortText"/>
      </w:pPr>
      <w:r>
        <w:t>Zur Erläuterung: Mit dem Inkrafttreten des Pflege- und Wohnqualitätsgesetzes (PfleWoqG) im August 2008 sollte die Beratung der Einrichtungen im Mittelpunkt der Begehungen durch die FQA stehen. Den FQA wurde durch das Gesetz zunächst die Möglichkeit eröffnet, Maßnahmen zur Aufklärung zu ergreifen, wenn Zweifel bestehen, dass die durch das Gesetz vorgegebenen Qualitätsanforderungen erfüllt werden. Es wird der Grundsatz festgeschrieben, dass bei der Feststellung von Mängeln zunächst eine Beratung erfolgen soll. Dies gilt auch bei wiederholter Feststellung des Mangels. Hier wäre es denkbar, im Gesetzestext festzuschreiben, dass eine Beratung bei erstmaliger Feststellung des Mangels erfolgt, aber bei wiederholter Feststellung e</w:t>
      </w:r>
      <w:r>
        <w:t>i</w:t>
      </w:r>
      <w:r>
        <w:t xml:space="preserve">ne Anordnung erfolgen muss </w:t>
      </w:r>
      <w:r w:rsidR="00734DB0">
        <w:t>–</w:t>
      </w:r>
      <w:r>
        <w:t xml:space="preserve"> und nicht wie jetzt erfolgen kann. Im derzeit gültigen Gesetz ist es der</w:t>
      </w:r>
      <w:r w:rsidR="00734DB0">
        <w:t xml:space="preserve"> </w:t>
      </w:r>
      <w:r>
        <w:t>FQA überlassen, wann sie eine Anordnung bei Feststellung eines Mangels erlässt bzw. wie lange sie auf die Beratung der Einrichtung setzt.</w:t>
      </w:r>
    </w:p>
    <w:p w:rsidR="00DB3BD0" w:rsidRDefault="00DB3BD0" w:rsidP="00DB3BD0">
      <w:pPr>
        <w:pStyle w:val="LTAntwortRessortText"/>
      </w:pPr>
      <w:r>
        <w:t>Klar ist dabei: Die FQA können nur stichtagsbezogen prüfen. Eine umfassende staatliche Ko</w:t>
      </w:r>
      <w:r>
        <w:t>n</w:t>
      </w:r>
      <w:r>
        <w:t>trolle kann es nicht geben. Deshalb lässt sich trotz aller Bemühungen gravierendes Fehlverha</w:t>
      </w:r>
      <w:r>
        <w:t>l</w:t>
      </w:r>
      <w:r>
        <w:t>ten in Einzelfällen nicht zu 100 Prozent ausschließen.</w:t>
      </w:r>
    </w:p>
    <w:p w:rsidR="00DB3BD0" w:rsidRDefault="00DB3BD0" w:rsidP="00DB3BD0">
      <w:pPr>
        <w:pStyle w:val="LTAntwortRessortText"/>
      </w:pPr>
      <w:r>
        <w:t>Grundsätzlich gilt es, in den Einrichtungen noch stärker eine Kultur des Hinschauens und eine Atmosphäre des Vertrauens zu schaffen, die dazu ermutigen, dass Auffälligkeiten und erst recht Missstände von Pflegekräften und von Angehörigen offen angesprochen werden. Dies wäre ein ganz entscheidender Beitrag auch zur Verhinderung künftigen Fehlverhaltens.</w:t>
      </w:r>
    </w:p>
    <w:p w:rsidR="00DB3BD0" w:rsidRDefault="00DB3BD0" w:rsidP="00DB3BD0">
      <w:pPr>
        <w:pStyle w:val="LTAntwortRessortText"/>
      </w:pPr>
      <w:r>
        <w:lastRenderedPageBreak/>
        <w:t>Eine abschließende Bewertung der Vorfälle in der Seniorenresidenz Schloss Gleusdorf kann erst erfolgen, wenn die Ermittlungen der Strafverfolgungsbehörden abgeschlossen sind. Dem Staatsministerium für Gesundheit und Pflege wird durch die FQA aber regelmäßig  über  die a</w:t>
      </w:r>
      <w:r>
        <w:t>k</w:t>
      </w:r>
      <w:r>
        <w:t>tuelle Situation in der Seniorenresidenz berichtet. Es ist sehr wichtig, dass die Pflege und B</w:t>
      </w:r>
      <w:r>
        <w:t>e</w:t>
      </w:r>
      <w:r>
        <w:t>treuung auch in der Seniorenresidenz Schloss Gleusdorf angemessen gewährleistet wird. De</w:t>
      </w:r>
      <w:r>
        <w:t>s</w:t>
      </w:r>
      <w:r>
        <w:t>halb wurde nach dem Bekanntwerden der Vorwürfe die zuständige FQA des Landkreises Ha</w:t>
      </w:r>
      <w:r>
        <w:t>ß</w:t>
      </w:r>
      <w:r>
        <w:t>berge beauftragt, die Einrichtung engmaschig zu begleiten, zu beraten und gegebenenfalls e</w:t>
      </w:r>
      <w:r>
        <w:t>r</w:t>
      </w:r>
      <w:r>
        <w:t>forderliche Maßnahmen anzuordnen. Beratungsgespräche und Begehungen werden derzeit in einem ein- bis zweiwöchigen Turnus durchgeführt. Nach Auskunft der FQA ist die Versorgung der Bewohnerinnen und Bewohner sichergestellt.</w:t>
      </w:r>
    </w:p>
    <w:p w:rsidR="00DB3BD0" w:rsidRDefault="00DB3BD0" w:rsidP="00DB3BD0">
      <w:pPr>
        <w:pStyle w:val="LTAntwortRessortText"/>
      </w:pPr>
      <w:r>
        <w:t>Wann und mit welchem Ergebnis die betreffende Senioreneinrichtung zuletzt von der zuständ</w:t>
      </w:r>
      <w:r>
        <w:t>i</w:t>
      </w:r>
      <w:r>
        <w:t xml:space="preserve">gen FQA geprüft wurde, ist auch Gegenstand des Antrages der </w:t>
      </w:r>
      <w:r w:rsidR="00734DB0">
        <w:t>SPD-</w:t>
      </w:r>
      <w:r>
        <w:t>Fraktion (Drs.</w:t>
      </w:r>
      <w:r w:rsidR="00734DB0">
        <w:t> </w:t>
      </w:r>
      <w:r>
        <w:t>17/14526). Diese Frage wird nach Verabschiedung des Berichtsantrags entsprechend ausführlich beantwo</w:t>
      </w:r>
      <w:r>
        <w:t>r</w:t>
      </w:r>
      <w:r>
        <w:t>tet.</w:t>
      </w: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Verena</w:t>
            </w:r>
            <w:r w:rsidRPr="00DB3BD0">
              <w:rPr>
                <w:b/>
              </w:rPr>
              <w:br/>
              <w:t>Osgyan</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61" w:name="_Toc475001315"/>
            <w:r>
              <w:instrText>Osgyan, Verena (BÜNDNIS 90/DIE GRÜNEN)</w:instrText>
            </w:r>
            <w:r>
              <w:br/>
              <w:instrText>Datenschutzskandal am Klinikum Ingolstadt</w:instrText>
            </w:r>
            <w:bookmarkEnd w:id="61"/>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in wie vielen Fällen wird derzeit dem Klinikum Ingolstadt vorgeworfen, gegen den Schutz von Patientendaten verstoßen zu haben (bitte kurz den Sachverhalt angeben), inwiefern sind die bayerischen Datenschutzbehörden mit diesen Datenschutzverstößen am Klinikum I</w:t>
            </w:r>
            <w:r>
              <w:t>n</w:t>
            </w:r>
            <w:r>
              <w:t>golstadt befasst und in wie vielen Fällen hat das Klinikum Ingolstadt oder haben deren Gesellschafter betroffenen Patientinnen und Patienten im Z</w:t>
            </w:r>
            <w:r>
              <w:t>u</w:t>
            </w:r>
            <w:r>
              <w:t>sammenhang mit den Datenschutzverstößen eine Geldzahlung angeboten?</w:t>
            </w:r>
          </w:p>
          <w:p w:rsidR="00DB3BD0" w:rsidRDefault="00DB3BD0" w:rsidP="00DB3BD0">
            <w:pPr>
              <w:pStyle w:val="LTAnfrageText"/>
            </w:pPr>
          </w:p>
        </w:tc>
      </w:tr>
    </w:tbl>
    <w:p w:rsidR="00DB3BD0" w:rsidRDefault="00DB3BD0" w:rsidP="00E640D1">
      <w:pPr>
        <w:pStyle w:val="LTUeberschrAntwortRessort"/>
        <w:spacing w:before="840"/>
      </w:pPr>
      <w:r>
        <w:t>Antwort des Staatsministeriums für Gesundheit und Pflege</w:t>
      </w:r>
    </w:p>
    <w:p w:rsidR="00DB3BD0" w:rsidRDefault="00DB3BD0" w:rsidP="00DB3BD0">
      <w:pPr>
        <w:pStyle w:val="LTAntwortRessortText"/>
      </w:pPr>
      <w:r>
        <w:t>Zu den angesprochenen Fragen liegen dem Staatsministerium für Gesundheit und Pflege ma</w:t>
      </w:r>
      <w:r>
        <w:t>n</w:t>
      </w:r>
      <w:r>
        <w:t>gels entsprechender staatlicher Aufgaben keine Informationen vor.</w:t>
      </w:r>
    </w:p>
    <w:p w:rsidR="00DB3BD0" w:rsidRDefault="00DB3BD0" w:rsidP="00DB3BD0">
      <w:pPr>
        <w:pStyle w:val="LTAntwortRessortText"/>
      </w:pPr>
      <w:r>
        <w:t>Krankenhäuser sind keine Behörden, sondern eigenverantwortlich wirtschaftende Unternehmen. Es gibt im Krankenhausrecht keine Rechtsgrundlage für eine allgemeine staatliche Aufsicht über Krankenhäuser. Auch kommunalrechtlich unterliegt das Klinikum Ingolstadt als eine kommunal getragene GmbH nicht der unmittelbaren staatlichen Rechtsaufsicht. Dieser würden nur Stadt Ingolstadt und Bezirk Oberbayern als die Träger der GmbH unterliegen.</w:t>
      </w:r>
    </w:p>
    <w:p w:rsidR="00DB3BD0" w:rsidRDefault="00DB3BD0" w:rsidP="00DB3BD0">
      <w:pPr>
        <w:pStyle w:val="LTAntwortRessortText"/>
      </w:pPr>
      <w:r>
        <w:t>Daher gibt es zu den abgefragten Sachverhalten auch keine Auskunftspflicht des Klinikums g</w:t>
      </w:r>
      <w:r>
        <w:t>e</w:t>
      </w:r>
      <w:r>
        <w:t xml:space="preserve">genüber der Staatsregierung. Die Informationsrechte der Rechtsaufsichtsbehörde nach Art. 111 </w:t>
      </w:r>
      <w:r w:rsidR="00734DB0">
        <w:t>der Gemeindeordnung (</w:t>
      </w:r>
      <w:r>
        <w:t>GO</w:t>
      </w:r>
      <w:r w:rsidR="00734DB0">
        <w:t>)</w:t>
      </w:r>
      <w:r>
        <w:t xml:space="preserve"> und Art. 97 </w:t>
      </w:r>
      <w:r w:rsidR="00734DB0">
        <w:t>der Landkreisordnung (</w:t>
      </w:r>
      <w:r>
        <w:t>LKrO</w:t>
      </w:r>
      <w:r w:rsidR="00734DB0">
        <w:t>)</w:t>
      </w:r>
      <w:r>
        <w:t xml:space="preserve"> richten sich unmittelbar nur gegen die Träger, nicht aber gegen die Klinikum Ingolstadt GmbH.</w:t>
      </w:r>
    </w:p>
    <w:p w:rsidR="00DB3BD0" w:rsidRDefault="00DB3BD0" w:rsidP="00DB3BD0">
      <w:pPr>
        <w:pStyle w:val="LTAntwortRessortText"/>
      </w:pPr>
      <w:r>
        <w:t>Der Landesbeauftragte für den Datenschutz ist eine unabhängige Behörde, die gegenüber der Staatsregierung keine Berichts- oder Auskunftspflicht im Einzelfall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w:t>
            </w:r>
            <w:r w:rsidRPr="00DB3BD0">
              <w:br/>
            </w:r>
            <w:r w:rsidRPr="00DB3BD0">
              <w:rPr>
                <w:b/>
              </w:rPr>
              <w:t>Kathi</w:t>
            </w:r>
            <w:r w:rsidRPr="00DB3BD0">
              <w:rPr>
                <w:b/>
              </w:rPr>
              <w:br/>
              <w:t>Petersen</w:t>
            </w:r>
            <w:r w:rsidRPr="00DB3BD0">
              <w:rPr>
                <w:b/>
              </w:rPr>
              <w:br/>
            </w:r>
            <w:r w:rsidRPr="00DB3BD0">
              <w:t>(SPD)</w:t>
            </w:r>
            <w:r>
              <w:fldChar w:fldCharType="begin"/>
            </w:r>
            <w:r>
              <w:instrText xml:space="preserve"> TC </w:instrText>
            </w:r>
            <w:r w:rsidR="00FD4D2F">
              <w:instrText>„</w:instrText>
            </w:r>
            <w:bookmarkStart w:id="62" w:name="_Toc475001316"/>
            <w:r>
              <w:instrText>Petersen, Kathi (SPD)</w:instrText>
            </w:r>
            <w:r>
              <w:br/>
              <w:instrText>Hospiz- und Palliativversorgung in Bayern</w:instrText>
            </w:r>
            <w:bookmarkEnd w:id="62"/>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hoch war en in Bayern im Jahr 2016 die Versorgungsdichte mit Plätzen in Palliativstationen und in Hospizen je eine Million Einwohner sowie die Versorgungsdichte der spezialisierten ambula</w:t>
            </w:r>
            <w:r>
              <w:t>n</w:t>
            </w:r>
            <w:r>
              <w:t xml:space="preserve">ten Palliativversorgung und wie </w:t>
            </w:r>
            <w:r w:rsidR="00CD723F">
              <w:t>hoch waren</w:t>
            </w:r>
            <w:r w:rsidR="00B125EF">
              <w:t xml:space="preserve"> </w:t>
            </w:r>
            <w:r w:rsidR="00734DB0">
              <w:t xml:space="preserve">– </w:t>
            </w:r>
            <w:r>
              <w:t xml:space="preserve">soweit bekannt </w:t>
            </w:r>
            <w:r w:rsidR="00734DB0">
              <w:t>–</w:t>
            </w:r>
            <w:r w:rsidR="00B125EF">
              <w:t xml:space="preserve"> </w:t>
            </w:r>
            <w:r>
              <w:t>die entspr</w:t>
            </w:r>
            <w:r>
              <w:t>e</w:t>
            </w:r>
            <w:r>
              <w:t>chenden Vergleichszahlen in den anderen Bundesländern?</w:t>
            </w:r>
          </w:p>
          <w:p w:rsidR="00DB3BD0" w:rsidRDefault="00DB3BD0" w:rsidP="00DB3BD0">
            <w:pPr>
              <w:pStyle w:val="LTAnfrageText"/>
            </w:pPr>
          </w:p>
        </w:tc>
      </w:tr>
    </w:tbl>
    <w:p w:rsidR="00DB3BD0" w:rsidRDefault="00DB3BD0" w:rsidP="0067586E">
      <w:pPr>
        <w:pStyle w:val="LTUeberschrAntwortRessort"/>
        <w:spacing w:before="0"/>
      </w:pPr>
      <w:r>
        <w:t>Antwort des Staatsministeriums für Gesundheit und Pflege</w:t>
      </w:r>
    </w:p>
    <w:p w:rsidR="00DB3BD0" w:rsidRPr="00734DB0" w:rsidRDefault="00DB3BD0" w:rsidP="00DB3BD0">
      <w:pPr>
        <w:pStyle w:val="LTAntwortRessortText"/>
        <w:rPr>
          <w:u w:val="single"/>
        </w:rPr>
      </w:pPr>
      <w:r w:rsidRPr="00734DB0">
        <w:rPr>
          <w:u w:val="single"/>
        </w:rPr>
        <w:t>Palliativversorgung:</w:t>
      </w:r>
    </w:p>
    <w:p w:rsidR="00DB3BD0" w:rsidRDefault="00DB3BD0" w:rsidP="00DB3BD0">
      <w:pPr>
        <w:pStyle w:val="LTAntwortRessortText"/>
      </w:pPr>
      <w:r>
        <w:t>Dem vom Bayerischen Krankenhausplanungsausschuss Ende 2011 beschlossenen Fachpr</w:t>
      </w:r>
      <w:r>
        <w:t>o</w:t>
      </w:r>
      <w:r>
        <w:t xml:space="preserve">gramm </w:t>
      </w:r>
      <w:r w:rsidR="00FD4D2F">
        <w:t>„</w:t>
      </w:r>
      <w:r>
        <w:t>Palliativversorgung in Krankenhäusern</w:t>
      </w:r>
      <w:r w:rsidR="00FD4D2F">
        <w:t>“</w:t>
      </w:r>
      <w:r>
        <w:t xml:space="preserve"> liegt eine an der Empfehlung der Enquete-Kommission des Deutschen Bundestags </w:t>
      </w:r>
      <w:r w:rsidR="00FD4D2F">
        <w:t>„</w:t>
      </w:r>
      <w:r>
        <w:t>Ethik und Recht der modernen Medizin</w:t>
      </w:r>
      <w:r w:rsidR="00FD4D2F">
        <w:t>“</w:t>
      </w:r>
      <w:r>
        <w:t xml:space="preserve"> in ihrem Zw</w:t>
      </w:r>
      <w:r>
        <w:t>i</w:t>
      </w:r>
      <w:r>
        <w:t xml:space="preserve">schenbericht </w:t>
      </w:r>
      <w:r w:rsidR="00FD4D2F">
        <w:t>„</w:t>
      </w:r>
      <w:r>
        <w:t>Verbesserung der Versorgung Schwerstkranker und Sterbender in Deutschland durch Palliativmedizin und Hospizarbeit</w:t>
      </w:r>
      <w:r w:rsidR="00FD4D2F">
        <w:t>“</w:t>
      </w:r>
      <w:r w:rsidR="00734DB0">
        <w:t xml:space="preserve"> (B</w:t>
      </w:r>
      <w:r w:rsidR="00CA781B">
        <w:t>T</w:t>
      </w:r>
      <w:r w:rsidR="00734DB0">
        <w:t xml:space="preserve">-Drs. 15/5858 vom 22. Juni </w:t>
      </w:r>
      <w:r>
        <w:t>2005) orientierte B</w:t>
      </w:r>
      <w:r>
        <w:t>e</w:t>
      </w:r>
      <w:r>
        <w:t>darfszahl von 35 Palliativ</w:t>
      </w:r>
      <w:r w:rsidR="00CA781B">
        <w:t>betten pro 1 Million</w:t>
      </w:r>
      <w:r>
        <w:t xml:space="preserve"> Einwohner zugrunde. Für Bayern ergibt</w:t>
      </w:r>
      <w:r w:rsidR="00CA781B">
        <w:t xml:space="preserve"> </w:t>
      </w:r>
      <w:r>
        <w:t>sich hie</w:t>
      </w:r>
      <w:r>
        <w:t>r</w:t>
      </w:r>
      <w:r>
        <w:t xml:space="preserve">nach ein Ausbauziel von rund 470 Palliativbetten. Das Ziel ist inzwischen mehr als erreicht mit 49 Palliativstationen und 460 Palliativbetten sowie bereits vorliegenden Bedarfsfeststellungen für weitere 22 Palliativbetten an </w:t>
      </w:r>
      <w:r w:rsidR="00CA781B">
        <w:t>sechs</w:t>
      </w:r>
      <w:r>
        <w:t xml:space="preserve"> Standorten.</w:t>
      </w:r>
    </w:p>
    <w:p w:rsidR="00DB3BD0" w:rsidRPr="00CA781B" w:rsidRDefault="00DB3BD0" w:rsidP="00DB3BD0">
      <w:pPr>
        <w:pStyle w:val="LTAntwortRessortText"/>
        <w:rPr>
          <w:u w:val="single"/>
        </w:rPr>
      </w:pPr>
      <w:r w:rsidRPr="00CA781B">
        <w:rPr>
          <w:u w:val="single"/>
        </w:rPr>
        <w:t>Spezialisierte ambulante Palliativversorgung (SAPV):</w:t>
      </w:r>
    </w:p>
    <w:p w:rsidR="00DB3BD0" w:rsidRDefault="00DB3BD0" w:rsidP="00CA781B">
      <w:pPr>
        <w:pStyle w:val="LTAntwortRessortText"/>
        <w:spacing w:before="120"/>
      </w:pPr>
      <w:r>
        <w:t xml:space="preserve">Das </w:t>
      </w:r>
      <w:r w:rsidR="00CA781B">
        <w:t xml:space="preserve">Staatsministerium für Gesundheit und Pflege (StMGP) </w:t>
      </w:r>
      <w:r>
        <w:t>sieht für eine bayernweit flächend</w:t>
      </w:r>
      <w:r>
        <w:t>e</w:t>
      </w:r>
      <w:r>
        <w:t>ckende Versorgung mit spezialisierter ambulanter Palliativversorgung den Bedarf bei insgesamt rund 50 SAPV-Teams für Erwachsene. Bislang haben 42 Teams für Erwachsene einen Verso</w:t>
      </w:r>
      <w:r>
        <w:t>r</w:t>
      </w:r>
      <w:r>
        <w:t>gungsvertrag mit den Kostenträgern abgeschlossen.</w:t>
      </w:r>
    </w:p>
    <w:p w:rsidR="00DB3BD0" w:rsidRPr="00CA781B" w:rsidRDefault="00DB3BD0" w:rsidP="00DB3BD0">
      <w:pPr>
        <w:pStyle w:val="LTAntwortRessortText"/>
        <w:rPr>
          <w:u w:val="single"/>
        </w:rPr>
      </w:pPr>
      <w:r w:rsidRPr="00CA781B">
        <w:rPr>
          <w:u w:val="single"/>
        </w:rPr>
        <w:t>Hospize:</w:t>
      </w:r>
    </w:p>
    <w:p w:rsidR="00DB3BD0" w:rsidRDefault="00DB3BD0" w:rsidP="00DB3BD0">
      <w:pPr>
        <w:pStyle w:val="LTAntwortRessortText"/>
      </w:pPr>
      <w:r>
        <w:t>Aufgrund langjähriger Erfahrungen wird derzeit grundsätzlich von einer Messzahl für die stati</w:t>
      </w:r>
      <w:r>
        <w:t>o</w:t>
      </w:r>
      <w:r>
        <w:t xml:space="preserve">näre Hospizversorgung von </w:t>
      </w:r>
      <w:r w:rsidR="00CA781B">
        <w:t>einem</w:t>
      </w:r>
      <w:r>
        <w:t xml:space="preserve"> Platz für 60.000 Einwohner ausgegangen. Mit der aktuellen Einwohnerzahl Bayerns errechnet sich so zurzeit gemäß dem Konzept </w:t>
      </w:r>
      <w:r w:rsidR="00FD4D2F">
        <w:t>„</w:t>
      </w:r>
      <w:r>
        <w:t>Bedarfsplanung für st</w:t>
      </w:r>
      <w:r>
        <w:t>a</w:t>
      </w:r>
      <w:r>
        <w:t>tionäre Hospize in Bayern</w:t>
      </w:r>
      <w:r w:rsidR="00FD4D2F">
        <w:t>“</w:t>
      </w:r>
      <w:r>
        <w:t xml:space="preserve"> ein Bedarf von 210 stationären Hospizplätzen. Regionale Bedarfsl</w:t>
      </w:r>
      <w:r>
        <w:t>a</w:t>
      </w:r>
      <w:r>
        <w:t>gen können vor dem Hintergrund der aktuellen gesellschaftlichen Entwicklungen jedoch</w:t>
      </w:r>
      <w:r w:rsidR="00CA781B">
        <w:t xml:space="preserve"> </w:t>
      </w:r>
      <w:r>
        <w:t>zu einer Abweichung von dieser Anhaltszahl und damit zur Anerkennung eines höheren Bedarfs führen. In Bayern gibt es derzeit 18 stationäre Hospize für Erwachsene mit insgesamt 186 Plätzen. Z</w:t>
      </w:r>
      <w:r>
        <w:t>u</w:t>
      </w:r>
      <w:r>
        <w:t>sätzlich gibt es das Kinderhospiz St. Nikolaus, Bad Grönenbach, mit acht Plätzen. Derzeit befi</w:t>
      </w:r>
      <w:r>
        <w:t>n</w:t>
      </w:r>
      <w:r>
        <w:t>det sich in Oberfranken ein Hospiz mit acht Plätzen im Bau. Des Weiteren hat die Arbeitsg</w:t>
      </w:r>
      <w:r>
        <w:t>e</w:t>
      </w:r>
      <w:r>
        <w:t>meinschaft der bayerischen Kranken- und Pflegekassen (ARGE) für weitere Hospizplätze Ve</w:t>
      </w:r>
      <w:r>
        <w:t>r</w:t>
      </w:r>
      <w:r>
        <w:t>sorgungsverträge in Aussicht gestellt.</w:t>
      </w:r>
    </w:p>
    <w:p w:rsidR="00DB3BD0" w:rsidRPr="00CA781B" w:rsidRDefault="00DB3BD0" w:rsidP="00DB3BD0">
      <w:pPr>
        <w:pStyle w:val="LTAntwortRessortText"/>
        <w:rPr>
          <w:u w:val="single"/>
        </w:rPr>
      </w:pPr>
      <w:r w:rsidRPr="00CA781B">
        <w:rPr>
          <w:u w:val="single"/>
        </w:rPr>
        <w:t>Vergleichszahlen:</w:t>
      </w:r>
    </w:p>
    <w:p w:rsidR="00DB3BD0" w:rsidRDefault="00DB3BD0" w:rsidP="00CA781B">
      <w:pPr>
        <w:pStyle w:val="LTAntwortRessortText"/>
        <w:spacing w:before="120"/>
      </w:pPr>
      <w:r>
        <w:t>Dem StMGP liegen aktuell keine belastbaren Vergleichszahlen im Hinblick auf andere Bunde</w:t>
      </w:r>
      <w:r>
        <w:t>s</w:t>
      </w:r>
      <w:r>
        <w:t xml:space="preserve">länder vor. Die Studie der </w:t>
      </w:r>
      <w:r w:rsidR="00CA781B">
        <w:t xml:space="preserve">Deutschen </w:t>
      </w:r>
      <w:r>
        <w:t>Ges</w:t>
      </w:r>
      <w:r w:rsidR="00CA781B">
        <w:t>ellschaft für Palliativmedizin und der</w:t>
      </w:r>
      <w:r>
        <w:t xml:space="preserve"> Bertelsmann-Stiftung</w:t>
      </w:r>
      <w:r w:rsidR="00CA781B">
        <w:t xml:space="preserve"> </w:t>
      </w:r>
      <w:r w:rsidR="00FD4D2F">
        <w:t>„</w:t>
      </w:r>
      <w:r>
        <w:t xml:space="preserve">Palliativversorgung </w:t>
      </w:r>
      <w:r w:rsidR="00CA781B">
        <w:t>–</w:t>
      </w:r>
      <w:r>
        <w:t xml:space="preserve"> Strukturen und regionale Unterschiede in der Hospiz- und Palli</w:t>
      </w:r>
      <w:r>
        <w:t>a</w:t>
      </w:r>
      <w:r>
        <w:t>tivversorgung</w:t>
      </w:r>
      <w:r w:rsidR="00FD4D2F">
        <w:t>“</w:t>
      </w:r>
      <w:r>
        <w:t xml:space="preserve"> (Gütersloh, 2015) lässt nach Auffassung des StMGP keinen bundesweiten Ve</w:t>
      </w:r>
      <w:r>
        <w:t>r</w:t>
      </w:r>
      <w:r>
        <w:t>gleich zu, da die Bundesländer unterschiedliche Rahmenbedingungen (z.B. Fachprogramme) und Ausstattungen bzw. Anforderungen der Hospiz- und Palliativversorgung zugrunde legen.</w:t>
      </w:r>
      <w:r w:rsidR="00CA781B">
        <w:t xml:space="preserve"> </w:t>
      </w:r>
      <w:r>
        <w:t>Ebenso sind regionale Strukturen (z.B. Stadtstaat, Flächenstaat) nicht hinreichend berücksic</w:t>
      </w:r>
      <w:r>
        <w:t>h</w:t>
      </w:r>
      <w:r>
        <w:t>tigt.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7039"/>
      </w:tblGrid>
      <w:tr w:rsidR="00DB3BD0" w:rsidTr="00DB3BD0">
        <w:tc>
          <w:tcPr>
            <w:tcW w:w="2050" w:type="dxa"/>
            <w:shd w:val="clear" w:color="auto" w:fill="auto"/>
          </w:tcPr>
          <w:p w:rsidR="00DB3BD0" w:rsidRPr="00DB3BD0" w:rsidRDefault="00DB3BD0" w:rsidP="00DB3BD0">
            <w:pPr>
              <w:pStyle w:val="LTNumAnfrageIni1"/>
            </w:pPr>
            <w:r w:rsidRPr="00DB3BD0">
              <w:lastRenderedPageBreak/>
              <w:t>Abgeordnete</w:t>
            </w:r>
            <w:r w:rsidRPr="00DB3BD0">
              <w:br/>
            </w:r>
            <w:r w:rsidRPr="00DB3BD0">
              <w:rPr>
                <w:b/>
              </w:rPr>
              <w:t>Rosi</w:t>
            </w:r>
            <w:r w:rsidRPr="00DB3BD0">
              <w:rPr>
                <w:b/>
              </w:rPr>
              <w:br/>
              <w:t>Steinberger</w:t>
            </w:r>
            <w:r w:rsidRPr="00DB3BD0">
              <w:rPr>
                <w:b/>
              </w:rPr>
              <w:br/>
            </w:r>
            <w:r w:rsidRPr="00DB3BD0">
              <w:t>(BÜNDNIS 90/DIE GR</w:t>
            </w:r>
            <w:r w:rsidRPr="00DB3BD0">
              <w:t>Ü</w:t>
            </w:r>
            <w:r w:rsidRPr="00DB3BD0">
              <w:t>NEN)</w:t>
            </w:r>
            <w:r>
              <w:fldChar w:fldCharType="begin"/>
            </w:r>
            <w:r>
              <w:instrText xml:space="preserve"> TC </w:instrText>
            </w:r>
            <w:r w:rsidR="00FD4D2F">
              <w:instrText>„</w:instrText>
            </w:r>
            <w:bookmarkStart w:id="63" w:name="_Toc475001317"/>
            <w:r>
              <w:instrText>Steinberger, Rosi (BÜNDNIS 90/DIE GRÜNEN)</w:instrText>
            </w:r>
            <w:r>
              <w:br/>
              <w:instrText>Anzahl der Gynäkologinnen und Gynäkologen in der Stadt und im Landkreis Landshut</w:instrText>
            </w:r>
            <w:bookmarkEnd w:id="63"/>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wie viele praktizierende Gynäkologinnen und Gynäkologen gibt es im Landkreis Landshut (bitte aufschlüsseln nach Ko</w:t>
            </w:r>
            <w:r>
              <w:t>m</w:t>
            </w:r>
            <w:r>
              <w:t xml:space="preserve">munen), wie viele zugelassene Sitze gibt es in der Region (Landkreis und Stadt </w:t>
            </w:r>
            <w:r w:rsidR="00CA781B">
              <w:t>Landshut)</w:t>
            </w:r>
            <w:r>
              <w:t xml:space="preserve"> und wie soll die Versorgung der Landbevölkerung in Zukunft gewährleistet werden?</w:t>
            </w:r>
          </w:p>
          <w:p w:rsidR="00DB3BD0" w:rsidRDefault="00DB3BD0" w:rsidP="00DB3BD0">
            <w:pPr>
              <w:pStyle w:val="LTAnfrageText"/>
            </w:pPr>
          </w:p>
        </w:tc>
      </w:tr>
    </w:tbl>
    <w:p w:rsidR="00DB3BD0" w:rsidRDefault="00DB3BD0" w:rsidP="00DB3BD0">
      <w:pPr>
        <w:pStyle w:val="LTUeberschrAntwortRessort"/>
      </w:pPr>
      <w:r>
        <w:t>Antwort des Staatsministeriums für Gesundheit und Pflege</w:t>
      </w:r>
    </w:p>
    <w:p w:rsidR="00DB3BD0" w:rsidRDefault="00DB3BD0" w:rsidP="00DB3BD0">
      <w:pPr>
        <w:pStyle w:val="LTAntwortRessortText"/>
      </w:pPr>
      <w:r>
        <w:t>Der Staatsregierung selbst liegen keine eigenen Daten über Zahl und Verteilung von Vertrag</w:t>
      </w:r>
      <w:r>
        <w:t>s</w:t>
      </w:r>
      <w:r>
        <w:t>ärzten in Bayern vor. Der Bundesgesetzgeber hat die Aufgabe, die vertragsärztliche Versorgung sicherzustellen, vielmehr der Kassenärztlichen Vereinigung Bayerns (KVB) übertragen. Die KVB nimmt diese Aufgabe als Selbstverwaltungskörperschaft eigenverantwortlich wahr. Die Bedarf</w:t>
      </w:r>
      <w:r>
        <w:t>s</w:t>
      </w:r>
      <w:r>
        <w:t xml:space="preserve">planung der Frauenärzte erfolgt seit </w:t>
      </w:r>
      <w:r w:rsidR="00CA781B">
        <w:t xml:space="preserve">1. Januar </w:t>
      </w:r>
      <w:r>
        <w:t xml:space="preserve">2013 auf der Ebene der Kreisregion. Angaben zur regionalen Verteilung der niedergelassenen Frauenärzte, zur Altersstruktur der Ärzteschaft und zur Aufteilung der Ärzte nach Geschlecht in Bayern veröffentlicht die KVB im Versorgungsatlas. Dieser ist unter </w:t>
      </w:r>
      <w:hyperlink r:id="rId20" w:history="1">
        <w:r w:rsidR="00CA781B" w:rsidRPr="003B6D83">
          <w:rPr>
            <w:rStyle w:val="Hyperlink"/>
          </w:rPr>
          <w:t>www.kvb.de/ueber-uns/Versorgungsatlas</w:t>
        </w:r>
      </w:hyperlink>
      <w:r w:rsidR="00CA781B">
        <w:t xml:space="preserve"> </w:t>
      </w:r>
      <w:r>
        <w:t>allgemein zugänglich und einsehbar. Wie dem Versorgungsatlas mit Stand vom August 2016 entnommen werden kann, stehen in der Kreisregion Landshut (Stadt und Landkreis Landshut) 28 Frauenärztinnen bzw.</w:t>
      </w:r>
      <w:r w:rsidR="00B125EF">
        <w:t xml:space="preserve"> </w:t>
      </w:r>
      <w:r>
        <w:t>Frauenärzte auf insgesamt 20,5 Vertragsarztsitzen für die vertragsärztliche Versorgung zur Verfügung. Räumlich verteilen sich die Ärztinnen und Ärzte nach Personen auf Rottenburg a.d. Laaber (1), Ergold</w:t>
      </w:r>
      <w:r>
        <w:t>s</w:t>
      </w:r>
      <w:r>
        <w:t>bach (1), Ergolding (4), Altdorf (2), Landshut (18) und Vilsbiburg (2).</w:t>
      </w:r>
    </w:p>
    <w:p w:rsidR="00DB3BD0" w:rsidRDefault="00DB3BD0" w:rsidP="00DB3BD0">
      <w:pPr>
        <w:pStyle w:val="LTAntwortRessortText"/>
      </w:pPr>
      <w:r>
        <w:t>Die Kreisregion Landshut ist mit einem Versorgungsgrad von 109,1</w:t>
      </w:r>
      <w:r w:rsidR="00CA781B">
        <w:t xml:space="preserve"> </w:t>
      </w:r>
      <w:r w:rsidR="00FD4D2F">
        <w:t>Prozent</w:t>
      </w:r>
      <w:r>
        <w:t xml:space="preserve"> (Stand August 2016) regelversorgt. Dem Staatsministerium </w:t>
      </w:r>
      <w:r w:rsidR="00B125EF">
        <w:t xml:space="preserve">für Gesundheit und Pflege </w:t>
      </w:r>
      <w:r>
        <w:t>liegen derzeit keine A</w:t>
      </w:r>
      <w:r>
        <w:t>n</w:t>
      </w:r>
      <w:r>
        <w:t>haltspunkte für eine absehbare Verschlechterung der Versorgungssituation vor.</w:t>
      </w:r>
    </w:p>
    <w:p w:rsidR="00E640D1" w:rsidRDefault="00E640D1" w:rsidP="00DB3BD0">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9"/>
        <w:gridCol w:w="7040"/>
      </w:tblGrid>
      <w:tr w:rsidR="00DB3BD0" w:rsidTr="00DB3BD0">
        <w:tc>
          <w:tcPr>
            <w:tcW w:w="2050" w:type="dxa"/>
            <w:shd w:val="clear" w:color="auto" w:fill="auto"/>
          </w:tcPr>
          <w:p w:rsidR="00DB3BD0" w:rsidRPr="00DB3BD0" w:rsidRDefault="00DB3BD0" w:rsidP="00DB3BD0">
            <w:pPr>
              <w:pStyle w:val="LTNumAnfrageIni1"/>
            </w:pPr>
            <w:r w:rsidRPr="00DB3BD0">
              <w:t>Abgeordnete</w:t>
            </w:r>
            <w:r w:rsidRPr="00DB3BD0">
              <w:br/>
            </w:r>
            <w:r w:rsidRPr="00DB3BD0">
              <w:rPr>
                <w:b/>
              </w:rPr>
              <w:t>Ruth</w:t>
            </w:r>
            <w:r w:rsidRPr="00DB3BD0">
              <w:rPr>
                <w:b/>
              </w:rPr>
              <w:br/>
              <w:t>Waldmann</w:t>
            </w:r>
            <w:r w:rsidRPr="00DB3BD0">
              <w:rPr>
                <w:b/>
              </w:rPr>
              <w:br/>
            </w:r>
            <w:r w:rsidRPr="00DB3BD0">
              <w:t>(SPD)</w:t>
            </w:r>
            <w:r>
              <w:fldChar w:fldCharType="begin"/>
            </w:r>
            <w:r>
              <w:instrText xml:space="preserve"> TC </w:instrText>
            </w:r>
            <w:r w:rsidR="00FD4D2F">
              <w:instrText>„</w:instrText>
            </w:r>
            <w:bookmarkStart w:id="64" w:name="_Toc475001318"/>
            <w:r>
              <w:instrText>Waldmann, Ruth (SPD)</w:instrText>
            </w:r>
            <w:r>
              <w:br/>
              <w:instrText>Ambulantisierung vollstationärer Pflegeeinrichtungen</w:instrText>
            </w:r>
            <w:bookmarkEnd w:id="64"/>
            <w:r>
              <w:instrText xml:space="preserve"> </w:instrText>
            </w:r>
            <w:r w:rsidR="00FD4D2F">
              <w:instrText>„</w:instrText>
            </w:r>
            <w:r>
              <w:instrText xml:space="preserve"> \l 2 </w:instrText>
            </w:r>
            <w:r>
              <w:fldChar w:fldCharType="end"/>
            </w:r>
          </w:p>
        </w:tc>
        <w:tc>
          <w:tcPr>
            <w:tcW w:w="7200" w:type="dxa"/>
            <w:shd w:val="clear" w:color="auto" w:fill="auto"/>
          </w:tcPr>
          <w:p w:rsidR="00DB3BD0" w:rsidRDefault="00DB3BD0" w:rsidP="00DB3BD0">
            <w:pPr>
              <w:pStyle w:val="LTAnfrageText"/>
            </w:pPr>
            <w:r>
              <w:t>Ich frage die Staatsregierung, welche Einrichtungsträger haben seit der B</w:t>
            </w:r>
            <w:r>
              <w:t>e</w:t>
            </w:r>
            <w:r>
              <w:t>antwortung der Schriftlichen Anfrage der Abgeordneten Kathrin Sonnenhol</w:t>
            </w:r>
            <w:r>
              <w:t>z</w:t>
            </w:r>
            <w:r>
              <w:t>ner (Drs. 17/10484) vollstationäre Einrichtungen in ambulante Angebote umgewandelt, wie lautet dahingehend der Zwischenstand der vom Staatsm</w:t>
            </w:r>
            <w:r>
              <w:t>i</w:t>
            </w:r>
            <w:r>
              <w:t>nisterium für Gesundheit und Pflege beabsichtigten Evaluation des Pflege- und Wohnqualitätsgesetzes und welche Auswirkungen erwartet die Staat</w:t>
            </w:r>
            <w:r>
              <w:t>s</w:t>
            </w:r>
            <w:r>
              <w:t>regierung durch die Pflegestärkungsgesetze im Hinblick auf die Ambulant</w:t>
            </w:r>
            <w:r>
              <w:t>i</w:t>
            </w:r>
            <w:r>
              <w:t>sierung vollstationärer Pflegeeinrichtungen bzw. die Prüfung von Einrichtu</w:t>
            </w:r>
            <w:r>
              <w:t>n</w:t>
            </w:r>
            <w:r>
              <w:t>gen?</w:t>
            </w:r>
          </w:p>
          <w:p w:rsidR="00DB3BD0" w:rsidRDefault="00DB3BD0" w:rsidP="00DB3BD0">
            <w:pPr>
              <w:pStyle w:val="LTAnfrageText"/>
            </w:pPr>
          </w:p>
        </w:tc>
      </w:tr>
    </w:tbl>
    <w:p w:rsidR="0067586E" w:rsidRDefault="0067586E" w:rsidP="00DB3BD0">
      <w:pPr>
        <w:pStyle w:val="LTUeberschrAntwortRessort"/>
      </w:pPr>
    </w:p>
    <w:p w:rsidR="0067586E" w:rsidRDefault="0067586E">
      <w:pPr>
        <w:rPr>
          <w:b/>
          <w:szCs w:val="22"/>
        </w:rPr>
      </w:pPr>
      <w:r>
        <w:br w:type="page"/>
      </w:r>
    </w:p>
    <w:p w:rsidR="00DB3BD0" w:rsidRDefault="00DB3BD0" w:rsidP="00DB3BD0">
      <w:pPr>
        <w:pStyle w:val="LTUeberschrAntwortRessort"/>
      </w:pPr>
      <w:r>
        <w:lastRenderedPageBreak/>
        <w:t>Antwort des Staatsministeriums für Gesundheit und Pflege</w:t>
      </w:r>
    </w:p>
    <w:p w:rsidR="00DB3BD0" w:rsidRDefault="00DB3BD0" w:rsidP="00DB3BD0">
      <w:pPr>
        <w:pStyle w:val="LTAntwortRessortText"/>
      </w:pPr>
      <w:r>
        <w:t>Dem Staatsministerium für Gesundheit und Pflege liegen keine Erkenntnisse vor, wie viele vol</w:t>
      </w:r>
      <w:r>
        <w:t>l</w:t>
      </w:r>
      <w:r>
        <w:t xml:space="preserve">stationäre Einrichtungen </w:t>
      </w:r>
      <w:r w:rsidR="00CA781B">
        <w:t xml:space="preserve">seit der Schriftlichen Anfrage der Abgeordneten </w:t>
      </w:r>
      <w:r>
        <w:t xml:space="preserve">Kathrin Sonnenholzner </w:t>
      </w:r>
      <w:r w:rsidR="00CA781B">
        <w:t xml:space="preserve">(Drs. 17/10484) </w:t>
      </w:r>
      <w:r>
        <w:t xml:space="preserve">in ambulante Angebote umgewandelt worden sind. Eine erneute Erhebung der Zahl von ambulantisierten stationären Einrichtungen war in der Kürze der </w:t>
      </w:r>
      <w:r w:rsidR="00CA781B">
        <w:t xml:space="preserve">für die Beantwortung einer Anfrage zum Plenum </w:t>
      </w:r>
      <w:r>
        <w:t>zur Verfügung stehenden Zeit nicht möglich.</w:t>
      </w:r>
    </w:p>
    <w:p w:rsidR="00DB3BD0" w:rsidRDefault="00DB3BD0" w:rsidP="00DB3BD0">
      <w:pPr>
        <w:pStyle w:val="LTAntwortRessortText"/>
      </w:pPr>
      <w:r>
        <w:t>Die Auswirkungen der Pflege-Stärkungsgesetze müssen erst noch abgewartet werden. Die Pfl</w:t>
      </w:r>
      <w:r>
        <w:t>e</w:t>
      </w:r>
      <w:r w:rsidR="00CA781B">
        <w:t>ge-</w:t>
      </w:r>
      <w:r>
        <w:t>Stärkungsgesetze verbessern die häusliche Pflege. Damit einhergehend wird eine steigende Nachfrage nach Pflegediensten, aber auch nach Einrichtungen der Kurzzeit-, Tages- und Nach</w:t>
      </w:r>
      <w:r>
        <w:t>t</w:t>
      </w:r>
      <w:r>
        <w:t>pflege erwartet. Darüber hinaus dürfte sich der Trend zur Nachfrage  nach Wohnmöglichkeiten in ambulant betreuten Wohngemeinschaften fortsetzen. Ferner ist damit zu rechnen, dass sich immer mehr kleinräumigere, individualisierte Wohnformen bilden, die mit den tradierten Woh</w:t>
      </w:r>
      <w:r>
        <w:t>n</w:t>
      </w:r>
      <w:r>
        <w:t>formen wie Heimen nichts mehr gemein haben.</w:t>
      </w:r>
    </w:p>
    <w:p w:rsidR="00DB3BD0" w:rsidRDefault="00DB3BD0" w:rsidP="00CA781B">
      <w:pPr>
        <w:pStyle w:val="LTAntwortRessortText"/>
      </w:pPr>
      <w:r>
        <w:t>Ob und inwieweit die Ambulantisierung im Sinne der Schriftlichen Anfrage der Abgeordneten K</w:t>
      </w:r>
      <w:r>
        <w:t>a</w:t>
      </w:r>
      <w:r w:rsidR="00CA781B">
        <w:t>thrin Sonnenholzner</w:t>
      </w:r>
      <w:r>
        <w:t xml:space="preserve"> weiter Raum greifen und welche Auswirkungen dies auf die Prüfung von Einrichtungen haben wird, kann noch nicht eingeschätzt werden. Die Prüfung des Pflege- und Wohnqualitätsgesetzes im Hinblick auf die Ambulantisierung der Wohnformen und daraus resu</w:t>
      </w:r>
      <w:r>
        <w:t>l</w:t>
      </w:r>
      <w:r>
        <w:t>tierend, einen Anpassungsbedarf des Pflege- und Wohnqualitätsgesetzes ist noch nicht abg</w:t>
      </w:r>
      <w:r>
        <w:t>e</w:t>
      </w:r>
      <w:r>
        <w:t>schlossen.</w:t>
      </w:r>
    </w:p>
    <w:p w:rsidR="00CA781B" w:rsidRDefault="00CA781B" w:rsidP="00CA781B">
      <w:pPr>
        <w:pStyle w:val="LTAntwortRessortText"/>
      </w:pPr>
    </w:p>
    <w:sectPr w:rsidR="00CA781B" w:rsidSect="007B21D8">
      <w:headerReference w:type="even" r:id="rId21"/>
      <w:headerReference w:type="default" r:id="rId22"/>
      <w:footerReference w:type="default" r:id="rId23"/>
      <w:pgSz w:w="11906" w:h="16838" w:code="9"/>
      <w:pgMar w:top="1418" w:right="1304" w:bottom="1134" w:left="1701"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3F" w:rsidRDefault="00CD723F">
      <w:r>
        <w:separator/>
      </w:r>
    </w:p>
  </w:endnote>
  <w:endnote w:type="continuationSeparator" w:id="0">
    <w:p w:rsidR="00CD723F" w:rsidRDefault="00CD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Pr="009C32BE" w:rsidRDefault="00CD723F"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Default="00CD72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Pr="00311533" w:rsidRDefault="00CD723F" w:rsidP="00311533">
    <w:pPr>
      <w:pStyle w:val="Fuzeile"/>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3F" w:rsidRDefault="00CD723F">
      <w:r>
        <w:separator/>
      </w:r>
    </w:p>
  </w:footnote>
  <w:footnote w:type="continuationSeparator" w:id="0">
    <w:p w:rsidR="00CD723F" w:rsidRDefault="00CD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Default="00CD723F"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C87EB4">
        <w:t>17</w:t>
      </w:r>
    </w:fldSimple>
    <w:r w:rsidRPr="00CA6785">
      <w:t>/</w:t>
    </w:r>
    <w:r>
      <w:rPr>
        <w:b/>
      </w:rPr>
      <w:fldChar w:fldCharType="begin"/>
    </w:r>
    <w:r>
      <w:rPr>
        <w:b/>
      </w:rPr>
      <w:instrText xml:space="preserve"> DOCVARIABLE  "Drsnr" \* MERGEFORMAT </w:instrText>
    </w:r>
    <w:r>
      <w:rPr>
        <w:b/>
      </w:rPr>
      <w:fldChar w:fldCharType="separate"/>
    </w:r>
    <w:r w:rsidR="00C87EB4">
      <w:rPr>
        <w:b/>
      </w:rPr>
      <w:t>15517</w:t>
    </w:r>
    <w:r>
      <w:rPr>
        <w:b/>
      </w:rPr>
      <w:fldChar w:fldCharType="end"/>
    </w:r>
    <w:r>
      <w:tab/>
    </w:r>
    <w:r>
      <w:tab/>
    </w:r>
    <w:r w:rsidRPr="009A2D8C">
      <w:t>Bayerischer Landtag</w:t>
    </w:r>
    <w:r>
      <w:t xml:space="preserve"> -</w:t>
    </w:r>
    <w:fldSimple w:instr=" DOCVARIABLE  &quot;Wp&quot; \* MERGEFORMAT ">
      <w:r w:rsidR="00C87EB4">
        <w:t>17</w:t>
      </w:r>
    </w:fldSimple>
    <w:r>
      <w:t>. Wahlperiode</w:t>
    </w:r>
  </w:p>
  <w:p w:rsidR="00CD723F" w:rsidRDefault="00CD723F"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Default="00CD723F"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fldSimple w:instr=" DOCVARIABLE  &quot;Wp&quot; \* MERGEFORMAT ">
      <w:r w:rsidR="00C87EB4">
        <w:t>17</w:t>
      </w:r>
    </w:fldSimple>
    <w:r>
      <w:t>. Wahlperiode</w:t>
    </w:r>
    <w:r>
      <w:tab/>
    </w:r>
    <w:r>
      <w:tab/>
    </w:r>
    <w:r w:rsidRPr="009A2D8C">
      <w:rPr>
        <w:b/>
      </w:rPr>
      <w:t>Drucksache</w:t>
    </w:r>
    <w:r>
      <w:rPr>
        <w:b/>
      </w:rPr>
      <w:t xml:space="preserve"> </w:t>
    </w:r>
    <w:fldSimple w:instr=" DOCVARIABLE  &quot;Wp&quot; \* MERGEFORMAT ">
      <w:r w:rsidR="00C87EB4">
        <w:t>17</w:t>
      </w:r>
    </w:fldSimple>
    <w:r w:rsidRPr="00CA6785">
      <w:t>/</w:t>
    </w:r>
    <w:r>
      <w:rPr>
        <w:b/>
      </w:rPr>
      <w:fldChar w:fldCharType="begin"/>
    </w:r>
    <w:r>
      <w:rPr>
        <w:b/>
      </w:rPr>
      <w:instrText xml:space="preserve"> DOCVARIABLE  "Drsnr" \* MERGEFORMAT </w:instrText>
    </w:r>
    <w:r>
      <w:rPr>
        <w:b/>
      </w:rPr>
      <w:fldChar w:fldCharType="separate"/>
    </w:r>
    <w:r w:rsidR="00C87EB4">
      <w:rPr>
        <w:b/>
      </w:rPr>
      <w:t>15517</w:t>
    </w:r>
    <w:r>
      <w:rPr>
        <w:b/>
      </w:rPr>
      <w:fldChar w:fldCharType="end"/>
    </w:r>
  </w:p>
  <w:p w:rsidR="00CD723F" w:rsidRPr="00C127DA" w:rsidRDefault="00CD723F" w:rsidP="00C127DA">
    <w:pPr>
      <w:pStyle w:val="Kopfzeile"/>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Default="00CD723F"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9500CA" w:rsidRPr="009500CA">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9500CA">
      <w:rPr>
        <w:sz w:val="22"/>
        <w:szCs w:val="22"/>
      </w:rPr>
      <w:t>16.02.2017</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9500CA" w:rsidRPr="009500CA">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9500CA" w:rsidRPr="009500CA">
      <w:rPr>
        <w:b/>
        <w:bCs/>
        <w:sz w:val="42"/>
        <w:szCs w:val="42"/>
      </w:rPr>
      <w:t>15517</w:t>
    </w:r>
    <w:r w:rsidRPr="00853926">
      <w:rPr>
        <w:b/>
        <w:sz w:val="42"/>
        <w:szCs w:val="42"/>
      </w:rPr>
      <w:fldChar w:fldCharType="end"/>
    </w:r>
  </w:p>
  <w:p w:rsidR="00CD723F" w:rsidRPr="00812558" w:rsidRDefault="00CD723F" w:rsidP="00C127DA">
    <w:pPr>
      <w:spacing w:before="240"/>
      <w:jc w:val="center"/>
      <w:rPr>
        <w:color w:val="FF000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Default="00CD723F"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87EB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87EB4">
      <w:rPr>
        <w:b/>
        <w:szCs w:val="20"/>
      </w:rPr>
      <w:t>15517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87EB4">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87EB4">
      <w:rPr>
        <w:rStyle w:val="Seitenzahl"/>
        <w:noProof/>
        <w:szCs w:val="20"/>
      </w:rPr>
      <w:t>IV</w:t>
    </w:r>
    <w:r w:rsidRPr="00DE5B17">
      <w:rPr>
        <w:rStyle w:val="Seitenzahl"/>
        <w:szCs w:val="20"/>
      </w:rPr>
      <w:fldChar w:fldCharType="end"/>
    </w:r>
  </w:p>
  <w:p w:rsidR="00CD723F" w:rsidRPr="00861320" w:rsidRDefault="00CD723F" w:rsidP="006E5B9D">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Pr="00A44F63" w:rsidRDefault="00CD723F"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87EB4">
      <w:rPr>
        <w:rStyle w:val="Seitenzahl"/>
        <w:noProof/>
        <w:szCs w:val="20"/>
      </w:rPr>
      <w:t>V</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87EB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87EB4">
      <w:rPr>
        <w:b/>
        <w:szCs w:val="20"/>
      </w:rPr>
      <w:t>15517</w:t>
    </w:r>
    <w:r w:rsidRPr="00A44F63">
      <w:rPr>
        <w:b/>
        <w:szCs w:val="20"/>
      </w:rPr>
      <w:fldChar w:fldCharType="end"/>
    </w:r>
  </w:p>
  <w:p w:rsidR="00CD723F" w:rsidRPr="004B2185" w:rsidRDefault="00CD723F" w:rsidP="008A671A">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Pr="00A44F63" w:rsidRDefault="00CD723F"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87EB4">
      <w:rPr>
        <w:rStyle w:val="Seitenzahl"/>
        <w:noProof/>
        <w:szCs w:val="20"/>
      </w:rPr>
      <w:t>50</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87EB4">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87EB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87EB4">
      <w:rPr>
        <w:b/>
        <w:szCs w:val="20"/>
      </w:rPr>
      <w:t>15517</w:t>
    </w:r>
    <w:r w:rsidRPr="00A44F63">
      <w:rPr>
        <w:b/>
        <w:szCs w:val="20"/>
      </w:rPr>
      <w:fldChar w:fldCharType="end"/>
    </w:r>
  </w:p>
  <w:p w:rsidR="00CD723F" w:rsidRPr="00861320" w:rsidRDefault="00CD723F" w:rsidP="006E5B9D">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3F" w:rsidRPr="00DE5B17" w:rsidRDefault="00CD723F"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C87EB4">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C87EB4">
      <w:rPr>
        <w:b/>
        <w:szCs w:val="20"/>
      </w:rPr>
      <w:t>15517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C87EB4">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C87EB4">
      <w:rPr>
        <w:rStyle w:val="Seitenzahl"/>
        <w:noProof/>
        <w:szCs w:val="20"/>
      </w:rPr>
      <w:t>49</w:t>
    </w:r>
    <w:r w:rsidRPr="00DE5B17">
      <w:rPr>
        <w:rStyle w:val="Seitenzahl"/>
        <w:szCs w:val="20"/>
      </w:rPr>
      <w:fldChar w:fldCharType="end"/>
    </w:r>
  </w:p>
  <w:p w:rsidR="00CD723F" w:rsidRPr="00601929" w:rsidRDefault="00CD723F"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EB7DC"/>
    <w:lvl w:ilvl="0">
      <w:start w:val="1"/>
      <w:numFmt w:val="decimal"/>
      <w:lvlText w:val="%1."/>
      <w:lvlJc w:val="left"/>
      <w:pPr>
        <w:tabs>
          <w:tab w:val="num" w:pos="1492"/>
        </w:tabs>
        <w:ind w:left="1492" w:hanging="360"/>
      </w:pPr>
    </w:lvl>
  </w:abstractNum>
  <w:abstractNum w:abstractNumId="1">
    <w:nsid w:val="FFFFFF7D"/>
    <w:multiLevelType w:val="singleLevel"/>
    <w:tmpl w:val="BDE6936E"/>
    <w:lvl w:ilvl="0">
      <w:start w:val="1"/>
      <w:numFmt w:val="decimal"/>
      <w:lvlText w:val="%1."/>
      <w:lvlJc w:val="left"/>
      <w:pPr>
        <w:tabs>
          <w:tab w:val="num" w:pos="1209"/>
        </w:tabs>
        <w:ind w:left="1209" w:hanging="360"/>
      </w:pPr>
    </w:lvl>
  </w:abstractNum>
  <w:abstractNum w:abstractNumId="2">
    <w:nsid w:val="FFFFFF7E"/>
    <w:multiLevelType w:val="singleLevel"/>
    <w:tmpl w:val="49D6FD44"/>
    <w:lvl w:ilvl="0">
      <w:start w:val="1"/>
      <w:numFmt w:val="decimal"/>
      <w:lvlText w:val="%1."/>
      <w:lvlJc w:val="left"/>
      <w:pPr>
        <w:tabs>
          <w:tab w:val="num" w:pos="926"/>
        </w:tabs>
        <w:ind w:left="926" w:hanging="360"/>
      </w:pPr>
    </w:lvl>
  </w:abstractNum>
  <w:abstractNum w:abstractNumId="3">
    <w:nsid w:val="FFFFFF7F"/>
    <w:multiLevelType w:val="singleLevel"/>
    <w:tmpl w:val="DBCCD3C8"/>
    <w:lvl w:ilvl="0">
      <w:start w:val="1"/>
      <w:numFmt w:val="decimal"/>
      <w:lvlText w:val="%1."/>
      <w:lvlJc w:val="left"/>
      <w:pPr>
        <w:tabs>
          <w:tab w:val="num" w:pos="643"/>
        </w:tabs>
        <w:ind w:left="643" w:hanging="360"/>
      </w:pPr>
    </w:lvl>
  </w:abstractNum>
  <w:abstractNum w:abstractNumId="4">
    <w:nsid w:val="FFFFFF80"/>
    <w:multiLevelType w:val="singleLevel"/>
    <w:tmpl w:val="ABA8C2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A3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A48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2D1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C46E5A"/>
    <w:lvl w:ilvl="0">
      <w:start w:val="1"/>
      <w:numFmt w:val="decimal"/>
      <w:lvlText w:val="%1."/>
      <w:lvlJc w:val="left"/>
      <w:pPr>
        <w:tabs>
          <w:tab w:val="num" w:pos="360"/>
        </w:tabs>
        <w:ind w:left="360" w:hanging="360"/>
      </w:pPr>
    </w:lvl>
  </w:abstractNum>
  <w:abstractNum w:abstractNumId="9">
    <w:nsid w:val="FFFFFF89"/>
    <w:multiLevelType w:val="singleLevel"/>
    <w:tmpl w:val="DE8E94BE"/>
    <w:lvl w:ilvl="0">
      <w:start w:val="1"/>
      <w:numFmt w:val="bullet"/>
      <w:lvlText w:val=""/>
      <w:lvlJc w:val="left"/>
      <w:pPr>
        <w:tabs>
          <w:tab w:val="num" w:pos="360"/>
        </w:tabs>
        <w:ind w:left="360" w:hanging="360"/>
      </w:pPr>
      <w:rPr>
        <w:rFonts w:ascii="Symbol" w:hAnsi="Symbol" w:hint="default"/>
      </w:rPr>
    </w:lvl>
  </w:abstractNum>
  <w:abstractNum w:abstractNumId="10">
    <w:nsid w:val="18181927"/>
    <w:multiLevelType w:val="hybridMultilevel"/>
    <w:tmpl w:val="32E03C3C"/>
    <w:lvl w:ilvl="0" w:tplc="37841854">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1C0C3BC2"/>
    <w:multiLevelType w:val="hybridMultilevel"/>
    <w:tmpl w:val="A2DC3BF6"/>
    <w:lvl w:ilvl="0" w:tplc="37841854">
      <w:start w:val="1"/>
      <w:numFmt w:val="bullet"/>
      <w:lvlText w:val=""/>
      <w:lvlJc w:val="left"/>
      <w:pPr>
        <w:ind w:left="1060" w:hanging="360"/>
      </w:pPr>
      <w:rPr>
        <w:rFonts w:ascii="Symbol" w:hAnsi="Symbol" w:hint="default"/>
      </w:rPr>
    </w:lvl>
    <w:lvl w:ilvl="1" w:tplc="37841854">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7B01CB"/>
    <w:multiLevelType w:val="hybridMultilevel"/>
    <w:tmpl w:val="0338D76E"/>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811E53"/>
    <w:multiLevelType w:val="hybridMultilevel"/>
    <w:tmpl w:val="59CAED6C"/>
    <w:lvl w:ilvl="0" w:tplc="ED2EA96E">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9">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1091280"/>
    <w:multiLevelType w:val="hybridMultilevel"/>
    <w:tmpl w:val="F6A48AD4"/>
    <w:lvl w:ilvl="0" w:tplc="37841854">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597271A"/>
    <w:multiLevelType w:val="hybridMultilevel"/>
    <w:tmpl w:val="00DEB248"/>
    <w:lvl w:ilvl="0" w:tplc="37841854">
      <w:start w:val="1"/>
      <w:numFmt w:val="bullet"/>
      <w:lvlText w:val=""/>
      <w:lvlJc w:val="left"/>
      <w:pPr>
        <w:ind w:left="1060" w:hanging="360"/>
      </w:pPr>
      <w:rPr>
        <w:rFonts w:ascii="Symbol" w:hAnsi="Symbol" w:hint="default"/>
      </w:rPr>
    </w:lvl>
    <w:lvl w:ilvl="1" w:tplc="05886D1A">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21"/>
  </w:num>
  <w:num w:numId="4">
    <w:abstractNumId w:val="24"/>
  </w:num>
  <w:num w:numId="5">
    <w:abstractNumId w:val="22"/>
  </w:num>
  <w:num w:numId="6">
    <w:abstractNumId w:val="19"/>
  </w:num>
  <w:num w:numId="7">
    <w:abstractNumId w:val="12"/>
  </w:num>
  <w:num w:numId="8">
    <w:abstractNumId w:val="14"/>
  </w:num>
  <w:num w:numId="9">
    <w:abstractNumId w:val="25"/>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3"/>
  </w:num>
  <w:num w:numId="26">
    <w:abstractNumId w:val="18"/>
  </w:num>
  <w:num w:numId="27">
    <w:abstractNumId w:val="23"/>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Full" w:cryptAlgorithmClass="hash" w:cryptAlgorithmType="typeAny" w:cryptAlgorithmSid="4" w:cryptSpinCount="100000" w:hash="ZUDnJaN8+aSXGl0+ZK2MPwK6els=" w:salt="MKl0SY+nqSXn02xTtEmgTg=="/>
  <w:defaultTabStop w:val="709"/>
  <w:autoHyphenation/>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15517"/>
    <w:docVar w:name="Eingangsdatum" w:val="16.02.2017"/>
    <w:docVar w:name="Wochendatum" w:val="13. Februar 2017"/>
    <w:docVar w:name="Wp" w:val="17"/>
  </w:docVars>
  <w:rsids>
    <w:rsidRoot w:val="00DB3BD0"/>
    <w:rsid w:val="00002517"/>
    <w:rsid w:val="00006292"/>
    <w:rsid w:val="0001286D"/>
    <w:rsid w:val="00022CC6"/>
    <w:rsid w:val="000371B5"/>
    <w:rsid w:val="00043B70"/>
    <w:rsid w:val="000614E0"/>
    <w:rsid w:val="00061EB3"/>
    <w:rsid w:val="0007237C"/>
    <w:rsid w:val="000779F7"/>
    <w:rsid w:val="00083D54"/>
    <w:rsid w:val="000A7569"/>
    <w:rsid w:val="000B6977"/>
    <w:rsid w:val="000B764D"/>
    <w:rsid w:val="000C480A"/>
    <w:rsid w:val="000C71A5"/>
    <w:rsid w:val="000C72A9"/>
    <w:rsid w:val="000C74C3"/>
    <w:rsid w:val="000C7D5A"/>
    <w:rsid w:val="000E29A0"/>
    <w:rsid w:val="000E73CC"/>
    <w:rsid w:val="000F109F"/>
    <w:rsid w:val="00115803"/>
    <w:rsid w:val="00135D97"/>
    <w:rsid w:val="00136D38"/>
    <w:rsid w:val="001447AC"/>
    <w:rsid w:val="00154F5F"/>
    <w:rsid w:val="001576CA"/>
    <w:rsid w:val="001579D6"/>
    <w:rsid w:val="00163927"/>
    <w:rsid w:val="001676F2"/>
    <w:rsid w:val="00171CDA"/>
    <w:rsid w:val="001A3B0A"/>
    <w:rsid w:val="001E3461"/>
    <w:rsid w:val="001F240A"/>
    <w:rsid w:val="001F66F4"/>
    <w:rsid w:val="00200916"/>
    <w:rsid w:val="0021513E"/>
    <w:rsid w:val="00215CAA"/>
    <w:rsid w:val="00226E30"/>
    <w:rsid w:val="00231278"/>
    <w:rsid w:val="0023365B"/>
    <w:rsid w:val="002375B2"/>
    <w:rsid w:val="00246DE7"/>
    <w:rsid w:val="00283D88"/>
    <w:rsid w:val="0028470E"/>
    <w:rsid w:val="00284AA1"/>
    <w:rsid w:val="002B0D52"/>
    <w:rsid w:val="002B138D"/>
    <w:rsid w:val="002B27E5"/>
    <w:rsid w:val="002C225B"/>
    <w:rsid w:val="002D53C0"/>
    <w:rsid w:val="002D5E77"/>
    <w:rsid w:val="002D720A"/>
    <w:rsid w:val="002E17FC"/>
    <w:rsid w:val="00311533"/>
    <w:rsid w:val="0031185F"/>
    <w:rsid w:val="003220C1"/>
    <w:rsid w:val="003229D5"/>
    <w:rsid w:val="003317ED"/>
    <w:rsid w:val="003343E3"/>
    <w:rsid w:val="00352D0E"/>
    <w:rsid w:val="00354E4E"/>
    <w:rsid w:val="003571B7"/>
    <w:rsid w:val="0036081C"/>
    <w:rsid w:val="003816B6"/>
    <w:rsid w:val="00384BCC"/>
    <w:rsid w:val="003865DE"/>
    <w:rsid w:val="00390B65"/>
    <w:rsid w:val="003A0B46"/>
    <w:rsid w:val="003A6DDF"/>
    <w:rsid w:val="003A7D43"/>
    <w:rsid w:val="003B10EA"/>
    <w:rsid w:val="003B21D3"/>
    <w:rsid w:val="003B4646"/>
    <w:rsid w:val="003B7D59"/>
    <w:rsid w:val="003C104D"/>
    <w:rsid w:val="003C4151"/>
    <w:rsid w:val="003E107C"/>
    <w:rsid w:val="003E2DEE"/>
    <w:rsid w:val="003E36C6"/>
    <w:rsid w:val="003E7E4B"/>
    <w:rsid w:val="003F467B"/>
    <w:rsid w:val="004104B6"/>
    <w:rsid w:val="004148C6"/>
    <w:rsid w:val="00416271"/>
    <w:rsid w:val="00417B8A"/>
    <w:rsid w:val="00431F16"/>
    <w:rsid w:val="0045402F"/>
    <w:rsid w:val="00465F83"/>
    <w:rsid w:val="00476B56"/>
    <w:rsid w:val="004A0B31"/>
    <w:rsid w:val="004B184E"/>
    <w:rsid w:val="004B5A87"/>
    <w:rsid w:val="004C1BA3"/>
    <w:rsid w:val="004D4829"/>
    <w:rsid w:val="004E1031"/>
    <w:rsid w:val="004F2494"/>
    <w:rsid w:val="00503867"/>
    <w:rsid w:val="00503F3C"/>
    <w:rsid w:val="005040C2"/>
    <w:rsid w:val="00505B41"/>
    <w:rsid w:val="0053309B"/>
    <w:rsid w:val="00544156"/>
    <w:rsid w:val="005517B2"/>
    <w:rsid w:val="00565DC5"/>
    <w:rsid w:val="0057046C"/>
    <w:rsid w:val="0057191B"/>
    <w:rsid w:val="00572482"/>
    <w:rsid w:val="005833DD"/>
    <w:rsid w:val="005834A1"/>
    <w:rsid w:val="00593818"/>
    <w:rsid w:val="005A0EEC"/>
    <w:rsid w:val="005A79EC"/>
    <w:rsid w:val="005C5701"/>
    <w:rsid w:val="005D0F29"/>
    <w:rsid w:val="005D3C42"/>
    <w:rsid w:val="005F371F"/>
    <w:rsid w:val="00601929"/>
    <w:rsid w:val="006076A5"/>
    <w:rsid w:val="00610EFD"/>
    <w:rsid w:val="0062036D"/>
    <w:rsid w:val="00620B1D"/>
    <w:rsid w:val="00651968"/>
    <w:rsid w:val="00653E6D"/>
    <w:rsid w:val="00674B0D"/>
    <w:rsid w:val="0067586E"/>
    <w:rsid w:val="006B1709"/>
    <w:rsid w:val="006C4DB6"/>
    <w:rsid w:val="006C5C31"/>
    <w:rsid w:val="006D2E83"/>
    <w:rsid w:val="006E0274"/>
    <w:rsid w:val="006E5B9D"/>
    <w:rsid w:val="006F0AB3"/>
    <w:rsid w:val="007061D4"/>
    <w:rsid w:val="00714C18"/>
    <w:rsid w:val="00717184"/>
    <w:rsid w:val="007232E8"/>
    <w:rsid w:val="00734DB0"/>
    <w:rsid w:val="00743EFE"/>
    <w:rsid w:val="0075012C"/>
    <w:rsid w:val="0075769E"/>
    <w:rsid w:val="00761779"/>
    <w:rsid w:val="007649D6"/>
    <w:rsid w:val="00764C64"/>
    <w:rsid w:val="0077709E"/>
    <w:rsid w:val="00781FB1"/>
    <w:rsid w:val="007868AE"/>
    <w:rsid w:val="007A0949"/>
    <w:rsid w:val="007B21D8"/>
    <w:rsid w:val="007B295E"/>
    <w:rsid w:val="007D041E"/>
    <w:rsid w:val="007D2213"/>
    <w:rsid w:val="007F4A87"/>
    <w:rsid w:val="007F5D2D"/>
    <w:rsid w:val="008062A0"/>
    <w:rsid w:val="00816C6F"/>
    <w:rsid w:val="00844005"/>
    <w:rsid w:val="00846D02"/>
    <w:rsid w:val="00847790"/>
    <w:rsid w:val="008540E3"/>
    <w:rsid w:val="008606C1"/>
    <w:rsid w:val="00863A28"/>
    <w:rsid w:val="00880170"/>
    <w:rsid w:val="008803A9"/>
    <w:rsid w:val="00881163"/>
    <w:rsid w:val="00883639"/>
    <w:rsid w:val="008930C0"/>
    <w:rsid w:val="008931E0"/>
    <w:rsid w:val="00897172"/>
    <w:rsid w:val="008A671A"/>
    <w:rsid w:val="008C6176"/>
    <w:rsid w:val="008D2301"/>
    <w:rsid w:val="008E2258"/>
    <w:rsid w:val="008E3C99"/>
    <w:rsid w:val="008E7B3B"/>
    <w:rsid w:val="00910923"/>
    <w:rsid w:val="0091136E"/>
    <w:rsid w:val="00911EA6"/>
    <w:rsid w:val="00911F24"/>
    <w:rsid w:val="009149D4"/>
    <w:rsid w:val="0091528A"/>
    <w:rsid w:val="009229F8"/>
    <w:rsid w:val="009234BF"/>
    <w:rsid w:val="0092602C"/>
    <w:rsid w:val="009310B8"/>
    <w:rsid w:val="009312C9"/>
    <w:rsid w:val="00932D27"/>
    <w:rsid w:val="009500CA"/>
    <w:rsid w:val="0095379B"/>
    <w:rsid w:val="00962732"/>
    <w:rsid w:val="00966E35"/>
    <w:rsid w:val="00977682"/>
    <w:rsid w:val="009924CE"/>
    <w:rsid w:val="00995D8F"/>
    <w:rsid w:val="009A2D8C"/>
    <w:rsid w:val="009A5A06"/>
    <w:rsid w:val="009B09E3"/>
    <w:rsid w:val="009B3DA8"/>
    <w:rsid w:val="009B7205"/>
    <w:rsid w:val="009C1AC7"/>
    <w:rsid w:val="009C32BE"/>
    <w:rsid w:val="009D5962"/>
    <w:rsid w:val="009E41B6"/>
    <w:rsid w:val="009E4908"/>
    <w:rsid w:val="009E6DDB"/>
    <w:rsid w:val="009F6B94"/>
    <w:rsid w:val="00A17038"/>
    <w:rsid w:val="00A2276D"/>
    <w:rsid w:val="00A25D7C"/>
    <w:rsid w:val="00A265DC"/>
    <w:rsid w:val="00A27DDA"/>
    <w:rsid w:val="00A3195E"/>
    <w:rsid w:val="00A3336A"/>
    <w:rsid w:val="00A42EAA"/>
    <w:rsid w:val="00A44F63"/>
    <w:rsid w:val="00A47020"/>
    <w:rsid w:val="00A5482B"/>
    <w:rsid w:val="00A603C5"/>
    <w:rsid w:val="00A76D72"/>
    <w:rsid w:val="00A84172"/>
    <w:rsid w:val="00A870D3"/>
    <w:rsid w:val="00AA3478"/>
    <w:rsid w:val="00AA7233"/>
    <w:rsid w:val="00AC4FC6"/>
    <w:rsid w:val="00AD523D"/>
    <w:rsid w:val="00AE1029"/>
    <w:rsid w:val="00AE4AD9"/>
    <w:rsid w:val="00B125EF"/>
    <w:rsid w:val="00B246BA"/>
    <w:rsid w:val="00B3698E"/>
    <w:rsid w:val="00B45132"/>
    <w:rsid w:val="00B57DE6"/>
    <w:rsid w:val="00B753A4"/>
    <w:rsid w:val="00B82BE0"/>
    <w:rsid w:val="00B902FE"/>
    <w:rsid w:val="00B91015"/>
    <w:rsid w:val="00B9456C"/>
    <w:rsid w:val="00BA7AAC"/>
    <w:rsid w:val="00BB117A"/>
    <w:rsid w:val="00BB3E7A"/>
    <w:rsid w:val="00BB6019"/>
    <w:rsid w:val="00BC1C8F"/>
    <w:rsid w:val="00BC4D4B"/>
    <w:rsid w:val="00BD4EB9"/>
    <w:rsid w:val="00BD7DB0"/>
    <w:rsid w:val="00BE0A75"/>
    <w:rsid w:val="00C0610E"/>
    <w:rsid w:val="00C127DA"/>
    <w:rsid w:val="00C146F6"/>
    <w:rsid w:val="00C20D25"/>
    <w:rsid w:val="00C54C38"/>
    <w:rsid w:val="00C64946"/>
    <w:rsid w:val="00C66481"/>
    <w:rsid w:val="00C67283"/>
    <w:rsid w:val="00C73BE1"/>
    <w:rsid w:val="00C83A7D"/>
    <w:rsid w:val="00C841E1"/>
    <w:rsid w:val="00C84F6F"/>
    <w:rsid w:val="00C87EB4"/>
    <w:rsid w:val="00CA46E4"/>
    <w:rsid w:val="00CA71B0"/>
    <w:rsid w:val="00CA781B"/>
    <w:rsid w:val="00CB1499"/>
    <w:rsid w:val="00CC20C5"/>
    <w:rsid w:val="00CC43A0"/>
    <w:rsid w:val="00CC6B36"/>
    <w:rsid w:val="00CC77D8"/>
    <w:rsid w:val="00CC7D0D"/>
    <w:rsid w:val="00CD0DB5"/>
    <w:rsid w:val="00CD723F"/>
    <w:rsid w:val="00CE2154"/>
    <w:rsid w:val="00CE5E4F"/>
    <w:rsid w:val="00CF5AA4"/>
    <w:rsid w:val="00CF77F6"/>
    <w:rsid w:val="00D0623A"/>
    <w:rsid w:val="00D07F06"/>
    <w:rsid w:val="00D33D48"/>
    <w:rsid w:val="00D3404D"/>
    <w:rsid w:val="00D45EB8"/>
    <w:rsid w:val="00D83DC5"/>
    <w:rsid w:val="00DA1063"/>
    <w:rsid w:val="00DA60D0"/>
    <w:rsid w:val="00DA74F1"/>
    <w:rsid w:val="00DB29C5"/>
    <w:rsid w:val="00DB3BD0"/>
    <w:rsid w:val="00DB7C40"/>
    <w:rsid w:val="00DC6F57"/>
    <w:rsid w:val="00DD002A"/>
    <w:rsid w:val="00DD14C6"/>
    <w:rsid w:val="00DD1AE7"/>
    <w:rsid w:val="00DD48D5"/>
    <w:rsid w:val="00DE5B17"/>
    <w:rsid w:val="00DF03B3"/>
    <w:rsid w:val="00E003A4"/>
    <w:rsid w:val="00E175A9"/>
    <w:rsid w:val="00E22A87"/>
    <w:rsid w:val="00E2431C"/>
    <w:rsid w:val="00E3270E"/>
    <w:rsid w:val="00E640D1"/>
    <w:rsid w:val="00E6572C"/>
    <w:rsid w:val="00E75174"/>
    <w:rsid w:val="00E878F7"/>
    <w:rsid w:val="00E91664"/>
    <w:rsid w:val="00E9757C"/>
    <w:rsid w:val="00EB6C16"/>
    <w:rsid w:val="00EC2C1B"/>
    <w:rsid w:val="00ED4839"/>
    <w:rsid w:val="00EE15D3"/>
    <w:rsid w:val="00EF116E"/>
    <w:rsid w:val="00EF398E"/>
    <w:rsid w:val="00EF67A7"/>
    <w:rsid w:val="00F0047B"/>
    <w:rsid w:val="00F64945"/>
    <w:rsid w:val="00F769C0"/>
    <w:rsid w:val="00F76B51"/>
    <w:rsid w:val="00F91A8E"/>
    <w:rsid w:val="00FA57CA"/>
    <w:rsid w:val="00FA64C1"/>
    <w:rsid w:val="00FB269D"/>
    <w:rsid w:val="00FB64A8"/>
    <w:rsid w:val="00FD4D2F"/>
    <w:rsid w:val="00FE0BE9"/>
    <w:rsid w:val="00FF1426"/>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E22A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2A87"/>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7D22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2"/>
      </w:numPr>
      <w:spacing w:before="720"/>
    </w:pPr>
  </w:style>
  <w:style w:type="character" w:customStyle="1" w:styleId="LTNumAnfrageIni1ZchnZchn">
    <w:name w:val="LT_Num_Anfrage_Ini_1 Zchn Zchn"/>
    <w:basedOn w:val="Absatz-Standardschriftart"/>
    <w:link w:val="LTNum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table" w:customStyle="1" w:styleId="TableNormal">
    <w:name w:val="Table Normal"/>
    <w:uiPriority w:val="2"/>
    <w:semiHidden/>
    <w:unhideWhenUsed/>
    <w:qFormat/>
    <w:rsid w:val="00E22A8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22A87"/>
    <w:pPr>
      <w:widowControl w:val="0"/>
    </w:pPr>
    <w:rPr>
      <w:rFonts w:asciiTheme="minorHAnsi" w:eastAsiaTheme="minorHAnsi" w:hAnsiTheme="minorHAnsi" w:cstheme="minorBidi"/>
      <w:sz w:val="22"/>
      <w:szCs w:val="22"/>
      <w:lang w:val="en-US" w:eastAsia="en-US"/>
    </w:rPr>
  </w:style>
  <w:style w:type="character" w:styleId="BesuchterHyperlink">
    <w:name w:val="FollowedHyperlink"/>
    <w:basedOn w:val="Absatz-Standardschriftart"/>
    <w:rsid w:val="007D2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best-umfrage.de/"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ehindertenbeauftragter.uni-wuerzburg.de/fileadmin/32500250/_temp_/Sonderauswertung_best2011_Bayer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kvb.de/ueber-uns/Versorgungsatl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EnergieBonus.Bayer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2ACEB-8815-4681-BB67-DFD3A17D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15829</Words>
  <Characters>107821</Characters>
  <Application>Microsoft Office Word</Application>
  <DocSecurity>8</DocSecurity>
  <Lines>3269</Lines>
  <Paragraphs>1101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122671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17/15517</dc:title>
  <dc:creator>Ströhlein, Gabriele (LTA)</dc:creator>
  <cp:lastModifiedBy>Ströhlein, Gabriele (LTA)</cp:lastModifiedBy>
  <cp:revision>4</cp:revision>
  <cp:lastPrinted>2017-02-21T11:49:00Z</cp:lastPrinted>
  <dcterms:created xsi:type="dcterms:W3CDTF">2017-02-21T11:53:00Z</dcterms:created>
  <dcterms:modified xsi:type="dcterms:W3CDTF">2017-02-21T11:53:00Z</dcterms:modified>
</cp:coreProperties>
</file>