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252708">
        <w:rPr>
          <w:b/>
        </w:rPr>
        <w:t>zur Plenarsitzung am 11.05.2022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34715F" w:rsidP="0034715F">
            <w:pPr>
              <w:pStyle w:val="LTVerzDerFragenden"/>
            </w:pPr>
            <w:bookmarkStart w:id="1" w:name="VerzeichnisDerFragenden"/>
            <w:bookmarkEnd w:id="1"/>
            <w:r>
              <w:t>Adelt, Klaus (SPD)</w:t>
            </w:r>
          </w:p>
        </w:tc>
      </w:tr>
      <w:tr w:rsidR="0034715F" w:rsidRPr="005833DD" w:rsidTr="001F3CDA">
        <w:tc>
          <w:tcPr>
            <w:tcW w:w="5000" w:type="pct"/>
          </w:tcPr>
          <w:p w:rsidR="0034715F" w:rsidRDefault="00C011AF" w:rsidP="0034715F">
            <w:pPr>
              <w:pStyle w:val="LTVerzDerFragendenFrage"/>
            </w:pPr>
            <w:hyperlink w:anchor="Frage_Nr_25" w:tooltip="Frage Nr 25" w:history="1">
              <w:r w:rsidR="0034715F">
                <w:rPr>
                  <w:rStyle w:val="Hyperlink"/>
                  <w:szCs w:val="24"/>
                </w:rPr>
                <w:t>Evaluation zu Wirkung von Luftfiltern an Schulen</w:t>
              </w:r>
              <w:r w:rsidR="0034715F">
                <w:rPr>
                  <w:rStyle w:val="Hyperlink"/>
                  <w:szCs w:val="24"/>
                </w:rPr>
                <w:tab/>
                <w:t>25</w:t>
              </w:r>
            </w:hyperlink>
          </w:p>
        </w:tc>
      </w:tr>
      <w:tr w:rsidR="0034715F" w:rsidRPr="005833DD" w:rsidTr="001F3CDA">
        <w:tc>
          <w:tcPr>
            <w:tcW w:w="5000" w:type="pct"/>
          </w:tcPr>
          <w:p w:rsidR="0034715F" w:rsidRDefault="0034715F" w:rsidP="0034715F">
            <w:pPr>
              <w:pStyle w:val="LTVerzDerFragenden"/>
            </w:pPr>
            <w:r>
              <w:t>Adjei, Benjamin (BÜNDNIS 90/DIE GRÜNEN)</w:t>
            </w:r>
          </w:p>
        </w:tc>
      </w:tr>
      <w:tr w:rsidR="0034715F" w:rsidRPr="005833DD" w:rsidTr="001F3CDA">
        <w:tc>
          <w:tcPr>
            <w:tcW w:w="5000" w:type="pct"/>
          </w:tcPr>
          <w:p w:rsidR="0034715F" w:rsidRDefault="00C011AF" w:rsidP="0034715F">
            <w:pPr>
              <w:pStyle w:val="LTVerzDerFragendenFrage"/>
            </w:pPr>
            <w:hyperlink w:anchor="Frage_Nr_26" w:tooltip="Frage Nr 26" w:history="1">
              <w:r w:rsidR="0034715F">
                <w:rPr>
                  <w:rStyle w:val="Hyperlink"/>
                  <w:szCs w:val="24"/>
                </w:rPr>
                <w:t>Regulatorische Rahmenbedingungen der Digitalisierung an Schulen</w:t>
              </w:r>
              <w:r w:rsidR="0034715F">
                <w:rPr>
                  <w:rStyle w:val="Hyperlink"/>
                  <w:szCs w:val="24"/>
                </w:rPr>
                <w:tab/>
                <w:t>26</w:t>
              </w:r>
            </w:hyperlink>
          </w:p>
        </w:tc>
      </w:tr>
      <w:tr w:rsidR="0034715F" w:rsidRPr="005833DD" w:rsidTr="001F3CDA">
        <w:tc>
          <w:tcPr>
            <w:tcW w:w="5000" w:type="pct"/>
          </w:tcPr>
          <w:p w:rsidR="0034715F" w:rsidRDefault="0034715F" w:rsidP="0034715F">
            <w:pPr>
              <w:pStyle w:val="LTVerzDerFragenden"/>
            </w:pPr>
            <w:r>
              <w:t>Arnold, Horst (SPD)</w:t>
            </w:r>
          </w:p>
        </w:tc>
      </w:tr>
      <w:tr w:rsidR="0034715F" w:rsidRPr="005833DD" w:rsidTr="001F3CDA">
        <w:tc>
          <w:tcPr>
            <w:tcW w:w="5000" w:type="pct"/>
          </w:tcPr>
          <w:p w:rsidR="0034715F" w:rsidRDefault="00C011AF" w:rsidP="0034715F">
            <w:pPr>
              <w:pStyle w:val="LTVerzDerFragendenFrage"/>
            </w:pPr>
            <w:hyperlink w:anchor="Frage_Nr_36" w:tooltip="Frage Nr 36" w:history="1">
              <w:r w:rsidR="0034715F">
                <w:rPr>
                  <w:rStyle w:val="Hyperlink"/>
                  <w:szCs w:val="24"/>
                </w:rPr>
                <w:t>Bayerische militärisch rüstungsrelevante Betriebe</w:t>
              </w:r>
              <w:r w:rsidR="0034715F">
                <w:rPr>
                  <w:rStyle w:val="Hyperlink"/>
                  <w:szCs w:val="24"/>
                </w:rPr>
                <w:tab/>
                <w:t>36</w:t>
              </w:r>
            </w:hyperlink>
          </w:p>
        </w:tc>
      </w:tr>
      <w:tr w:rsidR="0034715F" w:rsidRPr="005833DD" w:rsidTr="001F3CDA">
        <w:tc>
          <w:tcPr>
            <w:tcW w:w="5000" w:type="pct"/>
          </w:tcPr>
          <w:p w:rsidR="0034715F" w:rsidRDefault="0034715F" w:rsidP="0034715F">
            <w:pPr>
              <w:pStyle w:val="LTVerzDerFragenden"/>
            </w:pPr>
            <w:r>
              <w:t>Aures, Inge (SPD)</w:t>
            </w:r>
          </w:p>
        </w:tc>
      </w:tr>
      <w:tr w:rsidR="0034715F" w:rsidRPr="005833DD" w:rsidTr="001F3CDA">
        <w:tc>
          <w:tcPr>
            <w:tcW w:w="5000" w:type="pct"/>
          </w:tcPr>
          <w:p w:rsidR="0034715F" w:rsidRDefault="00C011AF" w:rsidP="0034715F">
            <w:pPr>
              <w:pStyle w:val="LTVerzDerFragendenFrage"/>
            </w:pPr>
            <w:hyperlink w:anchor="Frage_Nr_1" w:tooltip="Frage Nr 1" w:history="1">
              <w:r w:rsidR="0034715F">
                <w:rPr>
                  <w:rStyle w:val="Hyperlink"/>
                  <w:szCs w:val="24"/>
                </w:rPr>
                <w:t>Personalsituation der Polizei in Niederbayern</w:t>
              </w:r>
              <w:r w:rsidR="0034715F">
                <w:rPr>
                  <w:rStyle w:val="Hyperlink"/>
                  <w:szCs w:val="24"/>
                </w:rPr>
                <w:tab/>
                <w:t>1</w:t>
              </w:r>
            </w:hyperlink>
          </w:p>
        </w:tc>
      </w:tr>
      <w:tr w:rsidR="0034715F" w:rsidRPr="005833DD" w:rsidTr="001F3CDA">
        <w:tc>
          <w:tcPr>
            <w:tcW w:w="5000" w:type="pct"/>
          </w:tcPr>
          <w:p w:rsidR="0034715F" w:rsidRDefault="0034715F" w:rsidP="0034715F">
            <w:pPr>
              <w:pStyle w:val="LTVerzDerFragenden"/>
            </w:pPr>
            <w:r>
              <w:t>Becher, Johannes (BÜNDNIS 90/DIE GRÜNEN)</w:t>
            </w:r>
          </w:p>
        </w:tc>
      </w:tr>
      <w:tr w:rsidR="0034715F" w:rsidRPr="005833DD" w:rsidTr="001F3CDA">
        <w:tc>
          <w:tcPr>
            <w:tcW w:w="5000" w:type="pct"/>
          </w:tcPr>
          <w:p w:rsidR="0034715F" w:rsidRDefault="00C011AF" w:rsidP="0034715F">
            <w:pPr>
              <w:pStyle w:val="LTVerzDerFragendenFrage"/>
            </w:pPr>
            <w:hyperlink w:anchor="Frage_Nr_53" w:tooltip="Frage Nr 53" w:history="1">
              <w:r w:rsidR="0034715F">
                <w:rPr>
                  <w:rStyle w:val="Hyperlink"/>
                  <w:szCs w:val="24"/>
                </w:rPr>
                <w:t>Geburtshilfestationen in Bayern</w:t>
              </w:r>
              <w:r w:rsidR="0034715F">
                <w:rPr>
                  <w:rStyle w:val="Hyperlink"/>
                  <w:szCs w:val="24"/>
                </w:rPr>
                <w:tab/>
                <w:t>53</w:t>
              </w:r>
            </w:hyperlink>
          </w:p>
        </w:tc>
      </w:tr>
      <w:tr w:rsidR="0034715F" w:rsidRPr="005833DD" w:rsidTr="001F3CDA">
        <w:tc>
          <w:tcPr>
            <w:tcW w:w="5000" w:type="pct"/>
          </w:tcPr>
          <w:p w:rsidR="0034715F" w:rsidRDefault="0034715F" w:rsidP="0034715F">
            <w:pPr>
              <w:pStyle w:val="LTVerzDerFragenden"/>
            </w:pPr>
            <w:r>
              <w:t>Bergmüller, Franz (AfD)</w:t>
            </w:r>
          </w:p>
        </w:tc>
      </w:tr>
      <w:tr w:rsidR="0034715F" w:rsidRPr="005833DD" w:rsidTr="001F3CDA">
        <w:tc>
          <w:tcPr>
            <w:tcW w:w="5000" w:type="pct"/>
          </w:tcPr>
          <w:p w:rsidR="0034715F" w:rsidRDefault="00C011AF" w:rsidP="0034715F">
            <w:pPr>
              <w:pStyle w:val="LTVerzDerFragendenFrage"/>
            </w:pPr>
            <w:hyperlink w:anchor="Frage_Nr_54" w:tooltip="Frage Nr 54" w:history="1">
              <w:r w:rsidR="0034715F">
                <w:rPr>
                  <w:rStyle w:val="Hyperlink"/>
                  <w:szCs w:val="24"/>
                </w:rPr>
                <w:t>Maskenkäufe II</w:t>
              </w:r>
              <w:r w:rsidR="0034715F">
                <w:rPr>
                  <w:rStyle w:val="Hyperlink"/>
                  <w:szCs w:val="24"/>
                </w:rPr>
                <w:tab/>
                <w:t>54</w:t>
              </w:r>
            </w:hyperlink>
          </w:p>
        </w:tc>
      </w:tr>
      <w:tr w:rsidR="0034715F" w:rsidRPr="005833DD" w:rsidTr="001F3CDA">
        <w:tc>
          <w:tcPr>
            <w:tcW w:w="5000" w:type="pct"/>
          </w:tcPr>
          <w:p w:rsidR="0034715F" w:rsidRDefault="00190CE9" w:rsidP="0034715F">
            <w:pPr>
              <w:pStyle w:val="LTVerzDerFragenden"/>
            </w:pPr>
            <w:r>
              <w:t>Bozo</w:t>
            </w:r>
            <w:r>
              <w:rPr>
                <w:rFonts w:cs="Arial"/>
              </w:rPr>
              <w:t>ǧ</w:t>
            </w:r>
            <w:r w:rsidR="0034715F">
              <w:t>lu, Cemal (BÜNDNIS 90/DIE GRÜNEN)</w:t>
            </w:r>
          </w:p>
        </w:tc>
      </w:tr>
      <w:tr w:rsidR="0034715F" w:rsidRPr="005833DD" w:rsidTr="001F3CDA">
        <w:tc>
          <w:tcPr>
            <w:tcW w:w="5000" w:type="pct"/>
          </w:tcPr>
          <w:p w:rsidR="0034715F" w:rsidRDefault="00C011AF" w:rsidP="0034715F">
            <w:pPr>
              <w:pStyle w:val="LTVerzDerFragendenFrage"/>
            </w:pPr>
            <w:hyperlink w:anchor="Frage_Nr_2" w:tooltip="Frage Nr 2" w:history="1">
              <w:r w:rsidR="0034715F">
                <w:rPr>
                  <w:rStyle w:val="Hyperlink"/>
                  <w:szCs w:val="24"/>
                </w:rPr>
                <w:t>Prozess wegen rechtsradikaler Übergriffe in Augsburg</w:t>
              </w:r>
              <w:r w:rsidR="0034715F">
                <w:rPr>
                  <w:rStyle w:val="Hyperlink"/>
                  <w:szCs w:val="24"/>
                </w:rPr>
                <w:tab/>
                <w:t>2</w:t>
              </w:r>
            </w:hyperlink>
          </w:p>
        </w:tc>
      </w:tr>
      <w:tr w:rsidR="0034715F" w:rsidRPr="005833DD" w:rsidTr="001F3CDA">
        <w:tc>
          <w:tcPr>
            <w:tcW w:w="5000" w:type="pct"/>
          </w:tcPr>
          <w:p w:rsidR="0034715F" w:rsidRDefault="0034715F" w:rsidP="0034715F">
            <w:pPr>
              <w:pStyle w:val="LTVerzDerFragenden"/>
            </w:pPr>
            <w:r>
              <w:t>Dr. Büchler, Markus (BÜNDNIS 90/DIE GRÜNEN)</w:t>
            </w:r>
          </w:p>
        </w:tc>
      </w:tr>
      <w:tr w:rsidR="0034715F" w:rsidRPr="005833DD" w:rsidTr="001F3CDA">
        <w:tc>
          <w:tcPr>
            <w:tcW w:w="5000" w:type="pct"/>
          </w:tcPr>
          <w:p w:rsidR="0034715F" w:rsidRDefault="00C011AF" w:rsidP="0034715F">
            <w:pPr>
              <w:pStyle w:val="LTVerzDerFragendenFrage"/>
            </w:pPr>
            <w:hyperlink w:anchor="Frage_Nr_15" w:tooltip="Frage Nr 15" w:history="1">
              <w:r w:rsidR="0034715F">
                <w:rPr>
                  <w:rStyle w:val="Hyperlink"/>
                  <w:szCs w:val="24"/>
                </w:rPr>
                <w:t>Beschaf</w:t>
              </w:r>
              <w:r w:rsidR="00190CE9">
                <w:rPr>
                  <w:rStyle w:val="Hyperlink"/>
                  <w:szCs w:val="24"/>
                </w:rPr>
                <w:t>fung sauberer Straßenfahrzeuge –</w:t>
              </w:r>
              <w:r w:rsidR="0034715F">
                <w:rPr>
                  <w:rStyle w:val="Hyperlink"/>
                  <w:szCs w:val="24"/>
                </w:rPr>
                <w:t xml:space="preserve"> Clean Vehicles Directive</w:t>
              </w:r>
              <w:r w:rsidR="0034715F">
                <w:rPr>
                  <w:rStyle w:val="Hyperlink"/>
                  <w:szCs w:val="24"/>
                </w:rPr>
                <w:tab/>
                <w:t>15</w:t>
              </w:r>
            </w:hyperlink>
          </w:p>
        </w:tc>
      </w:tr>
      <w:tr w:rsidR="0034715F" w:rsidRPr="005833DD" w:rsidTr="001F3CDA">
        <w:tc>
          <w:tcPr>
            <w:tcW w:w="5000" w:type="pct"/>
          </w:tcPr>
          <w:p w:rsidR="0034715F" w:rsidRDefault="0034715F" w:rsidP="0034715F">
            <w:pPr>
              <w:pStyle w:val="LTVerzDerFragenden"/>
            </w:pPr>
            <w:r>
              <w:t>Celina, Kerstin (BÜNDNIS 90/DIE GRÜNEN)</w:t>
            </w:r>
          </w:p>
        </w:tc>
      </w:tr>
      <w:tr w:rsidR="0034715F" w:rsidRPr="005833DD" w:rsidTr="001F3CDA">
        <w:tc>
          <w:tcPr>
            <w:tcW w:w="5000" w:type="pct"/>
          </w:tcPr>
          <w:p w:rsidR="0034715F" w:rsidRDefault="00C011AF" w:rsidP="0034715F">
            <w:pPr>
              <w:pStyle w:val="LTVerzDerFragendenFrage"/>
            </w:pPr>
            <w:hyperlink w:anchor="Frage_Nr_55" w:tooltip="Frage Nr 55" w:history="1">
              <w:r w:rsidR="0034715F">
                <w:rPr>
                  <w:rStyle w:val="Hyperlink"/>
                  <w:szCs w:val="24"/>
                </w:rPr>
                <w:t>Unterbringung von Kindern und Jugendlichen in der Psychiatrie</w:t>
              </w:r>
              <w:r w:rsidR="0034715F">
                <w:rPr>
                  <w:rStyle w:val="Hyperlink"/>
                  <w:szCs w:val="24"/>
                </w:rPr>
                <w:tab/>
                <w:t>55</w:t>
              </w:r>
            </w:hyperlink>
          </w:p>
        </w:tc>
      </w:tr>
      <w:tr w:rsidR="0034715F" w:rsidRPr="005833DD" w:rsidTr="001F3CDA">
        <w:tc>
          <w:tcPr>
            <w:tcW w:w="5000" w:type="pct"/>
          </w:tcPr>
          <w:p w:rsidR="0034715F" w:rsidRDefault="0034715F" w:rsidP="0034715F">
            <w:pPr>
              <w:pStyle w:val="LTVerzDerFragenden"/>
            </w:pPr>
            <w:r>
              <w:t>Deisenhofer, Maximilian (BÜNDNIS 90/DIE GRÜNEN)</w:t>
            </w:r>
          </w:p>
        </w:tc>
      </w:tr>
      <w:tr w:rsidR="0034715F" w:rsidRPr="005833DD" w:rsidTr="001F3CDA">
        <w:tc>
          <w:tcPr>
            <w:tcW w:w="5000" w:type="pct"/>
          </w:tcPr>
          <w:p w:rsidR="0034715F" w:rsidRDefault="00C011AF" w:rsidP="0034715F">
            <w:pPr>
              <w:pStyle w:val="LTVerzDerFragendenFrage"/>
            </w:pPr>
            <w:hyperlink w:anchor="Frage_Nr_16" w:tooltip="Frage Nr 16" w:history="1">
              <w:r w:rsidR="0034715F">
                <w:rPr>
                  <w:rStyle w:val="Hyperlink"/>
                  <w:szCs w:val="24"/>
                </w:rPr>
                <w:t>Barrierefreie Bahnhöfe in Schwaben</w:t>
              </w:r>
              <w:r w:rsidR="0034715F">
                <w:rPr>
                  <w:rStyle w:val="Hyperlink"/>
                  <w:szCs w:val="24"/>
                </w:rPr>
                <w:tab/>
                <w:t>16</w:t>
              </w:r>
            </w:hyperlink>
          </w:p>
        </w:tc>
      </w:tr>
      <w:tr w:rsidR="0034715F" w:rsidRPr="005833DD" w:rsidTr="001F3CDA">
        <w:tc>
          <w:tcPr>
            <w:tcW w:w="5000" w:type="pct"/>
          </w:tcPr>
          <w:p w:rsidR="0034715F" w:rsidRDefault="0034715F" w:rsidP="0034715F">
            <w:pPr>
              <w:pStyle w:val="LTVerzDerFragenden"/>
            </w:pPr>
            <w:r>
              <w:t>Duin, Albert (FDP)</w:t>
            </w:r>
          </w:p>
        </w:tc>
      </w:tr>
      <w:tr w:rsidR="0034715F" w:rsidRPr="005833DD" w:rsidTr="001F3CDA">
        <w:tc>
          <w:tcPr>
            <w:tcW w:w="5000" w:type="pct"/>
          </w:tcPr>
          <w:p w:rsidR="0034715F" w:rsidRDefault="00C011AF" w:rsidP="0034715F">
            <w:pPr>
              <w:pStyle w:val="LTVerzDerFragendenFrage"/>
            </w:pPr>
            <w:hyperlink w:anchor="Frage_Nr_37" w:tooltip="Frage Nr 37" w:history="1">
              <w:r w:rsidR="0034715F">
                <w:rPr>
                  <w:rStyle w:val="Hyperlink"/>
                  <w:szCs w:val="24"/>
                </w:rPr>
                <w:t>Unterstützung energieintensiver Unternehmen angesichts des Überfalls auf die Ukraine</w:t>
              </w:r>
              <w:r w:rsidR="0034715F">
                <w:rPr>
                  <w:rStyle w:val="Hyperlink"/>
                  <w:szCs w:val="24"/>
                </w:rPr>
                <w:tab/>
                <w:t>37</w:t>
              </w:r>
            </w:hyperlink>
          </w:p>
        </w:tc>
      </w:tr>
      <w:tr w:rsidR="0034715F" w:rsidRPr="005833DD" w:rsidTr="001F3CDA">
        <w:tc>
          <w:tcPr>
            <w:tcW w:w="5000" w:type="pct"/>
          </w:tcPr>
          <w:p w:rsidR="0034715F" w:rsidRDefault="0034715F" w:rsidP="0034715F">
            <w:pPr>
              <w:pStyle w:val="LTVerzDerFragenden"/>
            </w:pPr>
            <w:r>
              <w:t>Ebner-Steiner, Katrin (AfD)</w:t>
            </w:r>
          </w:p>
        </w:tc>
      </w:tr>
      <w:tr w:rsidR="0034715F" w:rsidRPr="005833DD" w:rsidTr="001F3CDA">
        <w:tc>
          <w:tcPr>
            <w:tcW w:w="5000" w:type="pct"/>
          </w:tcPr>
          <w:p w:rsidR="0034715F" w:rsidRDefault="00C011AF" w:rsidP="0034715F">
            <w:pPr>
              <w:pStyle w:val="LTVerzDerFragendenFrage"/>
            </w:pPr>
            <w:hyperlink w:anchor="Frage_Nr_3" w:tooltip="Frage Nr 3" w:history="1">
              <w:r w:rsidR="0034715F">
                <w:rPr>
                  <w:rStyle w:val="Hyperlink"/>
                  <w:szCs w:val="24"/>
                </w:rPr>
                <w:t>Anzahl von Asylanträgen</w:t>
              </w:r>
              <w:r w:rsidR="0034715F">
                <w:rPr>
                  <w:rStyle w:val="Hyperlink"/>
                  <w:szCs w:val="24"/>
                </w:rPr>
                <w:tab/>
                <w:t>3</w:t>
              </w:r>
            </w:hyperlink>
          </w:p>
        </w:tc>
      </w:tr>
      <w:tr w:rsidR="0034715F" w:rsidRPr="005833DD" w:rsidTr="001F3CDA">
        <w:tc>
          <w:tcPr>
            <w:tcW w:w="5000" w:type="pct"/>
          </w:tcPr>
          <w:p w:rsidR="0034715F" w:rsidRDefault="0034715F" w:rsidP="0034715F">
            <w:pPr>
              <w:pStyle w:val="LTVerzDerFragenden"/>
            </w:pPr>
            <w:r>
              <w:t>Fehlner, Martina (SPD)</w:t>
            </w:r>
          </w:p>
        </w:tc>
      </w:tr>
      <w:tr w:rsidR="0034715F" w:rsidRPr="005833DD" w:rsidTr="001F3CDA">
        <w:tc>
          <w:tcPr>
            <w:tcW w:w="5000" w:type="pct"/>
          </w:tcPr>
          <w:p w:rsidR="0034715F" w:rsidRDefault="00C011AF" w:rsidP="0034715F">
            <w:pPr>
              <w:pStyle w:val="LTVerzDerFragendenFrage"/>
            </w:pPr>
            <w:hyperlink w:anchor="Frage_Nr_48" w:tooltip="Frage Nr 48" w:history="1">
              <w:r w:rsidR="00190CE9">
                <w:rPr>
                  <w:rStyle w:val="Hyperlink"/>
                  <w:szCs w:val="24"/>
                </w:rPr>
                <w:t>Förderung von Waldbesitzer</w:t>
              </w:r>
              <w:r w:rsidR="0034715F">
                <w:rPr>
                  <w:rStyle w:val="Hyperlink"/>
                  <w:szCs w:val="24"/>
                </w:rPr>
                <w:t>innen</w:t>
              </w:r>
              <w:r w:rsidR="00190CE9">
                <w:rPr>
                  <w:rStyle w:val="Hyperlink"/>
                  <w:szCs w:val="24"/>
                </w:rPr>
                <w:t xml:space="preserve"> bzw. Waldbesitzer</w:t>
              </w:r>
              <w:r w:rsidR="0034715F">
                <w:rPr>
                  <w:rStyle w:val="Hyperlink"/>
                  <w:szCs w:val="24"/>
                </w:rPr>
                <w:tab/>
                <w:t>48</w:t>
              </w:r>
            </w:hyperlink>
          </w:p>
        </w:tc>
      </w:tr>
      <w:tr w:rsidR="0034715F" w:rsidRPr="005833DD" w:rsidTr="001F3CDA">
        <w:tc>
          <w:tcPr>
            <w:tcW w:w="5000" w:type="pct"/>
          </w:tcPr>
          <w:p w:rsidR="0034715F" w:rsidRDefault="0034715F" w:rsidP="0034715F">
            <w:pPr>
              <w:pStyle w:val="LTVerzDerFragenden"/>
            </w:pPr>
            <w:r>
              <w:t>Fischbach, Matthias (FDP)</w:t>
            </w:r>
          </w:p>
        </w:tc>
      </w:tr>
      <w:tr w:rsidR="0034715F" w:rsidRPr="005833DD" w:rsidTr="001F3CDA">
        <w:tc>
          <w:tcPr>
            <w:tcW w:w="5000" w:type="pct"/>
          </w:tcPr>
          <w:p w:rsidR="0034715F" w:rsidRDefault="00C011AF" w:rsidP="0034715F">
            <w:pPr>
              <w:pStyle w:val="LTVerzDerFragendenFrage"/>
            </w:pPr>
            <w:hyperlink w:anchor="Frage_Nr_51" w:tooltip="Frage Nr 51" w:history="1">
              <w:r w:rsidR="0034715F">
                <w:rPr>
                  <w:rStyle w:val="Hyperlink"/>
                  <w:szCs w:val="24"/>
                </w:rPr>
                <w:t>Finanzierung Ausbau Modellversuch zum Kooperativen Ganztag</w:t>
              </w:r>
              <w:r w:rsidR="0034715F">
                <w:rPr>
                  <w:rStyle w:val="Hyperlink"/>
                  <w:szCs w:val="24"/>
                </w:rPr>
                <w:tab/>
                <w:t>51</w:t>
              </w:r>
            </w:hyperlink>
          </w:p>
        </w:tc>
      </w:tr>
      <w:tr w:rsidR="0034715F" w:rsidRPr="005833DD" w:rsidTr="001F3CDA">
        <w:tc>
          <w:tcPr>
            <w:tcW w:w="5000" w:type="pct"/>
          </w:tcPr>
          <w:p w:rsidR="0034715F" w:rsidRDefault="0034715F" w:rsidP="0034715F">
            <w:pPr>
              <w:pStyle w:val="LTVerzDerFragenden"/>
            </w:pPr>
            <w:r>
              <w:t>Franke, Anne (BÜNDNIS 90/DIE GRÜNEN)</w:t>
            </w:r>
          </w:p>
        </w:tc>
      </w:tr>
      <w:tr w:rsidR="0034715F" w:rsidRPr="005833DD" w:rsidTr="001F3CDA">
        <w:tc>
          <w:tcPr>
            <w:tcW w:w="5000" w:type="pct"/>
          </w:tcPr>
          <w:p w:rsidR="0034715F" w:rsidRDefault="00C011AF" w:rsidP="0034715F">
            <w:pPr>
              <w:pStyle w:val="LTVerzDerFragendenFrage"/>
            </w:pPr>
            <w:hyperlink w:anchor="Frage_Nr_42" w:tooltip="Frage Nr 42" w:history="1">
              <w:r w:rsidR="0034715F">
                <w:rPr>
                  <w:rStyle w:val="Hyperlink"/>
                  <w:szCs w:val="24"/>
                </w:rPr>
                <w:t>Wasser- und Bodengefährdung im Bereich Lagerfläche Frieding Nord</w:t>
              </w:r>
              <w:r w:rsidR="0034715F">
                <w:rPr>
                  <w:rStyle w:val="Hyperlink"/>
                  <w:szCs w:val="24"/>
                </w:rPr>
                <w:tab/>
                <w:t>42</w:t>
              </w:r>
            </w:hyperlink>
          </w:p>
        </w:tc>
      </w:tr>
      <w:tr w:rsidR="0034715F" w:rsidRPr="005833DD" w:rsidTr="001F3CDA">
        <w:tc>
          <w:tcPr>
            <w:tcW w:w="5000" w:type="pct"/>
          </w:tcPr>
          <w:p w:rsidR="0034715F" w:rsidRDefault="0034715F" w:rsidP="0034715F">
            <w:pPr>
              <w:pStyle w:val="LTVerzDerFragenden"/>
            </w:pPr>
            <w:r>
              <w:t>Friedl, Patrick (BÜNDNIS 90/DIE GRÜNEN)</w:t>
            </w:r>
          </w:p>
        </w:tc>
      </w:tr>
      <w:tr w:rsidR="0034715F" w:rsidRPr="005833DD" w:rsidTr="001F3CDA">
        <w:tc>
          <w:tcPr>
            <w:tcW w:w="5000" w:type="pct"/>
          </w:tcPr>
          <w:p w:rsidR="0034715F" w:rsidRDefault="00C011AF" w:rsidP="0034715F">
            <w:pPr>
              <w:pStyle w:val="LTVerzDerFragendenFrage"/>
            </w:pPr>
            <w:hyperlink w:anchor="Frage_Nr_30" w:tooltip="Frage Nr 30" w:history="1">
              <w:r w:rsidR="00190CE9">
                <w:rPr>
                  <w:rStyle w:val="Hyperlink"/>
                  <w:szCs w:val="24"/>
                </w:rPr>
                <w:t>Klimaneutrale Hochschule 2030 –</w:t>
              </w:r>
              <w:r w:rsidR="0034715F">
                <w:rPr>
                  <w:rStyle w:val="Hyperlink"/>
                  <w:szCs w:val="24"/>
                </w:rPr>
                <w:t xml:space="preserve"> neue Rahmenzielvereinbarungen</w:t>
              </w:r>
              <w:r w:rsidR="0034715F">
                <w:rPr>
                  <w:rStyle w:val="Hyperlink"/>
                  <w:szCs w:val="24"/>
                </w:rPr>
                <w:tab/>
                <w:t>30</w:t>
              </w:r>
            </w:hyperlink>
          </w:p>
        </w:tc>
      </w:tr>
      <w:tr w:rsidR="0034715F" w:rsidRPr="005833DD" w:rsidTr="001F3CDA">
        <w:tc>
          <w:tcPr>
            <w:tcW w:w="5000" w:type="pct"/>
          </w:tcPr>
          <w:p w:rsidR="0034715F" w:rsidRDefault="0034715F" w:rsidP="0034715F">
            <w:pPr>
              <w:pStyle w:val="LTVerzDerFragenden"/>
            </w:pPr>
            <w:r>
              <w:t>Fuchs, Barbara (BÜNDNIS 90/DIE GRÜNEN)</w:t>
            </w:r>
          </w:p>
        </w:tc>
      </w:tr>
      <w:tr w:rsidR="0034715F" w:rsidRPr="005833DD" w:rsidTr="001F3CDA">
        <w:tc>
          <w:tcPr>
            <w:tcW w:w="5000" w:type="pct"/>
          </w:tcPr>
          <w:p w:rsidR="0034715F" w:rsidRDefault="00C011AF" w:rsidP="0034715F">
            <w:pPr>
              <w:pStyle w:val="LTVerzDerFragendenFrage"/>
            </w:pPr>
            <w:hyperlink w:anchor="Frage_Nr_38" w:tooltip="Frage Nr 38" w:history="1">
              <w:r w:rsidR="0034715F">
                <w:rPr>
                  <w:rStyle w:val="Hyperlink"/>
                  <w:szCs w:val="24"/>
                </w:rPr>
                <w:t>Aktueller Sta</w:t>
              </w:r>
              <w:r w:rsidR="00190CE9">
                <w:rPr>
                  <w:rStyle w:val="Hyperlink"/>
                  <w:szCs w:val="24"/>
                </w:rPr>
                <w:t>nd der Coronaw</w:t>
              </w:r>
              <w:r w:rsidR="0034715F">
                <w:rPr>
                  <w:rStyle w:val="Hyperlink"/>
                  <w:szCs w:val="24"/>
                </w:rPr>
                <w:t>irtschaftshilfen</w:t>
              </w:r>
              <w:r w:rsidR="0034715F">
                <w:rPr>
                  <w:rStyle w:val="Hyperlink"/>
                  <w:szCs w:val="24"/>
                </w:rPr>
                <w:tab/>
                <w:t>38</w:t>
              </w:r>
            </w:hyperlink>
          </w:p>
        </w:tc>
      </w:tr>
      <w:tr w:rsidR="0034715F" w:rsidRPr="005833DD" w:rsidTr="001F3CDA">
        <w:tc>
          <w:tcPr>
            <w:tcW w:w="5000" w:type="pct"/>
          </w:tcPr>
          <w:p w:rsidR="0034715F" w:rsidRDefault="0034715F" w:rsidP="0034715F">
            <w:pPr>
              <w:pStyle w:val="LTVerzDerFragenden"/>
            </w:pPr>
            <w:r>
              <w:t>Güller, Harald (SPD)</w:t>
            </w:r>
          </w:p>
        </w:tc>
      </w:tr>
      <w:tr w:rsidR="0034715F" w:rsidRPr="005833DD" w:rsidTr="001F3CDA">
        <w:tc>
          <w:tcPr>
            <w:tcW w:w="5000" w:type="pct"/>
          </w:tcPr>
          <w:p w:rsidR="0034715F" w:rsidRDefault="00C011AF" w:rsidP="0034715F">
            <w:pPr>
              <w:pStyle w:val="LTVerzDerFragendenFrage"/>
            </w:pPr>
            <w:hyperlink w:anchor="Frage_Nr_39" w:tooltip="Frage Nr 39" w:history="1">
              <w:r w:rsidR="0034715F">
                <w:rPr>
                  <w:rStyle w:val="Hyperlink"/>
                  <w:szCs w:val="24"/>
                </w:rPr>
                <w:t>Versicherung KfZ bei aus der Ukraine Geflüchteten</w:t>
              </w:r>
              <w:r w:rsidR="0034715F">
                <w:rPr>
                  <w:rStyle w:val="Hyperlink"/>
                  <w:szCs w:val="24"/>
                </w:rPr>
                <w:tab/>
                <w:t>39</w:t>
              </w:r>
            </w:hyperlink>
          </w:p>
        </w:tc>
      </w:tr>
      <w:tr w:rsidR="0034715F" w:rsidRPr="005833DD" w:rsidTr="001F3CDA">
        <w:tc>
          <w:tcPr>
            <w:tcW w:w="5000" w:type="pct"/>
          </w:tcPr>
          <w:p w:rsidR="0034715F" w:rsidRDefault="0034715F" w:rsidP="0034715F">
            <w:pPr>
              <w:pStyle w:val="LTVerzDerFragenden"/>
            </w:pPr>
            <w:r>
              <w:t>Hagen, Martin (FDP)</w:t>
            </w:r>
          </w:p>
        </w:tc>
      </w:tr>
      <w:tr w:rsidR="0034715F" w:rsidRPr="005833DD" w:rsidTr="001F3CDA">
        <w:tc>
          <w:tcPr>
            <w:tcW w:w="5000" w:type="pct"/>
          </w:tcPr>
          <w:p w:rsidR="0034715F" w:rsidRDefault="00C011AF" w:rsidP="0034715F">
            <w:pPr>
              <w:pStyle w:val="LTVerzDerFragendenFrage"/>
            </w:pPr>
            <w:hyperlink w:anchor="Frage_Nr_52" w:tooltip="Frage Nr 52" w:history="1">
              <w:r w:rsidR="0034715F">
                <w:rPr>
                  <w:rStyle w:val="Hyperlink"/>
                  <w:szCs w:val="24"/>
                </w:rPr>
                <w:t>Neustart der Kinderwunschbehandlung in Bayern</w:t>
              </w:r>
              <w:r w:rsidR="0034715F">
                <w:rPr>
                  <w:rStyle w:val="Hyperlink"/>
                  <w:szCs w:val="24"/>
                </w:rPr>
                <w:tab/>
                <w:t>52</w:t>
              </w:r>
            </w:hyperlink>
          </w:p>
        </w:tc>
      </w:tr>
      <w:tr w:rsidR="0034715F" w:rsidRPr="005833DD" w:rsidTr="001F3CDA">
        <w:tc>
          <w:tcPr>
            <w:tcW w:w="5000" w:type="pct"/>
          </w:tcPr>
          <w:p w:rsidR="0034715F" w:rsidRDefault="0034715F" w:rsidP="0034715F">
            <w:pPr>
              <w:pStyle w:val="LTVerzDerFragenden"/>
            </w:pPr>
            <w:r>
              <w:t>Prof. Dr. Hahn, Ingo (AfD)</w:t>
            </w:r>
          </w:p>
        </w:tc>
      </w:tr>
      <w:tr w:rsidR="0034715F" w:rsidRPr="005833DD" w:rsidTr="001F3CDA">
        <w:tc>
          <w:tcPr>
            <w:tcW w:w="5000" w:type="pct"/>
          </w:tcPr>
          <w:p w:rsidR="0034715F" w:rsidRDefault="00C011AF" w:rsidP="0034715F">
            <w:pPr>
              <w:pStyle w:val="LTVerzDerFragendenFrage"/>
            </w:pPr>
            <w:hyperlink w:anchor="Frage_Nr_56" w:tooltip="Frage Nr 56" w:history="1">
              <w:r w:rsidR="00190CE9">
                <w:rPr>
                  <w:rStyle w:val="Hyperlink"/>
                  <w:szCs w:val="24"/>
                </w:rPr>
                <w:t>Fortsetzung der Coronam</w:t>
              </w:r>
              <w:r w:rsidR="0034715F">
                <w:rPr>
                  <w:rStyle w:val="Hyperlink"/>
                  <w:szCs w:val="24"/>
                </w:rPr>
                <w:t>aßnahmen in staatlichen Behörden,</w:t>
              </w:r>
              <w:r w:rsidR="00190CE9">
                <w:rPr>
                  <w:rStyle w:val="Hyperlink"/>
                  <w:szCs w:val="24"/>
                </w:rPr>
                <w:br/>
              </w:r>
              <w:r w:rsidR="0034715F">
                <w:rPr>
                  <w:rStyle w:val="Hyperlink"/>
                  <w:szCs w:val="24"/>
                </w:rPr>
                <w:t>Bildungseinrichtungen und anderen Institutionen</w:t>
              </w:r>
              <w:r w:rsidR="0034715F">
                <w:rPr>
                  <w:rStyle w:val="Hyperlink"/>
                  <w:szCs w:val="24"/>
                </w:rPr>
                <w:tab/>
                <w:t>56</w:t>
              </w:r>
            </w:hyperlink>
          </w:p>
        </w:tc>
      </w:tr>
      <w:tr w:rsidR="0034715F" w:rsidRPr="005833DD" w:rsidTr="001F3CDA">
        <w:tc>
          <w:tcPr>
            <w:tcW w:w="5000" w:type="pct"/>
          </w:tcPr>
          <w:p w:rsidR="0034715F" w:rsidRDefault="0034715F" w:rsidP="0034715F">
            <w:pPr>
              <w:pStyle w:val="LTVerzDerFragenden"/>
            </w:pPr>
            <w:r>
              <w:t>Halbleib, Volkmar (SPD)</w:t>
            </w:r>
          </w:p>
        </w:tc>
      </w:tr>
      <w:tr w:rsidR="0034715F" w:rsidRPr="005833DD" w:rsidTr="001F3CDA">
        <w:tc>
          <w:tcPr>
            <w:tcW w:w="5000" w:type="pct"/>
          </w:tcPr>
          <w:p w:rsidR="0034715F" w:rsidRDefault="00C011AF" w:rsidP="0034715F">
            <w:pPr>
              <w:pStyle w:val="LTVerzDerFragendenFrage"/>
            </w:pPr>
            <w:hyperlink w:anchor="Frage_Nr_4" w:tooltip="Frage Nr 4" w:history="1">
              <w:r w:rsidR="0034715F">
                <w:rPr>
                  <w:rStyle w:val="Hyperlink"/>
                  <w:szCs w:val="24"/>
                </w:rPr>
                <w:t>Zukunft der Feuerwehrförderung im Freistaat Bayern</w:t>
              </w:r>
              <w:r w:rsidR="0034715F">
                <w:rPr>
                  <w:rStyle w:val="Hyperlink"/>
                  <w:szCs w:val="24"/>
                </w:rPr>
                <w:tab/>
                <w:t>4</w:t>
              </w:r>
            </w:hyperlink>
          </w:p>
        </w:tc>
      </w:tr>
      <w:tr w:rsidR="0034715F" w:rsidRPr="005833DD" w:rsidTr="001F3CDA">
        <w:tc>
          <w:tcPr>
            <w:tcW w:w="5000" w:type="pct"/>
          </w:tcPr>
          <w:p w:rsidR="0034715F" w:rsidRDefault="0034715F" w:rsidP="0034715F">
            <w:pPr>
              <w:pStyle w:val="LTVerzDerFragenden"/>
            </w:pPr>
            <w:r>
              <w:t>Hartmann, Ludwig (BÜNDNIS 90/DIE GRÜNEN)</w:t>
            </w:r>
          </w:p>
        </w:tc>
      </w:tr>
      <w:tr w:rsidR="0034715F" w:rsidRPr="005833DD" w:rsidTr="001F3CDA">
        <w:tc>
          <w:tcPr>
            <w:tcW w:w="5000" w:type="pct"/>
          </w:tcPr>
          <w:p w:rsidR="0034715F" w:rsidRDefault="00C011AF" w:rsidP="0034715F">
            <w:pPr>
              <w:pStyle w:val="LTVerzDerFragendenFrage"/>
            </w:pPr>
            <w:hyperlink w:anchor="Frage_Nr_40" w:tooltip="Frage Nr 40" w:history="1">
              <w:r w:rsidR="0034715F">
                <w:rPr>
                  <w:rStyle w:val="Hyperlink"/>
                  <w:szCs w:val="24"/>
                </w:rPr>
                <w:t>Wasserkraft in Bayern</w:t>
              </w:r>
              <w:r w:rsidR="0034715F">
                <w:rPr>
                  <w:rStyle w:val="Hyperlink"/>
                  <w:szCs w:val="24"/>
                </w:rPr>
                <w:tab/>
                <w:t>40</w:t>
              </w:r>
            </w:hyperlink>
          </w:p>
        </w:tc>
      </w:tr>
      <w:tr w:rsidR="0034715F" w:rsidRPr="005833DD" w:rsidTr="001F3CDA">
        <w:tc>
          <w:tcPr>
            <w:tcW w:w="5000" w:type="pct"/>
          </w:tcPr>
          <w:p w:rsidR="0034715F" w:rsidRDefault="0034715F" w:rsidP="0034715F">
            <w:pPr>
              <w:pStyle w:val="LTVerzDerFragenden"/>
            </w:pPr>
            <w:r>
              <w:t>Haubrich, Christina (BÜNDNIS 90/DIE GRÜNEN)</w:t>
            </w:r>
          </w:p>
        </w:tc>
      </w:tr>
      <w:tr w:rsidR="0034715F" w:rsidRPr="005833DD" w:rsidTr="001F3CDA">
        <w:tc>
          <w:tcPr>
            <w:tcW w:w="5000" w:type="pct"/>
          </w:tcPr>
          <w:p w:rsidR="0034715F" w:rsidRDefault="00C011AF" w:rsidP="0034715F">
            <w:pPr>
              <w:pStyle w:val="LTVerzDerFragendenFrage"/>
            </w:pPr>
            <w:hyperlink w:anchor="Frage_Nr_31" w:tooltip="Frage Nr 31" w:history="1">
              <w:r w:rsidR="0034715F">
                <w:rPr>
                  <w:rStyle w:val="Hyperlink"/>
                  <w:szCs w:val="24"/>
                </w:rPr>
                <w:t>Sanierung Uniklinik Augsburg</w:t>
              </w:r>
              <w:r w:rsidR="0034715F">
                <w:rPr>
                  <w:rStyle w:val="Hyperlink"/>
                  <w:szCs w:val="24"/>
                </w:rPr>
                <w:tab/>
                <w:t>31</w:t>
              </w:r>
            </w:hyperlink>
          </w:p>
        </w:tc>
      </w:tr>
      <w:tr w:rsidR="0034715F" w:rsidRPr="005833DD" w:rsidTr="001F3CDA">
        <w:tc>
          <w:tcPr>
            <w:tcW w:w="5000" w:type="pct"/>
          </w:tcPr>
          <w:p w:rsidR="0034715F" w:rsidRDefault="0034715F" w:rsidP="0034715F">
            <w:pPr>
              <w:pStyle w:val="LTVerzDerFragenden"/>
            </w:pPr>
            <w:r>
              <w:t>Hayn, Elmar (BÜNDNIS 90/DIE GRÜNEN)</w:t>
            </w:r>
          </w:p>
        </w:tc>
      </w:tr>
      <w:tr w:rsidR="0034715F" w:rsidRPr="005833DD" w:rsidTr="001F3CDA">
        <w:tc>
          <w:tcPr>
            <w:tcW w:w="5000" w:type="pct"/>
          </w:tcPr>
          <w:p w:rsidR="0034715F" w:rsidRDefault="00C011AF" w:rsidP="0034715F">
            <w:pPr>
              <w:pStyle w:val="LTVerzDerFragendenFrage"/>
            </w:pPr>
            <w:hyperlink w:anchor="Frage_Nr_5" w:tooltip="Frage Nr 5" w:history="1">
              <w:r w:rsidR="0034715F">
                <w:rPr>
                  <w:rStyle w:val="Hyperlink"/>
                  <w:szCs w:val="24"/>
                </w:rPr>
                <w:t>Entwicklung von Kinder-Suiziden in Bayern</w:t>
              </w:r>
              <w:r w:rsidR="0034715F">
                <w:rPr>
                  <w:rStyle w:val="Hyperlink"/>
                  <w:szCs w:val="24"/>
                </w:rPr>
                <w:tab/>
                <w:t>5</w:t>
              </w:r>
            </w:hyperlink>
          </w:p>
        </w:tc>
      </w:tr>
      <w:tr w:rsidR="0034715F" w:rsidRPr="005833DD" w:rsidTr="001F3CDA">
        <w:tc>
          <w:tcPr>
            <w:tcW w:w="5000" w:type="pct"/>
          </w:tcPr>
          <w:p w:rsidR="0034715F" w:rsidRDefault="0034715F" w:rsidP="0034715F">
            <w:pPr>
              <w:pStyle w:val="LTVerzDerFragenden"/>
            </w:pPr>
            <w:r>
              <w:t>Dr. Heubisch, Wolfgang (FDP)</w:t>
            </w:r>
          </w:p>
        </w:tc>
      </w:tr>
      <w:tr w:rsidR="0034715F" w:rsidRPr="005833DD" w:rsidTr="001F3CDA">
        <w:tc>
          <w:tcPr>
            <w:tcW w:w="5000" w:type="pct"/>
          </w:tcPr>
          <w:p w:rsidR="0034715F" w:rsidRDefault="00C011AF" w:rsidP="0034715F">
            <w:pPr>
              <w:pStyle w:val="LTVerzDerFragendenFrage"/>
            </w:pPr>
            <w:hyperlink w:anchor="Frage_Nr_32" w:tooltip="Frage Nr 32" w:history="1">
              <w:r w:rsidR="0034715F">
                <w:rPr>
                  <w:rStyle w:val="Hyperlink"/>
                  <w:szCs w:val="24"/>
                </w:rPr>
                <w:t xml:space="preserve">Plagiatsverdacht um </w:t>
              </w:r>
              <w:r w:rsidR="0067036C">
                <w:rPr>
                  <w:rStyle w:val="Hyperlink"/>
                  <w:szCs w:val="24"/>
                </w:rPr>
                <w:t xml:space="preserve">Dr. </w:t>
              </w:r>
              <w:r w:rsidR="0034715F">
                <w:rPr>
                  <w:rStyle w:val="Hyperlink"/>
                  <w:szCs w:val="24"/>
                </w:rPr>
                <w:t>Martin Huber</w:t>
              </w:r>
              <w:r w:rsidR="0034715F">
                <w:rPr>
                  <w:rStyle w:val="Hyperlink"/>
                  <w:szCs w:val="24"/>
                </w:rPr>
                <w:tab/>
                <w:t>32</w:t>
              </w:r>
            </w:hyperlink>
          </w:p>
        </w:tc>
      </w:tr>
      <w:tr w:rsidR="0034715F" w:rsidRPr="005833DD" w:rsidTr="001F3CDA">
        <w:tc>
          <w:tcPr>
            <w:tcW w:w="5000" w:type="pct"/>
          </w:tcPr>
          <w:p w:rsidR="0034715F" w:rsidRDefault="0034715F" w:rsidP="0034715F">
            <w:pPr>
              <w:pStyle w:val="LTVerzDerFragenden"/>
            </w:pPr>
            <w:r>
              <w:t>Hierneis, Christian (BÜNDNIS 90/DIE GRÜNEN)</w:t>
            </w:r>
          </w:p>
        </w:tc>
      </w:tr>
      <w:tr w:rsidR="0034715F" w:rsidRPr="005833DD" w:rsidTr="001F3CDA">
        <w:tc>
          <w:tcPr>
            <w:tcW w:w="5000" w:type="pct"/>
          </w:tcPr>
          <w:p w:rsidR="0034715F" w:rsidRDefault="00C011AF" w:rsidP="0034715F">
            <w:pPr>
              <w:pStyle w:val="LTVerzDerFragendenFrage"/>
            </w:pPr>
            <w:hyperlink w:anchor="Frage_Nr_43" w:tooltip="Frage Nr 43" w:history="1">
              <w:r w:rsidR="0034715F">
                <w:rPr>
                  <w:rStyle w:val="Hyperlink"/>
                  <w:szCs w:val="24"/>
                </w:rPr>
                <w:t>Donaumoos</w:t>
              </w:r>
              <w:r w:rsidR="0034715F">
                <w:rPr>
                  <w:rStyle w:val="Hyperlink"/>
                  <w:szCs w:val="24"/>
                </w:rPr>
                <w:tab/>
                <w:t>43</w:t>
              </w:r>
            </w:hyperlink>
          </w:p>
        </w:tc>
      </w:tr>
      <w:tr w:rsidR="0034715F" w:rsidRPr="005833DD" w:rsidTr="001F3CDA">
        <w:tc>
          <w:tcPr>
            <w:tcW w:w="5000" w:type="pct"/>
          </w:tcPr>
          <w:p w:rsidR="0034715F" w:rsidRDefault="0034715F" w:rsidP="0034715F">
            <w:pPr>
              <w:pStyle w:val="LTVerzDerFragenden"/>
            </w:pPr>
            <w:r>
              <w:t>Hiersemann, Alexandra (SPD)</w:t>
            </w:r>
          </w:p>
        </w:tc>
      </w:tr>
      <w:tr w:rsidR="0034715F" w:rsidRPr="005833DD" w:rsidTr="001F3CDA">
        <w:tc>
          <w:tcPr>
            <w:tcW w:w="5000" w:type="pct"/>
          </w:tcPr>
          <w:p w:rsidR="0034715F" w:rsidRDefault="00C011AF" w:rsidP="0034715F">
            <w:pPr>
              <w:pStyle w:val="LTVerzDerFragendenFrage"/>
            </w:pPr>
            <w:hyperlink w:anchor="Frage_Nr_6" w:tooltip="Frage Nr 6" w:history="1">
              <w:r w:rsidR="0034715F">
                <w:rPr>
                  <w:rStyle w:val="Hyperlink"/>
                  <w:szCs w:val="24"/>
                </w:rPr>
                <w:t>Gemeinde-Unfallversicherung für ukrainische Geflüchtete</w:t>
              </w:r>
              <w:r w:rsidR="0034715F">
                <w:rPr>
                  <w:rStyle w:val="Hyperlink"/>
                  <w:szCs w:val="24"/>
                </w:rPr>
                <w:tab/>
                <w:t>6</w:t>
              </w:r>
            </w:hyperlink>
          </w:p>
        </w:tc>
      </w:tr>
      <w:tr w:rsidR="0034715F" w:rsidRPr="005833DD" w:rsidTr="001F3CDA">
        <w:tc>
          <w:tcPr>
            <w:tcW w:w="5000" w:type="pct"/>
          </w:tcPr>
          <w:p w:rsidR="0034715F" w:rsidRDefault="0034715F" w:rsidP="0034715F">
            <w:pPr>
              <w:pStyle w:val="LTVerzDerFragenden"/>
            </w:pPr>
            <w:r>
              <w:t>Dr. Kaltenhauser, Helmut (FDP)</w:t>
            </w:r>
          </w:p>
        </w:tc>
      </w:tr>
      <w:tr w:rsidR="0034715F" w:rsidRPr="005833DD" w:rsidTr="001F3CDA">
        <w:tc>
          <w:tcPr>
            <w:tcW w:w="5000" w:type="pct"/>
          </w:tcPr>
          <w:p w:rsidR="0034715F" w:rsidRDefault="00C011AF" w:rsidP="0034715F">
            <w:pPr>
              <w:pStyle w:val="LTVerzDerFragendenFrage"/>
            </w:pPr>
            <w:hyperlink w:anchor="Frage_Nr_24" w:tooltip="Frage Nr 24" w:history="1">
              <w:r w:rsidR="0034715F">
                <w:rPr>
                  <w:rStyle w:val="Hyperlink"/>
                  <w:szCs w:val="24"/>
                </w:rPr>
                <w:t>Verlorene Akten bei Gerichtsverhandlung im Rahmen von Maskengeschäften</w:t>
              </w:r>
              <w:r w:rsidR="0034715F">
                <w:rPr>
                  <w:rStyle w:val="Hyperlink"/>
                  <w:szCs w:val="24"/>
                </w:rPr>
                <w:tab/>
                <w:t>24</w:t>
              </w:r>
            </w:hyperlink>
          </w:p>
        </w:tc>
      </w:tr>
      <w:tr w:rsidR="0034715F" w:rsidRPr="005833DD" w:rsidTr="001F3CDA">
        <w:tc>
          <w:tcPr>
            <w:tcW w:w="5000" w:type="pct"/>
          </w:tcPr>
          <w:p w:rsidR="0034715F" w:rsidRDefault="0034715F" w:rsidP="0034715F">
            <w:pPr>
              <w:pStyle w:val="LTVerzDerFragenden"/>
            </w:pPr>
            <w:r>
              <w:t>Klingen, Christian (Fraktionslos)</w:t>
            </w:r>
          </w:p>
        </w:tc>
      </w:tr>
      <w:tr w:rsidR="0034715F" w:rsidRPr="005833DD" w:rsidTr="001F3CDA">
        <w:tc>
          <w:tcPr>
            <w:tcW w:w="5000" w:type="pct"/>
          </w:tcPr>
          <w:p w:rsidR="0034715F" w:rsidRDefault="00C011AF" w:rsidP="0034715F">
            <w:pPr>
              <w:pStyle w:val="LTVerzDerFragendenFrage"/>
            </w:pPr>
            <w:hyperlink w:anchor="Frage_Nr_44" w:tooltip="Frage Nr 44" w:history="1">
              <w:r w:rsidR="0034715F">
                <w:rPr>
                  <w:rStyle w:val="Hyperlink"/>
                  <w:szCs w:val="24"/>
                </w:rPr>
                <w:t>Gammelfleisch sollte zu Hackfleisch verarbeitet werden</w:t>
              </w:r>
              <w:r w:rsidR="0034715F">
                <w:rPr>
                  <w:rStyle w:val="Hyperlink"/>
                  <w:szCs w:val="24"/>
                </w:rPr>
                <w:tab/>
                <w:t>44</w:t>
              </w:r>
            </w:hyperlink>
          </w:p>
        </w:tc>
      </w:tr>
      <w:tr w:rsidR="0034715F" w:rsidRPr="005833DD" w:rsidTr="001F3CDA">
        <w:tc>
          <w:tcPr>
            <w:tcW w:w="5000" w:type="pct"/>
          </w:tcPr>
          <w:p w:rsidR="0034715F" w:rsidRDefault="0034715F" w:rsidP="0034715F">
            <w:pPr>
              <w:pStyle w:val="LTVerzDerFragenden"/>
            </w:pPr>
            <w:r>
              <w:t>Kohnen, Natascha (SPD)</w:t>
            </w:r>
          </w:p>
        </w:tc>
      </w:tr>
      <w:tr w:rsidR="0034715F" w:rsidRPr="005833DD" w:rsidTr="001F3CDA">
        <w:tc>
          <w:tcPr>
            <w:tcW w:w="5000" w:type="pct"/>
          </w:tcPr>
          <w:p w:rsidR="0034715F" w:rsidRDefault="00C011AF" w:rsidP="0034715F">
            <w:pPr>
              <w:pStyle w:val="LTVerzDerFragendenFrage"/>
            </w:pPr>
            <w:hyperlink w:anchor="Frage_Nr_17" w:tooltip="Frage Nr 17" w:history="1">
              <w:r w:rsidR="0034715F">
                <w:rPr>
                  <w:rStyle w:val="Hyperlink"/>
                  <w:szCs w:val="24"/>
                </w:rPr>
                <w:t>Wohnungsbauförderung für inklusive Wohngruppen/Pflege-WGs</w:t>
              </w:r>
              <w:r w:rsidR="0034715F">
                <w:rPr>
                  <w:rStyle w:val="Hyperlink"/>
                  <w:szCs w:val="24"/>
                </w:rPr>
                <w:tab/>
                <w:t>17</w:t>
              </w:r>
            </w:hyperlink>
          </w:p>
        </w:tc>
      </w:tr>
      <w:tr w:rsidR="0034715F" w:rsidRPr="005833DD" w:rsidTr="001F3CDA">
        <w:tc>
          <w:tcPr>
            <w:tcW w:w="5000" w:type="pct"/>
          </w:tcPr>
          <w:p w:rsidR="0034715F" w:rsidRDefault="0034715F" w:rsidP="0034715F">
            <w:pPr>
              <w:pStyle w:val="LTVerzDerFragenden"/>
            </w:pPr>
            <w:r>
              <w:lastRenderedPageBreak/>
              <w:t>Krahl, Andreas (BÜNDNIS 90/DIE GRÜNEN)</w:t>
            </w:r>
          </w:p>
        </w:tc>
      </w:tr>
      <w:tr w:rsidR="0034715F" w:rsidRPr="005833DD" w:rsidTr="001F3CDA">
        <w:tc>
          <w:tcPr>
            <w:tcW w:w="5000" w:type="pct"/>
          </w:tcPr>
          <w:p w:rsidR="0034715F" w:rsidRDefault="00C011AF" w:rsidP="0034715F">
            <w:pPr>
              <w:pStyle w:val="LTVerzDerFragendenFrage"/>
            </w:pPr>
            <w:hyperlink w:anchor="Frage_Nr_58" w:tooltip="Frage Nr 58" w:history="1">
              <w:r w:rsidR="0034715F">
                <w:rPr>
                  <w:rStyle w:val="Hyperlink"/>
                  <w:szCs w:val="24"/>
                </w:rPr>
                <w:t>Neue Rollen für die professionelle Pflege</w:t>
              </w:r>
              <w:r w:rsidR="0034715F">
                <w:rPr>
                  <w:rStyle w:val="Hyperlink"/>
                  <w:szCs w:val="24"/>
                </w:rPr>
                <w:tab/>
                <w:t>58</w:t>
              </w:r>
            </w:hyperlink>
          </w:p>
        </w:tc>
      </w:tr>
      <w:tr w:rsidR="0034715F" w:rsidRPr="005833DD" w:rsidTr="001F3CDA">
        <w:tc>
          <w:tcPr>
            <w:tcW w:w="5000" w:type="pct"/>
          </w:tcPr>
          <w:p w:rsidR="0034715F" w:rsidRDefault="0034715F" w:rsidP="0034715F">
            <w:pPr>
              <w:pStyle w:val="LTVerzDerFragenden"/>
            </w:pPr>
            <w:r>
              <w:t>Kurz, Susanne (BÜNDNIS 90/DIE GRÜNEN)</w:t>
            </w:r>
          </w:p>
        </w:tc>
      </w:tr>
      <w:tr w:rsidR="0034715F" w:rsidRPr="005833DD" w:rsidTr="001F3CDA">
        <w:tc>
          <w:tcPr>
            <w:tcW w:w="5000" w:type="pct"/>
          </w:tcPr>
          <w:p w:rsidR="0034715F" w:rsidRDefault="00C011AF" w:rsidP="0034715F">
            <w:pPr>
              <w:pStyle w:val="LTVerzDerFragendenFrage"/>
            </w:pPr>
            <w:hyperlink w:anchor="Frage_Nr_18" w:tooltip="Frage Nr 18" w:history="1">
              <w:r w:rsidR="0034715F">
                <w:rPr>
                  <w:rStyle w:val="Hyperlink"/>
                  <w:szCs w:val="24"/>
                </w:rPr>
                <w:t>Lüftung Passivhäuser während Corona</w:t>
              </w:r>
              <w:r w:rsidR="0034715F">
                <w:rPr>
                  <w:rStyle w:val="Hyperlink"/>
                  <w:szCs w:val="24"/>
                </w:rPr>
                <w:tab/>
                <w:t>18</w:t>
              </w:r>
            </w:hyperlink>
          </w:p>
        </w:tc>
      </w:tr>
      <w:tr w:rsidR="0034715F" w:rsidRPr="005833DD" w:rsidTr="001F3CDA">
        <w:tc>
          <w:tcPr>
            <w:tcW w:w="5000" w:type="pct"/>
          </w:tcPr>
          <w:p w:rsidR="0034715F" w:rsidRDefault="0034715F" w:rsidP="0034715F">
            <w:pPr>
              <w:pStyle w:val="LTVerzDerFragenden"/>
            </w:pPr>
            <w:r>
              <w:t>Köhler, Claudia (BÜNDNIS 90/DIE GRÜNEN)</w:t>
            </w:r>
          </w:p>
        </w:tc>
      </w:tr>
      <w:tr w:rsidR="0034715F" w:rsidRPr="005833DD" w:rsidTr="001F3CDA">
        <w:tc>
          <w:tcPr>
            <w:tcW w:w="5000" w:type="pct"/>
          </w:tcPr>
          <w:p w:rsidR="0034715F" w:rsidRDefault="00C011AF" w:rsidP="0034715F">
            <w:pPr>
              <w:pStyle w:val="LTVerzDerFragendenFrage"/>
            </w:pPr>
            <w:hyperlink w:anchor="Frage_Nr_27" w:tooltip="Frage Nr 27" w:history="1">
              <w:r w:rsidR="0034715F">
                <w:rPr>
                  <w:rStyle w:val="Hyperlink"/>
                  <w:szCs w:val="24"/>
                </w:rPr>
                <w:t>Finanzierung politscher Stiftungen, Akademien und Bildungswerke in Bayern</w:t>
              </w:r>
              <w:r w:rsidR="0034715F">
                <w:rPr>
                  <w:rStyle w:val="Hyperlink"/>
                  <w:szCs w:val="24"/>
                </w:rPr>
                <w:tab/>
                <w:t>27</w:t>
              </w:r>
            </w:hyperlink>
          </w:p>
        </w:tc>
      </w:tr>
      <w:tr w:rsidR="0034715F" w:rsidRPr="005833DD" w:rsidTr="001F3CDA">
        <w:tc>
          <w:tcPr>
            <w:tcW w:w="5000" w:type="pct"/>
          </w:tcPr>
          <w:p w:rsidR="0034715F" w:rsidRDefault="0034715F" w:rsidP="0034715F">
            <w:pPr>
              <w:pStyle w:val="LTVerzDerFragenden"/>
            </w:pPr>
            <w:r>
              <w:t>Körber, Sebastian (FDP)</w:t>
            </w:r>
          </w:p>
        </w:tc>
      </w:tr>
      <w:tr w:rsidR="0034715F" w:rsidRPr="005833DD" w:rsidTr="001F3CDA">
        <w:tc>
          <w:tcPr>
            <w:tcW w:w="5000" w:type="pct"/>
          </w:tcPr>
          <w:p w:rsidR="0034715F" w:rsidRDefault="00C011AF" w:rsidP="00190CE9">
            <w:pPr>
              <w:pStyle w:val="LTVerzDerFragendenFrage"/>
            </w:pPr>
            <w:hyperlink w:anchor="Frage_Nr_57" w:tooltip="Frage Nr 57" w:history="1">
              <w:r w:rsidR="0034715F">
                <w:rPr>
                  <w:rStyle w:val="Hyperlink"/>
                  <w:szCs w:val="24"/>
                </w:rPr>
                <w:t xml:space="preserve">Nachfrage zu den Dienststellen des </w:t>
              </w:r>
              <w:r w:rsidR="00190CE9">
                <w:rPr>
                  <w:rStyle w:val="Hyperlink"/>
                  <w:szCs w:val="24"/>
                </w:rPr>
                <w:t>Staatsministeriums</w:t>
              </w:r>
              <w:r w:rsidR="00190CE9">
                <w:rPr>
                  <w:rStyle w:val="Hyperlink"/>
                  <w:szCs w:val="24"/>
                </w:rPr>
                <w:br/>
                <w:t>für Gesundheit und Pflege</w:t>
              </w:r>
              <w:r w:rsidR="0034715F">
                <w:rPr>
                  <w:rStyle w:val="Hyperlink"/>
                  <w:szCs w:val="24"/>
                </w:rPr>
                <w:tab/>
                <w:t>57</w:t>
              </w:r>
            </w:hyperlink>
          </w:p>
        </w:tc>
      </w:tr>
      <w:tr w:rsidR="0034715F" w:rsidRPr="005833DD" w:rsidTr="001F3CDA">
        <w:tc>
          <w:tcPr>
            <w:tcW w:w="5000" w:type="pct"/>
          </w:tcPr>
          <w:p w:rsidR="0034715F" w:rsidRDefault="0034715F" w:rsidP="0034715F">
            <w:pPr>
              <w:pStyle w:val="LTVerzDerFragenden"/>
            </w:pPr>
            <w:r>
              <w:t>Maier, Christoph (AfD)</w:t>
            </w:r>
          </w:p>
        </w:tc>
      </w:tr>
      <w:tr w:rsidR="0034715F" w:rsidRPr="005833DD" w:rsidTr="001F3CDA">
        <w:tc>
          <w:tcPr>
            <w:tcW w:w="5000" w:type="pct"/>
          </w:tcPr>
          <w:p w:rsidR="0034715F" w:rsidRDefault="00C011AF" w:rsidP="005C12DF">
            <w:pPr>
              <w:pStyle w:val="LTVerzDerFragendenFrage"/>
            </w:pPr>
            <w:hyperlink w:anchor="Frage_Nr_19" w:tooltip="Frage Nr 19" w:history="1">
              <w:r w:rsidR="0034715F">
                <w:rPr>
                  <w:rStyle w:val="Hyperlink"/>
                  <w:szCs w:val="24"/>
                </w:rPr>
                <w:t>Flüchtlinge aus der Ukraine: Gefälschte Pässe und umsonst Bahnfahren</w:t>
              </w:r>
              <w:r w:rsidR="0034715F">
                <w:rPr>
                  <w:rStyle w:val="Hyperlink"/>
                  <w:szCs w:val="24"/>
                </w:rPr>
                <w:tab/>
                <w:t>19</w:t>
              </w:r>
            </w:hyperlink>
          </w:p>
        </w:tc>
      </w:tr>
      <w:tr w:rsidR="0034715F" w:rsidRPr="005833DD" w:rsidTr="001F3CDA">
        <w:tc>
          <w:tcPr>
            <w:tcW w:w="5000" w:type="pct"/>
          </w:tcPr>
          <w:p w:rsidR="0034715F" w:rsidRDefault="0034715F" w:rsidP="0034715F">
            <w:pPr>
              <w:pStyle w:val="LTVerzDerFragenden"/>
            </w:pPr>
            <w:r>
              <w:t>Mannes, Gerd (AfD)</w:t>
            </w:r>
          </w:p>
        </w:tc>
      </w:tr>
      <w:tr w:rsidR="0034715F" w:rsidRPr="005833DD" w:rsidTr="001F3CDA">
        <w:tc>
          <w:tcPr>
            <w:tcW w:w="5000" w:type="pct"/>
          </w:tcPr>
          <w:p w:rsidR="0034715F" w:rsidRDefault="00C011AF" w:rsidP="0034715F">
            <w:pPr>
              <w:pStyle w:val="LTVerzDerFragendenFrage"/>
            </w:pPr>
            <w:hyperlink w:anchor="Frage_Nr_59" w:tooltip="Frage Nr 59" w:history="1">
              <w:r w:rsidR="0034715F">
                <w:rPr>
                  <w:rStyle w:val="Hyperlink"/>
                  <w:szCs w:val="24"/>
                </w:rPr>
                <w:t>Maskenkäufe III</w:t>
              </w:r>
              <w:r w:rsidR="0034715F">
                <w:rPr>
                  <w:rStyle w:val="Hyperlink"/>
                  <w:szCs w:val="24"/>
                </w:rPr>
                <w:tab/>
                <w:t>59</w:t>
              </w:r>
            </w:hyperlink>
          </w:p>
        </w:tc>
      </w:tr>
      <w:tr w:rsidR="0034715F" w:rsidRPr="005833DD" w:rsidTr="001F3CDA">
        <w:tc>
          <w:tcPr>
            <w:tcW w:w="5000" w:type="pct"/>
          </w:tcPr>
          <w:p w:rsidR="0034715F" w:rsidRDefault="0034715F" w:rsidP="0034715F">
            <w:pPr>
              <w:pStyle w:val="LTVerzDerFragenden"/>
            </w:pPr>
            <w:r>
              <w:t>Markwort, Helmut (FDP)</w:t>
            </w:r>
          </w:p>
        </w:tc>
      </w:tr>
      <w:tr w:rsidR="0034715F" w:rsidRPr="005833DD" w:rsidTr="001F3CDA">
        <w:tc>
          <w:tcPr>
            <w:tcW w:w="5000" w:type="pct"/>
          </w:tcPr>
          <w:p w:rsidR="0034715F" w:rsidRDefault="00C011AF" w:rsidP="0034715F">
            <w:pPr>
              <w:pStyle w:val="LTVerzDerFragendenFrage"/>
            </w:pPr>
            <w:hyperlink w:anchor="Frage_Nr_49" w:tooltip="Frage Nr 49" w:history="1">
              <w:r w:rsidR="0034715F">
                <w:rPr>
                  <w:rStyle w:val="Hyperlink"/>
                  <w:szCs w:val="24"/>
                </w:rPr>
                <w:t>Aktueller Stand der 30 Millionen Baumpflanzungen bis 2024</w:t>
              </w:r>
              <w:r w:rsidR="0034715F">
                <w:rPr>
                  <w:rStyle w:val="Hyperlink"/>
                  <w:szCs w:val="24"/>
                </w:rPr>
                <w:tab/>
                <w:t>49</w:t>
              </w:r>
            </w:hyperlink>
          </w:p>
        </w:tc>
      </w:tr>
      <w:tr w:rsidR="0034715F" w:rsidRPr="005833DD" w:rsidTr="001F3CDA">
        <w:tc>
          <w:tcPr>
            <w:tcW w:w="5000" w:type="pct"/>
          </w:tcPr>
          <w:p w:rsidR="0034715F" w:rsidRDefault="0034715F" w:rsidP="0034715F">
            <w:pPr>
              <w:pStyle w:val="LTVerzDerFragenden"/>
            </w:pPr>
            <w:r>
              <w:t>Mistol, Jürgen (BÜNDNIS 90/DIE GRÜNEN)</w:t>
            </w:r>
          </w:p>
        </w:tc>
      </w:tr>
      <w:tr w:rsidR="0034715F" w:rsidRPr="005833DD" w:rsidTr="001F3CDA">
        <w:tc>
          <w:tcPr>
            <w:tcW w:w="5000" w:type="pct"/>
          </w:tcPr>
          <w:p w:rsidR="0034715F" w:rsidRDefault="00C011AF" w:rsidP="00190CE9">
            <w:pPr>
              <w:pStyle w:val="LTVerzDerFragendenFrage"/>
            </w:pPr>
            <w:hyperlink w:anchor="Frage_Nr_20" w:tooltip="Frage Nr 20" w:history="1">
              <w:r w:rsidR="0034715F">
                <w:rPr>
                  <w:rStyle w:val="Hyperlink"/>
                  <w:szCs w:val="24"/>
                </w:rPr>
                <w:t>Abschied vom Diesel im Schienenpersonennahverkehr</w:t>
              </w:r>
              <w:r w:rsidR="0034715F">
                <w:rPr>
                  <w:rStyle w:val="Hyperlink"/>
                  <w:szCs w:val="24"/>
                </w:rPr>
                <w:tab/>
                <w:t>20</w:t>
              </w:r>
            </w:hyperlink>
          </w:p>
        </w:tc>
      </w:tr>
      <w:tr w:rsidR="0034715F" w:rsidRPr="005833DD" w:rsidTr="001F3CDA">
        <w:tc>
          <w:tcPr>
            <w:tcW w:w="5000" w:type="pct"/>
          </w:tcPr>
          <w:p w:rsidR="0034715F" w:rsidRDefault="0034715F" w:rsidP="0034715F">
            <w:pPr>
              <w:pStyle w:val="LTVerzDerFragenden"/>
            </w:pPr>
            <w:r>
              <w:t>Müller, Ruth (SPD)</w:t>
            </w:r>
          </w:p>
        </w:tc>
      </w:tr>
      <w:tr w:rsidR="0034715F" w:rsidRPr="005833DD" w:rsidTr="001F3CDA">
        <w:tc>
          <w:tcPr>
            <w:tcW w:w="5000" w:type="pct"/>
          </w:tcPr>
          <w:p w:rsidR="0034715F" w:rsidRDefault="00C011AF" w:rsidP="00190CE9">
            <w:pPr>
              <w:pStyle w:val="LTVerzDerFragendenFrage"/>
            </w:pPr>
            <w:hyperlink w:anchor="Frage_Nr_45" w:tooltip="Frage Nr 45" w:history="1">
              <w:r w:rsidR="0034715F">
                <w:rPr>
                  <w:rStyle w:val="Hyperlink"/>
                  <w:szCs w:val="24"/>
                </w:rPr>
                <w:t>Biodiversitätsberatung an allen Landratsämtern</w:t>
              </w:r>
              <w:r w:rsidR="0034715F">
                <w:rPr>
                  <w:rStyle w:val="Hyperlink"/>
                  <w:szCs w:val="24"/>
                </w:rPr>
                <w:tab/>
                <w:t>45</w:t>
              </w:r>
            </w:hyperlink>
          </w:p>
        </w:tc>
      </w:tr>
      <w:tr w:rsidR="0034715F" w:rsidRPr="005833DD" w:rsidTr="001F3CDA">
        <w:tc>
          <w:tcPr>
            <w:tcW w:w="5000" w:type="pct"/>
          </w:tcPr>
          <w:p w:rsidR="0034715F" w:rsidRDefault="0034715F" w:rsidP="0034715F">
            <w:pPr>
              <w:pStyle w:val="LTVerzDerFragenden"/>
            </w:pPr>
            <w:r>
              <w:t>Osgyan, Verena (BÜNDNIS 90/DIE GRÜNEN)</w:t>
            </w:r>
          </w:p>
        </w:tc>
      </w:tr>
      <w:tr w:rsidR="0034715F" w:rsidRPr="005833DD" w:rsidTr="001F3CDA">
        <w:tc>
          <w:tcPr>
            <w:tcW w:w="5000" w:type="pct"/>
          </w:tcPr>
          <w:p w:rsidR="0034715F" w:rsidRDefault="00C011AF" w:rsidP="0034715F">
            <w:pPr>
              <w:pStyle w:val="LTVerzDerFragendenFrage"/>
            </w:pPr>
            <w:hyperlink w:anchor="Frage_Nr_7" w:tooltip="Frage Nr 7" w:history="1">
              <w:r w:rsidR="0034715F">
                <w:rPr>
                  <w:rStyle w:val="Hyperlink"/>
                  <w:szCs w:val="24"/>
                </w:rPr>
                <w:t>Rechte Gewalttat in Nürnberg</w:t>
              </w:r>
              <w:r w:rsidR="0034715F">
                <w:rPr>
                  <w:rStyle w:val="Hyperlink"/>
                  <w:szCs w:val="24"/>
                </w:rPr>
                <w:tab/>
                <w:t>7</w:t>
              </w:r>
            </w:hyperlink>
          </w:p>
        </w:tc>
      </w:tr>
      <w:tr w:rsidR="0034715F" w:rsidRPr="005833DD" w:rsidTr="001F3CDA">
        <w:tc>
          <w:tcPr>
            <w:tcW w:w="5000" w:type="pct"/>
          </w:tcPr>
          <w:p w:rsidR="0034715F" w:rsidRDefault="0034715F" w:rsidP="0034715F">
            <w:pPr>
              <w:pStyle w:val="LTVerzDerFragenden"/>
            </w:pPr>
            <w:r>
              <w:t>Pargent, Tim (BÜNDNIS 90/DIE GRÜNEN)</w:t>
            </w:r>
          </w:p>
        </w:tc>
      </w:tr>
      <w:tr w:rsidR="0034715F" w:rsidRPr="005833DD" w:rsidTr="001F3CDA">
        <w:tc>
          <w:tcPr>
            <w:tcW w:w="5000" w:type="pct"/>
          </w:tcPr>
          <w:p w:rsidR="0034715F" w:rsidRDefault="00C011AF" w:rsidP="0034715F">
            <w:pPr>
              <w:pStyle w:val="LTVerzDerFragendenFrage"/>
            </w:pPr>
            <w:hyperlink w:anchor="Frage_Nr_60" w:tooltip="Frage Nr 60" w:history="1">
              <w:r w:rsidR="0034715F">
                <w:rPr>
                  <w:rStyle w:val="Hyperlink"/>
                  <w:szCs w:val="24"/>
                </w:rPr>
                <w:t>Verteilung Lomotex- und Emix-Masken in Oberfranken</w:t>
              </w:r>
              <w:r w:rsidR="0034715F">
                <w:rPr>
                  <w:rStyle w:val="Hyperlink"/>
                  <w:szCs w:val="24"/>
                </w:rPr>
                <w:tab/>
                <w:t>60</w:t>
              </w:r>
            </w:hyperlink>
          </w:p>
        </w:tc>
      </w:tr>
      <w:tr w:rsidR="0034715F" w:rsidRPr="005833DD" w:rsidTr="001F3CDA">
        <w:tc>
          <w:tcPr>
            <w:tcW w:w="5000" w:type="pct"/>
          </w:tcPr>
          <w:p w:rsidR="0034715F" w:rsidRDefault="0034715F" w:rsidP="0034715F">
            <w:pPr>
              <w:pStyle w:val="LTVerzDerFragenden"/>
            </w:pPr>
            <w:r>
              <w:t>Rauscher, Doris (SPD)</w:t>
            </w:r>
          </w:p>
        </w:tc>
      </w:tr>
      <w:tr w:rsidR="0034715F" w:rsidRPr="005833DD" w:rsidTr="001F3CDA">
        <w:tc>
          <w:tcPr>
            <w:tcW w:w="5000" w:type="pct"/>
          </w:tcPr>
          <w:p w:rsidR="0034715F" w:rsidRDefault="00C011AF" w:rsidP="0034715F">
            <w:pPr>
              <w:pStyle w:val="LTVerzDerFragendenFrage"/>
            </w:pPr>
            <w:hyperlink w:anchor="Frage_Nr_8" w:tooltip="Frage Nr 8" w:history="1">
              <w:r w:rsidR="0034715F">
                <w:rPr>
                  <w:rStyle w:val="Hyperlink"/>
                  <w:szCs w:val="24"/>
                </w:rPr>
                <w:t>Ukrainische Kinder un</w:t>
              </w:r>
              <w:r w:rsidR="00190CE9">
                <w:rPr>
                  <w:rStyle w:val="Hyperlink"/>
                  <w:szCs w:val="24"/>
                </w:rPr>
                <w:t>d Jugendliche aus Waisenhäusern</w:t>
              </w:r>
              <w:r w:rsidR="00190CE9">
                <w:rPr>
                  <w:rStyle w:val="Hyperlink"/>
                  <w:szCs w:val="24"/>
                </w:rPr>
                <w:br/>
              </w:r>
              <w:r w:rsidR="0034715F">
                <w:rPr>
                  <w:rStyle w:val="Hyperlink"/>
                  <w:szCs w:val="24"/>
                </w:rPr>
                <w:t>und Einrichtungen der Jugendhilfe</w:t>
              </w:r>
              <w:r w:rsidR="0034715F">
                <w:rPr>
                  <w:rStyle w:val="Hyperlink"/>
                  <w:szCs w:val="24"/>
                </w:rPr>
                <w:tab/>
                <w:t>8</w:t>
              </w:r>
            </w:hyperlink>
          </w:p>
        </w:tc>
      </w:tr>
      <w:tr w:rsidR="0034715F" w:rsidRPr="005833DD" w:rsidTr="001F3CDA">
        <w:tc>
          <w:tcPr>
            <w:tcW w:w="5000" w:type="pct"/>
          </w:tcPr>
          <w:p w:rsidR="0034715F" w:rsidRDefault="0034715F" w:rsidP="0034715F">
            <w:pPr>
              <w:pStyle w:val="LTVerzDerFragenden"/>
            </w:pPr>
            <w:r>
              <w:t>Rinderspacher, Markus (SPD)</w:t>
            </w:r>
          </w:p>
        </w:tc>
      </w:tr>
      <w:tr w:rsidR="0034715F" w:rsidRPr="005833DD" w:rsidTr="001F3CDA">
        <w:tc>
          <w:tcPr>
            <w:tcW w:w="5000" w:type="pct"/>
          </w:tcPr>
          <w:p w:rsidR="0034715F" w:rsidRDefault="00C011AF" w:rsidP="0034715F">
            <w:pPr>
              <w:pStyle w:val="LTVerzDerFragendenFrage"/>
            </w:pPr>
            <w:hyperlink w:anchor="Frage_Nr_9" w:tooltip="Frage Nr 9" w:history="1">
              <w:r w:rsidR="0034715F">
                <w:rPr>
                  <w:rStyle w:val="Hyperlink"/>
                  <w:szCs w:val="24"/>
                </w:rPr>
                <w:t xml:space="preserve">Aufnahme Waisenhaus Nr. 3 </w:t>
              </w:r>
              <w:r w:rsidR="00190CE9">
                <w:rPr>
                  <w:rStyle w:val="Hyperlink"/>
                  <w:szCs w:val="24"/>
                </w:rPr>
                <w:t>aus Charkiw/Ukraine</w:t>
              </w:r>
              <w:r w:rsidR="00190CE9">
                <w:rPr>
                  <w:rStyle w:val="Hyperlink"/>
                  <w:szCs w:val="24"/>
                </w:rPr>
                <w:br/>
              </w:r>
              <w:r w:rsidR="0034715F">
                <w:rPr>
                  <w:rStyle w:val="Hyperlink"/>
                  <w:szCs w:val="24"/>
                </w:rPr>
                <w:t>im Berchtesgadener Land</w:t>
              </w:r>
              <w:r w:rsidR="0034715F">
                <w:rPr>
                  <w:rStyle w:val="Hyperlink"/>
                  <w:szCs w:val="24"/>
                </w:rPr>
                <w:tab/>
                <w:t>9</w:t>
              </w:r>
            </w:hyperlink>
          </w:p>
        </w:tc>
      </w:tr>
      <w:tr w:rsidR="0034715F" w:rsidRPr="005833DD" w:rsidTr="001F3CDA">
        <w:tc>
          <w:tcPr>
            <w:tcW w:w="5000" w:type="pct"/>
          </w:tcPr>
          <w:p w:rsidR="0034715F" w:rsidRDefault="0034715F" w:rsidP="0034715F">
            <w:pPr>
              <w:pStyle w:val="LTVerzDerFragenden"/>
            </w:pPr>
            <w:r>
              <w:t>Sandt, Julika (FDP)</w:t>
            </w:r>
          </w:p>
        </w:tc>
      </w:tr>
      <w:tr w:rsidR="0034715F" w:rsidRPr="005833DD" w:rsidTr="001F3CDA">
        <w:tc>
          <w:tcPr>
            <w:tcW w:w="5000" w:type="pct"/>
          </w:tcPr>
          <w:p w:rsidR="0034715F" w:rsidRDefault="00C011AF" w:rsidP="00BF42EF">
            <w:pPr>
              <w:pStyle w:val="LTVerzDerFragendenFrage"/>
            </w:pPr>
            <w:hyperlink w:anchor="Frage_Nr_10" w:tooltip="Frage Nr 10" w:history="1">
              <w:r w:rsidR="0034715F">
                <w:rPr>
                  <w:rStyle w:val="Hyperlink"/>
                  <w:szCs w:val="24"/>
                </w:rPr>
                <w:t xml:space="preserve">Kinder in </w:t>
              </w:r>
              <w:r w:rsidR="00BF42EF">
                <w:rPr>
                  <w:rStyle w:val="Hyperlink"/>
                  <w:szCs w:val="24"/>
                </w:rPr>
                <w:t>ANKER</w:t>
              </w:r>
              <w:r w:rsidR="0034715F">
                <w:rPr>
                  <w:rStyle w:val="Hyperlink"/>
                  <w:szCs w:val="24"/>
                </w:rPr>
                <w:t>-Einrichtungen</w:t>
              </w:r>
              <w:r w:rsidR="0034715F">
                <w:rPr>
                  <w:rStyle w:val="Hyperlink"/>
                  <w:szCs w:val="24"/>
                </w:rPr>
                <w:tab/>
                <w:t>10</w:t>
              </w:r>
            </w:hyperlink>
          </w:p>
        </w:tc>
      </w:tr>
      <w:tr w:rsidR="0034715F" w:rsidRPr="005833DD" w:rsidTr="001F3CDA">
        <w:tc>
          <w:tcPr>
            <w:tcW w:w="5000" w:type="pct"/>
          </w:tcPr>
          <w:p w:rsidR="0034715F" w:rsidRDefault="0034715F" w:rsidP="0034715F">
            <w:pPr>
              <w:pStyle w:val="LTVerzDerFragenden"/>
            </w:pPr>
            <w:r>
              <w:t>Schuberl, Toni (BÜNDNIS 90/DIE GRÜNEN)</w:t>
            </w:r>
          </w:p>
        </w:tc>
      </w:tr>
      <w:tr w:rsidR="0034715F" w:rsidRPr="005833DD" w:rsidTr="001F3CDA">
        <w:tc>
          <w:tcPr>
            <w:tcW w:w="5000" w:type="pct"/>
          </w:tcPr>
          <w:p w:rsidR="0034715F" w:rsidRDefault="00C011AF" w:rsidP="0034715F">
            <w:pPr>
              <w:pStyle w:val="LTVerzDerFragendenFrage"/>
            </w:pPr>
            <w:hyperlink w:anchor="Frage_Nr_41" w:tooltip="Frage Nr 41" w:history="1">
              <w:r w:rsidR="0034715F">
                <w:rPr>
                  <w:rStyle w:val="Hyperlink"/>
                  <w:szCs w:val="24"/>
                </w:rPr>
                <w:t>Vorranggebiete für Windkraftanlagen in Niederbayern</w:t>
              </w:r>
              <w:r w:rsidR="0034715F">
                <w:rPr>
                  <w:rStyle w:val="Hyperlink"/>
                  <w:szCs w:val="24"/>
                </w:rPr>
                <w:tab/>
                <w:t>41</w:t>
              </w:r>
            </w:hyperlink>
          </w:p>
        </w:tc>
      </w:tr>
      <w:tr w:rsidR="0034715F" w:rsidRPr="005833DD" w:rsidTr="001F3CDA">
        <w:tc>
          <w:tcPr>
            <w:tcW w:w="5000" w:type="pct"/>
          </w:tcPr>
          <w:p w:rsidR="0034715F" w:rsidRDefault="0034715F" w:rsidP="0034715F">
            <w:pPr>
              <w:pStyle w:val="LTVerzDerFragenden"/>
            </w:pPr>
            <w:r>
              <w:t>Schuhknecht, Stephanie (BÜNDNIS 90/DIE GRÜNEN)</w:t>
            </w:r>
          </w:p>
        </w:tc>
      </w:tr>
      <w:tr w:rsidR="0034715F" w:rsidRPr="005833DD" w:rsidTr="001F3CDA">
        <w:tc>
          <w:tcPr>
            <w:tcW w:w="5000" w:type="pct"/>
          </w:tcPr>
          <w:p w:rsidR="0034715F" w:rsidRDefault="00C011AF" w:rsidP="0034715F">
            <w:pPr>
              <w:pStyle w:val="LTVerzDerFragendenFrage"/>
            </w:pPr>
            <w:hyperlink w:anchor="Frage_Nr_21" w:tooltip="Frage Nr 21" w:history="1">
              <w:r w:rsidR="0034715F">
                <w:rPr>
                  <w:rStyle w:val="Hyperlink"/>
                  <w:szCs w:val="24"/>
                </w:rPr>
                <w:t>Gescheiterter Freihandverkauf</w:t>
              </w:r>
              <w:r w:rsidR="00190CE9">
                <w:rPr>
                  <w:rStyle w:val="Hyperlink"/>
                  <w:szCs w:val="24"/>
                </w:rPr>
                <w:t xml:space="preserve"> des Anwesens Calmbergstraße 2a</w:t>
              </w:r>
              <w:r w:rsidR="00190CE9">
                <w:rPr>
                  <w:rStyle w:val="Hyperlink"/>
                  <w:szCs w:val="24"/>
                </w:rPr>
                <w:br/>
              </w:r>
              <w:r w:rsidR="0034715F">
                <w:rPr>
                  <w:rStyle w:val="Hyperlink"/>
                  <w:szCs w:val="24"/>
                </w:rPr>
                <w:t xml:space="preserve">in Augsburg an den Verein Pa*radieschen </w:t>
              </w:r>
              <w:r w:rsidR="00190CE9">
                <w:rPr>
                  <w:rStyle w:val="Hyperlink"/>
                  <w:szCs w:val="24"/>
                </w:rPr>
                <w:t>e. V.</w:t>
              </w:r>
              <w:r w:rsidR="0034715F">
                <w:rPr>
                  <w:rStyle w:val="Hyperlink"/>
                  <w:szCs w:val="24"/>
                </w:rPr>
                <w:tab/>
                <w:t>21</w:t>
              </w:r>
            </w:hyperlink>
          </w:p>
        </w:tc>
      </w:tr>
      <w:tr w:rsidR="0034715F" w:rsidRPr="005833DD" w:rsidTr="001F3CDA">
        <w:tc>
          <w:tcPr>
            <w:tcW w:w="5000" w:type="pct"/>
          </w:tcPr>
          <w:p w:rsidR="0034715F" w:rsidRDefault="0034715F" w:rsidP="0034715F">
            <w:pPr>
              <w:pStyle w:val="LTVerzDerFragenden"/>
            </w:pPr>
            <w:r>
              <w:t>Schulze, Katharina (BÜNDNIS 90/DIE GRÜNEN)</w:t>
            </w:r>
          </w:p>
        </w:tc>
      </w:tr>
      <w:tr w:rsidR="0034715F" w:rsidRPr="005833DD" w:rsidTr="001F3CDA">
        <w:tc>
          <w:tcPr>
            <w:tcW w:w="5000" w:type="pct"/>
          </w:tcPr>
          <w:p w:rsidR="0034715F" w:rsidRDefault="00C011AF" w:rsidP="0034715F">
            <w:pPr>
              <w:pStyle w:val="LTVerzDerFragendenFrage"/>
            </w:pPr>
            <w:hyperlink w:anchor="Frage_Nr_11" w:tooltip="Frage Nr 11" w:history="1">
              <w:r w:rsidR="0034715F">
                <w:rPr>
                  <w:rStyle w:val="Hyperlink"/>
                  <w:szCs w:val="24"/>
                </w:rPr>
                <w:t>Frauen bei der Polizei</w:t>
              </w:r>
              <w:r w:rsidR="0034715F">
                <w:rPr>
                  <w:rStyle w:val="Hyperlink"/>
                  <w:szCs w:val="24"/>
                </w:rPr>
                <w:tab/>
                <w:t>11</w:t>
              </w:r>
            </w:hyperlink>
          </w:p>
        </w:tc>
      </w:tr>
      <w:tr w:rsidR="0034715F" w:rsidRPr="005833DD" w:rsidTr="001F3CDA">
        <w:tc>
          <w:tcPr>
            <w:tcW w:w="5000" w:type="pct"/>
          </w:tcPr>
          <w:p w:rsidR="0034715F" w:rsidRDefault="0034715F" w:rsidP="0034715F">
            <w:pPr>
              <w:pStyle w:val="LTVerzDerFragenden"/>
            </w:pPr>
            <w:r>
              <w:t>Schuster, Stefan (SPD)</w:t>
            </w:r>
          </w:p>
        </w:tc>
      </w:tr>
      <w:tr w:rsidR="0034715F" w:rsidRPr="005833DD" w:rsidTr="001F3CDA">
        <w:tc>
          <w:tcPr>
            <w:tcW w:w="5000" w:type="pct"/>
          </w:tcPr>
          <w:p w:rsidR="0034715F" w:rsidRDefault="00C011AF" w:rsidP="0034715F">
            <w:pPr>
              <w:pStyle w:val="LTVerzDerFragendenFrage"/>
            </w:pPr>
            <w:hyperlink w:anchor="Frage_Nr_12" w:tooltip="Frage Nr 12" w:history="1">
              <w:r w:rsidR="0034715F">
                <w:rPr>
                  <w:rStyle w:val="Hyperlink"/>
                  <w:szCs w:val="24"/>
                </w:rPr>
                <w:t>Unterbringung von Geflüchtete</w:t>
              </w:r>
              <w:r w:rsidR="00190CE9">
                <w:rPr>
                  <w:rStyle w:val="Hyperlink"/>
                  <w:szCs w:val="24"/>
                </w:rPr>
                <w:t>n aus der Ukraine nach dem Ende</w:t>
              </w:r>
              <w:r w:rsidR="00190CE9">
                <w:rPr>
                  <w:rStyle w:val="Hyperlink"/>
                  <w:szCs w:val="24"/>
                </w:rPr>
                <w:br/>
              </w:r>
              <w:r w:rsidR="0034715F">
                <w:rPr>
                  <w:rStyle w:val="Hyperlink"/>
                  <w:szCs w:val="24"/>
                </w:rPr>
                <w:t>einer privaten Beherbergung</w:t>
              </w:r>
              <w:r w:rsidR="0034715F">
                <w:rPr>
                  <w:rStyle w:val="Hyperlink"/>
                  <w:szCs w:val="24"/>
                </w:rPr>
                <w:tab/>
                <w:t>12</w:t>
              </w:r>
            </w:hyperlink>
          </w:p>
        </w:tc>
      </w:tr>
      <w:tr w:rsidR="0034715F" w:rsidRPr="005833DD" w:rsidTr="001F3CDA">
        <w:tc>
          <w:tcPr>
            <w:tcW w:w="5000" w:type="pct"/>
          </w:tcPr>
          <w:p w:rsidR="0034715F" w:rsidRDefault="0034715F" w:rsidP="0034715F">
            <w:pPr>
              <w:pStyle w:val="LTVerzDerFragenden"/>
            </w:pPr>
            <w:r>
              <w:t>Schwamberger, Anna (BÜNDNIS 90/DIE GRÜNEN)</w:t>
            </w:r>
          </w:p>
        </w:tc>
      </w:tr>
      <w:tr w:rsidR="0034715F" w:rsidRPr="005833DD" w:rsidTr="001F3CDA">
        <w:tc>
          <w:tcPr>
            <w:tcW w:w="5000" w:type="pct"/>
          </w:tcPr>
          <w:p w:rsidR="0034715F" w:rsidRDefault="00C011AF" w:rsidP="0034715F">
            <w:pPr>
              <w:pStyle w:val="LTVerzDerFragendenFrage"/>
            </w:pPr>
            <w:hyperlink w:anchor="Frage_Nr_28" w:tooltip="Frage Nr 28" w:history="1">
              <w:r w:rsidR="0034715F">
                <w:rPr>
                  <w:rStyle w:val="Hyperlink"/>
                  <w:szCs w:val="24"/>
                </w:rPr>
                <w:t>Altersstruktur Lehrkräfte</w:t>
              </w:r>
              <w:r w:rsidR="0034715F">
                <w:rPr>
                  <w:rStyle w:val="Hyperlink"/>
                  <w:szCs w:val="24"/>
                </w:rPr>
                <w:tab/>
                <w:t>28</w:t>
              </w:r>
            </w:hyperlink>
          </w:p>
        </w:tc>
      </w:tr>
      <w:tr w:rsidR="0034715F" w:rsidRPr="005833DD" w:rsidTr="001F3CDA">
        <w:tc>
          <w:tcPr>
            <w:tcW w:w="5000" w:type="pct"/>
          </w:tcPr>
          <w:p w:rsidR="0034715F" w:rsidRDefault="0034715F" w:rsidP="0034715F">
            <w:pPr>
              <w:pStyle w:val="LTVerzDerFragenden"/>
            </w:pPr>
            <w:r>
              <w:t>Sengl, Gisela (BÜNDNIS 90/DIE GRÜNEN)</w:t>
            </w:r>
          </w:p>
        </w:tc>
      </w:tr>
      <w:tr w:rsidR="0034715F" w:rsidRPr="005833DD" w:rsidTr="001F3CDA">
        <w:tc>
          <w:tcPr>
            <w:tcW w:w="5000" w:type="pct"/>
          </w:tcPr>
          <w:p w:rsidR="0034715F" w:rsidRDefault="00C011AF" w:rsidP="0034715F">
            <w:pPr>
              <w:pStyle w:val="LTVerzDerFragendenFrage"/>
            </w:pPr>
            <w:hyperlink w:anchor="Frage_Nr_46" w:tooltip="Frage Nr 46" w:history="1">
              <w:r w:rsidR="0034715F">
                <w:rPr>
                  <w:rStyle w:val="Hyperlink"/>
                  <w:szCs w:val="24"/>
                </w:rPr>
                <w:t>Moore im Landkreis Traunstein</w:t>
              </w:r>
              <w:r w:rsidR="0034715F">
                <w:rPr>
                  <w:rStyle w:val="Hyperlink"/>
                  <w:szCs w:val="24"/>
                </w:rPr>
                <w:tab/>
                <w:t>46</w:t>
              </w:r>
            </w:hyperlink>
          </w:p>
        </w:tc>
      </w:tr>
      <w:tr w:rsidR="0034715F" w:rsidRPr="005833DD" w:rsidTr="001F3CDA">
        <w:tc>
          <w:tcPr>
            <w:tcW w:w="5000" w:type="pct"/>
          </w:tcPr>
          <w:p w:rsidR="0034715F" w:rsidRDefault="0034715F" w:rsidP="0034715F">
            <w:pPr>
              <w:pStyle w:val="LTVerzDerFragenden"/>
            </w:pPr>
            <w:r>
              <w:t>Singer, Ulrich (AfD)</w:t>
            </w:r>
          </w:p>
        </w:tc>
      </w:tr>
      <w:tr w:rsidR="0034715F" w:rsidRPr="005833DD" w:rsidTr="001F3CDA">
        <w:tc>
          <w:tcPr>
            <w:tcW w:w="5000" w:type="pct"/>
          </w:tcPr>
          <w:p w:rsidR="0034715F" w:rsidRDefault="00C011AF" w:rsidP="0034715F">
            <w:pPr>
              <w:pStyle w:val="LTVerzDerFragendenFrage"/>
            </w:pPr>
            <w:hyperlink w:anchor="Frage_Nr_13" w:tooltip="Frage Nr 13" w:history="1">
              <w:r w:rsidR="0034715F">
                <w:rPr>
                  <w:rStyle w:val="Hyperlink"/>
                  <w:szCs w:val="24"/>
                </w:rPr>
                <w:t>Zur Bedürftigkeitsprüfung ukrainischer Flüchtlinge</w:t>
              </w:r>
              <w:r w:rsidR="0034715F">
                <w:rPr>
                  <w:rStyle w:val="Hyperlink"/>
                  <w:szCs w:val="24"/>
                </w:rPr>
                <w:tab/>
                <w:t>13</w:t>
              </w:r>
            </w:hyperlink>
          </w:p>
        </w:tc>
      </w:tr>
      <w:tr w:rsidR="0034715F" w:rsidRPr="005833DD" w:rsidTr="001F3CDA">
        <w:tc>
          <w:tcPr>
            <w:tcW w:w="5000" w:type="pct"/>
          </w:tcPr>
          <w:p w:rsidR="0034715F" w:rsidRDefault="0034715F" w:rsidP="0034715F">
            <w:pPr>
              <w:pStyle w:val="LTVerzDerFragenden"/>
            </w:pPr>
            <w:r>
              <w:t>Skutella, Christoph (FDP)</w:t>
            </w:r>
          </w:p>
        </w:tc>
      </w:tr>
      <w:tr w:rsidR="0034715F" w:rsidRPr="005833DD" w:rsidTr="001F3CDA">
        <w:tc>
          <w:tcPr>
            <w:tcW w:w="5000" w:type="pct"/>
          </w:tcPr>
          <w:p w:rsidR="0034715F" w:rsidRDefault="00C011AF" w:rsidP="0034715F">
            <w:pPr>
              <w:pStyle w:val="LTVerzDerFragendenFrage"/>
            </w:pPr>
            <w:hyperlink w:anchor="Frage_Nr_50" w:tooltip="Frage Nr 50" w:history="1">
              <w:r w:rsidR="0034715F">
                <w:rPr>
                  <w:rStyle w:val="Hyperlink"/>
                  <w:szCs w:val="24"/>
                </w:rPr>
                <w:t>Konzept zur finanziellen Entlastung kleiner Schlachtbetriebe</w:t>
              </w:r>
              <w:r w:rsidR="0034715F">
                <w:rPr>
                  <w:rStyle w:val="Hyperlink"/>
                  <w:szCs w:val="24"/>
                </w:rPr>
                <w:tab/>
                <w:t>50</w:t>
              </w:r>
            </w:hyperlink>
          </w:p>
        </w:tc>
      </w:tr>
      <w:tr w:rsidR="0034715F" w:rsidRPr="005833DD" w:rsidTr="001F3CDA">
        <w:tc>
          <w:tcPr>
            <w:tcW w:w="5000" w:type="pct"/>
          </w:tcPr>
          <w:p w:rsidR="0034715F" w:rsidRDefault="0034715F" w:rsidP="0034715F">
            <w:pPr>
              <w:pStyle w:val="LTVerzDerFragenden"/>
            </w:pPr>
            <w:r>
              <w:t>Sowa, Ursula (BÜNDNIS 90/DIE GRÜNEN)</w:t>
            </w:r>
          </w:p>
        </w:tc>
      </w:tr>
      <w:tr w:rsidR="0034715F" w:rsidRPr="005833DD" w:rsidTr="001F3CDA">
        <w:tc>
          <w:tcPr>
            <w:tcW w:w="5000" w:type="pct"/>
          </w:tcPr>
          <w:p w:rsidR="0034715F" w:rsidRDefault="00C011AF" w:rsidP="0034715F">
            <w:pPr>
              <w:pStyle w:val="LTVerzDerFragendenFrage"/>
            </w:pPr>
            <w:hyperlink w:anchor="Frage_Nr_22" w:tooltip="Frage Nr 22" w:history="1">
              <w:r w:rsidR="0034715F">
                <w:rPr>
                  <w:rStyle w:val="Hyperlink"/>
                  <w:szCs w:val="24"/>
                </w:rPr>
                <w:t>Einführung des Datenaustauschformats XPlanung in Bayern</w:t>
              </w:r>
              <w:r w:rsidR="0034715F">
                <w:rPr>
                  <w:rStyle w:val="Hyperlink"/>
                  <w:szCs w:val="24"/>
                </w:rPr>
                <w:tab/>
                <w:t>22</w:t>
              </w:r>
            </w:hyperlink>
          </w:p>
        </w:tc>
      </w:tr>
      <w:tr w:rsidR="0034715F" w:rsidRPr="005833DD" w:rsidTr="001F3CDA">
        <w:tc>
          <w:tcPr>
            <w:tcW w:w="5000" w:type="pct"/>
          </w:tcPr>
          <w:p w:rsidR="0034715F" w:rsidRDefault="0034715F" w:rsidP="0034715F">
            <w:pPr>
              <w:pStyle w:val="LTVerzDerFragenden"/>
            </w:pPr>
            <w:r>
              <w:t>Dr. Spitzer, Dominik (FDP)</w:t>
            </w:r>
          </w:p>
        </w:tc>
      </w:tr>
      <w:tr w:rsidR="0034715F" w:rsidRPr="005833DD" w:rsidTr="001F3CDA">
        <w:tc>
          <w:tcPr>
            <w:tcW w:w="5000" w:type="pct"/>
          </w:tcPr>
          <w:p w:rsidR="0034715F" w:rsidRDefault="00C011AF" w:rsidP="0034715F">
            <w:pPr>
              <w:pStyle w:val="LTVerzDerFragendenFrage"/>
            </w:pPr>
            <w:hyperlink w:anchor="Frage_Nr_33" w:tooltip="Frage Nr 33" w:history="1">
              <w:r w:rsidR="0034715F">
                <w:rPr>
                  <w:rStyle w:val="Hyperlink"/>
                  <w:szCs w:val="24"/>
                </w:rPr>
                <w:t>Endometriose</w:t>
              </w:r>
              <w:r w:rsidR="0034715F">
                <w:rPr>
                  <w:rStyle w:val="Hyperlink"/>
                  <w:szCs w:val="24"/>
                </w:rPr>
                <w:tab/>
                <w:t>33</w:t>
              </w:r>
            </w:hyperlink>
          </w:p>
        </w:tc>
      </w:tr>
      <w:tr w:rsidR="0034715F" w:rsidRPr="005833DD" w:rsidTr="001F3CDA">
        <w:tc>
          <w:tcPr>
            <w:tcW w:w="5000" w:type="pct"/>
          </w:tcPr>
          <w:p w:rsidR="0034715F" w:rsidRDefault="0034715F" w:rsidP="0034715F">
            <w:pPr>
              <w:pStyle w:val="LTVerzDerFragenden"/>
            </w:pPr>
            <w:r>
              <w:t>Stachowitz, Diana (SPD)</w:t>
            </w:r>
          </w:p>
        </w:tc>
      </w:tr>
      <w:tr w:rsidR="0034715F" w:rsidRPr="005833DD" w:rsidTr="001F3CDA">
        <w:tc>
          <w:tcPr>
            <w:tcW w:w="5000" w:type="pct"/>
          </w:tcPr>
          <w:p w:rsidR="0034715F" w:rsidRDefault="00C011AF" w:rsidP="0034715F">
            <w:pPr>
              <w:pStyle w:val="LTVerzDerFragendenFrage"/>
            </w:pPr>
            <w:hyperlink w:anchor="Frage_Nr_61" w:tooltip="Frage Nr 61" w:history="1">
              <w:r w:rsidR="0034715F">
                <w:rPr>
                  <w:rStyle w:val="Hyperlink"/>
                  <w:szCs w:val="24"/>
                </w:rPr>
                <w:t>Anerkennung ausländischer Fachkräfte im Pflegebereich</w:t>
              </w:r>
              <w:r w:rsidR="0034715F">
                <w:rPr>
                  <w:rStyle w:val="Hyperlink"/>
                  <w:szCs w:val="24"/>
                </w:rPr>
                <w:tab/>
                <w:t>61</w:t>
              </w:r>
            </w:hyperlink>
          </w:p>
        </w:tc>
      </w:tr>
      <w:tr w:rsidR="0034715F" w:rsidRPr="005833DD" w:rsidTr="001F3CDA">
        <w:tc>
          <w:tcPr>
            <w:tcW w:w="5000" w:type="pct"/>
          </w:tcPr>
          <w:p w:rsidR="0034715F" w:rsidRDefault="0034715F" w:rsidP="0034715F">
            <w:pPr>
              <w:pStyle w:val="LTVerzDerFragenden"/>
            </w:pPr>
            <w:r>
              <w:t>Steinberger, Rosi (BÜNDNIS 90/DIE GRÜNEN)</w:t>
            </w:r>
          </w:p>
        </w:tc>
      </w:tr>
      <w:tr w:rsidR="0034715F" w:rsidRPr="005833DD" w:rsidTr="001F3CDA">
        <w:tc>
          <w:tcPr>
            <w:tcW w:w="5000" w:type="pct"/>
          </w:tcPr>
          <w:p w:rsidR="0034715F" w:rsidRDefault="00C011AF" w:rsidP="0034715F">
            <w:pPr>
              <w:pStyle w:val="LTVerzDerFragendenFrage"/>
            </w:pPr>
            <w:hyperlink w:anchor="Frage_Nr_47" w:tooltip="Frage Nr 47" w:history="1">
              <w:r w:rsidR="0034715F">
                <w:rPr>
                  <w:rStyle w:val="Hyperlink"/>
                  <w:szCs w:val="24"/>
                </w:rPr>
                <w:t>Verbreitung und Auswirkungen von Abfallsäure im Tiefengrundwasser</w:t>
              </w:r>
              <w:r w:rsidR="0034715F">
                <w:rPr>
                  <w:rStyle w:val="Hyperlink"/>
                  <w:szCs w:val="24"/>
                </w:rPr>
                <w:tab/>
                <w:t>47</w:t>
              </w:r>
            </w:hyperlink>
          </w:p>
        </w:tc>
      </w:tr>
      <w:tr w:rsidR="0034715F" w:rsidRPr="005833DD" w:rsidTr="001F3CDA">
        <w:tc>
          <w:tcPr>
            <w:tcW w:w="5000" w:type="pct"/>
          </w:tcPr>
          <w:p w:rsidR="0034715F" w:rsidRDefault="0034715F" w:rsidP="0034715F">
            <w:pPr>
              <w:pStyle w:val="LTVerzDerFragenden"/>
            </w:pPr>
            <w:r>
              <w:t>Stümpfig, Martin (BÜNDNIS 90/DIE GRÜNEN)</w:t>
            </w:r>
          </w:p>
        </w:tc>
      </w:tr>
      <w:tr w:rsidR="0034715F" w:rsidRPr="005833DD" w:rsidTr="001F3CDA">
        <w:tc>
          <w:tcPr>
            <w:tcW w:w="5000" w:type="pct"/>
          </w:tcPr>
          <w:p w:rsidR="0034715F" w:rsidRDefault="00C011AF" w:rsidP="0034715F">
            <w:pPr>
              <w:pStyle w:val="LTVerzDerFragendenFrage"/>
            </w:pPr>
            <w:hyperlink w:anchor="Frage_Nr_23" w:tooltip="Frage Nr 23" w:history="1">
              <w:r w:rsidR="0034715F">
                <w:rPr>
                  <w:rStyle w:val="Hyperlink"/>
                  <w:szCs w:val="24"/>
                </w:rPr>
                <w:t>Gasverbrauch in Bayern</w:t>
              </w:r>
              <w:r w:rsidR="0034715F">
                <w:rPr>
                  <w:rStyle w:val="Hyperlink"/>
                  <w:szCs w:val="24"/>
                </w:rPr>
                <w:tab/>
                <w:t>23</w:t>
              </w:r>
            </w:hyperlink>
          </w:p>
        </w:tc>
      </w:tr>
      <w:tr w:rsidR="0034715F" w:rsidRPr="005833DD" w:rsidTr="001F3CDA">
        <w:tc>
          <w:tcPr>
            <w:tcW w:w="5000" w:type="pct"/>
          </w:tcPr>
          <w:p w:rsidR="0034715F" w:rsidRDefault="00190CE9" w:rsidP="0034715F">
            <w:pPr>
              <w:pStyle w:val="LTVerzDerFragenden"/>
            </w:pPr>
            <w:r>
              <w:t>Ta</w:t>
            </w:r>
            <w:r>
              <w:rPr>
                <w:rFonts w:cs="Arial"/>
              </w:rPr>
              <w:t>ş</w:t>
            </w:r>
            <w:r w:rsidR="0034715F">
              <w:t>delen, Arif (SPD)</w:t>
            </w:r>
          </w:p>
        </w:tc>
      </w:tr>
      <w:tr w:rsidR="0034715F" w:rsidRPr="005833DD" w:rsidTr="001F3CDA">
        <w:tc>
          <w:tcPr>
            <w:tcW w:w="5000" w:type="pct"/>
          </w:tcPr>
          <w:p w:rsidR="0034715F" w:rsidRDefault="00C011AF" w:rsidP="00EC09FF">
            <w:pPr>
              <w:pStyle w:val="LTVerzDerFragendenFrage"/>
            </w:pPr>
            <w:hyperlink w:anchor="Frage_Nr_14" w:tooltip="Frage Nr 14" w:history="1">
              <w:r w:rsidR="0034715F">
                <w:rPr>
                  <w:rStyle w:val="Hyperlink"/>
                  <w:szCs w:val="24"/>
                </w:rPr>
                <w:t xml:space="preserve">Beförderung </w:t>
              </w:r>
              <w:r w:rsidR="00EC09FF">
                <w:rPr>
                  <w:rStyle w:val="Hyperlink"/>
                  <w:szCs w:val="24"/>
                </w:rPr>
                <w:t>des früheren Leiters der Münchner Wiesn-Wache</w:t>
              </w:r>
              <w:r w:rsidR="0034715F">
                <w:rPr>
                  <w:rStyle w:val="Hyperlink"/>
                  <w:szCs w:val="24"/>
                </w:rPr>
                <w:t xml:space="preserve"> bei der Polizei</w:t>
              </w:r>
              <w:r w:rsidR="0034715F">
                <w:rPr>
                  <w:rStyle w:val="Hyperlink"/>
                  <w:szCs w:val="24"/>
                </w:rPr>
                <w:tab/>
                <w:t>14</w:t>
              </w:r>
            </w:hyperlink>
          </w:p>
        </w:tc>
      </w:tr>
      <w:tr w:rsidR="0034715F" w:rsidRPr="005833DD" w:rsidTr="001F3CDA">
        <w:tc>
          <w:tcPr>
            <w:tcW w:w="5000" w:type="pct"/>
          </w:tcPr>
          <w:p w:rsidR="0034715F" w:rsidRDefault="0034715F" w:rsidP="0034715F">
            <w:pPr>
              <w:pStyle w:val="LTVerzDerFragenden"/>
            </w:pPr>
            <w:r>
              <w:t>Triebel, Gabriele (BÜNDNIS 90/DIE GRÜNEN)</w:t>
            </w:r>
          </w:p>
        </w:tc>
      </w:tr>
      <w:tr w:rsidR="0034715F" w:rsidRPr="005833DD" w:rsidTr="001F3CDA">
        <w:tc>
          <w:tcPr>
            <w:tcW w:w="5000" w:type="pct"/>
          </w:tcPr>
          <w:p w:rsidR="0034715F" w:rsidRDefault="00C011AF" w:rsidP="0034715F">
            <w:pPr>
              <w:pStyle w:val="LTVerzDerFragendenFrage"/>
            </w:pPr>
            <w:hyperlink w:anchor="Frage_Nr_29" w:tooltip="Frage Nr 29" w:history="1">
              <w:r w:rsidR="0034715F">
                <w:rPr>
                  <w:rStyle w:val="Hyperlink"/>
                  <w:szCs w:val="24"/>
                </w:rPr>
                <w:t>Testkits an Schulen</w:t>
              </w:r>
              <w:r w:rsidR="0034715F">
                <w:rPr>
                  <w:rStyle w:val="Hyperlink"/>
                  <w:szCs w:val="24"/>
                </w:rPr>
                <w:tab/>
                <w:t>29</w:t>
              </w:r>
            </w:hyperlink>
          </w:p>
        </w:tc>
      </w:tr>
      <w:tr w:rsidR="0034715F" w:rsidRPr="005833DD" w:rsidTr="001F3CDA">
        <w:tc>
          <w:tcPr>
            <w:tcW w:w="5000" w:type="pct"/>
          </w:tcPr>
          <w:p w:rsidR="0034715F" w:rsidRDefault="0034715F" w:rsidP="0034715F">
            <w:pPr>
              <w:pStyle w:val="LTVerzDerFragenden"/>
            </w:pPr>
            <w:r>
              <w:t>Dr. Weigand, Sabine (BÜNDNIS 90/DIE GRÜNEN)</w:t>
            </w:r>
          </w:p>
        </w:tc>
      </w:tr>
      <w:tr w:rsidR="0034715F" w:rsidRPr="005833DD" w:rsidTr="001F3CDA">
        <w:tc>
          <w:tcPr>
            <w:tcW w:w="5000" w:type="pct"/>
          </w:tcPr>
          <w:p w:rsidR="0034715F" w:rsidRDefault="00C011AF" w:rsidP="0034715F">
            <w:pPr>
              <w:pStyle w:val="LTVerzDerFragendenFrage"/>
            </w:pPr>
            <w:hyperlink w:anchor="Frage_Nr_34" w:tooltip="Frage Nr 34" w:history="1">
              <w:r w:rsidR="00190CE9" w:rsidRPr="00190CE9">
                <w:rPr>
                  <w:rStyle w:val="Hyperlink"/>
                  <w:szCs w:val="24"/>
                </w:rPr>
                <w:t xml:space="preserve">Photovoltaik </w:t>
              </w:r>
              <w:r w:rsidR="0034715F">
                <w:rPr>
                  <w:rStyle w:val="Hyperlink"/>
                  <w:szCs w:val="24"/>
                </w:rPr>
                <w:t>im Denkmalschutz</w:t>
              </w:r>
              <w:r w:rsidR="0034715F">
                <w:rPr>
                  <w:rStyle w:val="Hyperlink"/>
                  <w:szCs w:val="24"/>
                </w:rPr>
                <w:tab/>
                <w:t>34</w:t>
              </w:r>
            </w:hyperlink>
          </w:p>
        </w:tc>
      </w:tr>
      <w:tr w:rsidR="0034715F" w:rsidRPr="005833DD" w:rsidTr="001F3CDA">
        <w:tc>
          <w:tcPr>
            <w:tcW w:w="5000" w:type="pct"/>
          </w:tcPr>
          <w:p w:rsidR="0034715F" w:rsidRDefault="0034715F" w:rsidP="0034715F">
            <w:pPr>
              <w:pStyle w:val="LTVerzDerFragenden"/>
            </w:pPr>
            <w:r>
              <w:t>Wild, Margit (SPD)</w:t>
            </w:r>
          </w:p>
        </w:tc>
      </w:tr>
      <w:tr w:rsidR="0034715F" w:rsidRPr="005833DD" w:rsidTr="001F3CDA">
        <w:tc>
          <w:tcPr>
            <w:tcW w:w="5000" w:type="pct"/>
          </w:tcPr>
          <w:p w:rsidR="0034715F" w:rsidRDefault="00C011AF" w:rsidP="0034715F">
            <w:pPr>
              <w:pStyle w:val="LTVerzDerFragendenFrage"/>
            </w:pPr>
            <w:hyperlink w:anchor="Frage_Nr_62" w:tooltip="Frage Nr 62" w:history="1">
              <w:r w:rsidR="0034715F">
                <w:rPr>
                  <w:rStyle w:val="Hyperlink"/>
                  <w:szCs w:val="24"/>
                </w:rPr>
                <w:t>Schuleingangsuntersuchungen 2022</w:t>
              </w:r>
              <w:r w:rsidR="0034715F">
                <w:rPr>
                  <w:rStyle w:val="Hyperlink"/>
                  <w:szCs w:val="24"/>
                </w:rPr>
                <w:tab/>
                <w:t>62</w:t>
              </w:r>
            </w:hyperlink>
          </w:p>
        </w:tc>
      </w:tr>
      <w:tr w:rsidR="0034715F" w:rsidRPr="005833DD" w:rsidTr="001F3CDA">
        <w:tc>
          <w:tcPr>
            <w:tcW w:w="5000" w:type="pct"/>
          </w:tcPr>
          <w:p w:rsidR="0034715F" w:rsidRDefault="0034715F" w:rsidP="0034715F">
            <w:pPr>
              <w:pStyle w:val="LTVerzDerFragenden"/>
            </w:pPr>
            <w:r>
              <w:t>Winhart, Andreas (AfD)</w:t>
            </w:r>
          </w:p>
        </w:tc>
      </w:tr>
      <w:tr w:rsidR="0034715F" w:rsidRPr="005833DD" w:rsidTr="001F3CDA">
        <w:tc>
          <w:tcPr>
            <w:tcW w:w="5000" w:type="pct"/>
          </w:tcPr>
          <w:p w:rsidR="0034715F" w:rsidRDefault="00C011AF" w:rsidP="0034715F">
            <w:pPr>
              <w:pStyle w:val="LTVerzDerFragendenFrage"/>
            </w:pPr>
            <w:hyperlink w:anchor="Frage_Nr_63" w:tooltip="Frage Nr 63" w:history="1">
              <w:r w:rsidR="0034715F">
                <w:rPr>
                  <w:rStyle w:val="Hyperlink"/>
                  <w:szCs w:val="24"/>
                </w:rPr>
                <w:t>Maskenkäufe I</w:t>
              </w:r>
              <w:r w:rsidR="0034715F">
                <w:rPr>
                  <w:rStyle w:val="Hyperlink"/>
                  <w:szCs w:val="24"/>
                </w:rPr>
                <w:tab/>
                <w:t>63</w:t>
              </w:r>
            </w:hyperlink>
          </w:p>
        </w:tc>
      </w:tr>
      <w:tr w:rsidR="0034715F" w:rsidRPr="005833DD" w:rsidTr="001F3CDA">
        <w:tc>
          <w:tcPr>
            <w:tcW w:w="5000" w:type="pct"/>
          </w:tcPr>
          <w:p w:rsidR="0034715F" w:rsidRDefault="0034715F" w:rsidP="0034715F">
            <w:pPr>
              <w:pStyle w:val="LTVerzDerFragenden"/>
            </w:pPr>
            <w:r>
              <w:t>Zwanziger, Christian (BÜNDNIS 90/DIE GRÜNEN)</w:t>
            </w:r>
          </w:p>
        </w:tc>
      </w:tr>
      <w:tr w:rsidR="0034715F" w:rsidRPr="005833DD" w:rsidTr="001F3CDA">
        <w:tc>
          <w:tcPr>
            <w:tcW w:w="5000" w:type="pct"/>
          </w:tcPr>
          <w:p w:rsidR="0034715F" w:rsidRDefault="00C011AF" w:rsidP="0034715F">
            <w:pPr>
              <w:pStyle w:val="LTVerzDerFragendenFrage"/>
            </w:pPr>
            <w:hyperlink w:anchor="Frage_Nr_35" w:tooltip="Frage Nr 35" w:history="1">
              <w:r w:rsidR="00190CE9">
                <w:rPr>
                  <w:rStyle w:val="Hyperlink"/>
                  <w:szCs w:val="24"/>
                </w:rPr>
                <w:t>Förderung kommunaler Bauten –</w:t>
              </w:r>
              <w:r w:rsidR="0034715F">
                <w:rPr>
                  <w:rStyle w:val="Hyperlink"/>
                  <w:szCs w:val="24"/>
                </w:rPr>
                <w:t xml:space="preserve"> Außenbereich und Innenbereich</w:t>
              </w:r>
              <w:r w:rsidR="0034715F">
                <w:rPr>
                  <w:rStyle w:val="Hyperlink"/>
                  <w:szCs w:val="24"/>
                </w:rPr>
                <w:tab/>
                <w:t>35</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34715F" w:rsidP="0034715F">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34715F" w:rsidTr="007B0B33">
        <w:tc>
          <w:tcPr>
            <w:tcW w:w="2050" w:type="dxa"/>
          </w:tcPr>
          <w:p w:rsidR="0034715F" w:rsidRDefault="0034715F" w:rsidP="0034715F">
            <w:pPr>
              <w:pStyle w:val="LTAnfrageInitiator"/>
            </w:pPr>
            <w:r>
              <w:t>Abgeordnete</w:t>
            </w:r>
            <w:r>
              <w:rPr>
                <w:b/>
              </w:rPr>
              <w:br/>
              <w:t>Inge</w:t>
            </w:r>
            <w:r>
              <w:rPr>
                <w:b/>
              </w:rPr>
              <w:br/>
              <w:t>Aures</w:t>
            </w:r>
            <w:r>
              <w:rPr>
                <w:b/>
              </w:rPr>
              <w:br/>
            </w:r>
            <w:r>
              <w:t>(SPD)</w:t>
            </w:r>
            <w:bookmarkStart w:id="3" w:name="Frage_Nr_1"/>
            <w:bookmarkEnd w:id="3"/>
          </w:p>
        </w:tc>
        <w:tc>
          <w:tcPr>
            <w:tcW w:w="7200" w:type="dxa"/>
          </w:tcPr>
          <w:p w:rsidR="0034715F" w:rsidRPr="00626A84" w:rsidRDefault="00626A84" w:rsidP="0034715F">
            <w:pPr>
              <w:pStyle w:val="LTAnfrageText"/>
            </w:pPr>
            <w:r w:rsidRPr="00626A84">
              <w:rPr>
                <w:szCs w:val="24"/>
              </w:rPr>
              <w:t xml:space="preserve">Ich frage die Staatsregierung, wie sieht die gegenwärtige Besetzung (Soll-, Ist-, </w:t>
            </w:r>
            <w:r w:rsidR="00756800">
              <w:rPr>
                <w:szCs w:val="24"/>
              </w:rPr>
              <w:t>v</w:t>
            </w:r>
            <w:r w:rsidRPr="00626A84">
              <w:rPr>
                <w:szCs w:val="24"/>
              </w:rPr>
              <w:t>erfügbare Personalstärke) aller Polizeidienststellen des Polizeipräsidiums Niederbayern aus, wie hoch war der Stand an Mehrarbeitsstunden für die Polizeibeamtinnen und Polizeibeamten in Niederbayern zum 31.12.2021 und wie hat sich der Mehrarbeitsbestand in Niederbayern seit 2017 entwickelt (bitte aufgeschlüsselt nach Dienststelle sowie nach Pro-Kopf-Überstunden)?</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Für die Beantwortung der Fragen nach den aktuellen Zahlen zur Soll-, Ist- und verfügbaren Personalstärke darf auf die Antwort des Staatsministeriums de</w:t>
      </w:r>
      <w:r w:rsidR="001F14C6">
        <w:t>s Innern, für Sport und Integra</w:t>
      </w:r>
      <w:r>
        <w:t>tion vom 8. März 2022 zur Schriftlichen Anfrage des Abgeordneten Markus Rinderspacher (SPD) vom 8. Februar 2022 (</w:t>
      </w:r>
      <w:r w:rsidR="001F14C6">
        <w:t>Drs. 18/21728 vom 14. </w:t>
      </w:r>
      <w:r>
        <w:t>April 2022) verwiesen werden.</w:t>
      </w:r>
    </w:p>
    <w:p w:rsidR="0034715F" w:rsidRDefault="0034715F" w:rsidP="0034715F">
      <w:pPr>
        <w:pStyle w:val="LTAntwortRessortText"/>
      </w:pPr>
      <w:r>
        <w:t>Das Staatsministerium des Innern, für Sport und Integration erhebt jährlich zum festgelegten Stichtag 30. November den Mehrarbeitsstundenbestand für alle Beamtinnen und Beamten der Polizei. Mehrarbeitsstunden für Polizeibeamtin</w:t>
      </w:r>
      <w:r w:rsidR="001F14C6">
        <w:t>nen und -beamte werden nicht ge</w:t>
      </w:r>
      <w:r>
        <w:t>sondert ausgewiesen. Die Mehrarbeit von Dienststellen nachgeordneter Organisationseinheiten (Stationen, Wachen etc.) wird nicht einzeln erfasst, sondern ist in der Gesamtzahl der jeweilig übergeordneten Dienststellen enthalten. Die Darstellung de</w:t>
      </w:r>
      <w:r w:rsidR="001F14C6">
        <w:t>r Mehrarbeit pro Beamtin und Be</w:t>
      </w:r>
      <w:r>
        <w:t>amten bezieht sich auf die Iststärke der Organisationseinheit zum jeweiligen Zeitpunkt.</w:t>
      </w:r>
    </w:p>
    <w:p w:rsidR="0034715F" w:rsidRDefault="0034715F" w:rsidP="0034715F">
      <w:pPr>
        <w:pStyle w:val="LTAntwortRessortText"/>
      </w:pPr>
      <w:r>
        <w:t>Die Entwicklung der Mehrarbeitsstunden im Polizeipräsidium Niederbay</w:t>
      </w:r>
      <w:r w:rsidR="001F14C6">
        <w:t>ern seit 2017 ist bei</w:t>
      </w:r>
      <w:r>
        <w:t xml:space="preserve">gefügter Anlage </w:t>
      </w:r>
      <w:r w:rsidR="00FB60E8" w:rsidRPr="00FB60E8">
        <w:rPr>
          <w:rStyle w:val="LTHyperlinkZchn"/>
          <w:b w:val="0"/>
        </w:rPr>
        <w:t>*)</w:t>
      </w:r>
      <w:r w:rsidR="00FB60E8">
        <w:t xml:space="preserve"> </w:t>
      </w:r>
      <w:r>
        <w:t>zu entnehmen.</w:t>
      </w:r>
    </w:p>
    <w:p w:rsidR="0034715F" w:rsidRDefault="0034715F" w:rsidP="0034715F">
      <w:pPr>
        <w:pStyle w:val="LTAntwortRessortText"/>
      </w:pPr>
    </w:p>
    <w:p w:rsidR="0034715F" w:rsidRDefault="003D69A2" w:rsidP="0034715F">
      <w:pPr>
        <w:pStyle w:val="LTAntwortRessortText"/>
      </w:pPr>
      <w:r w:rsidRPr="003D69A2">
        <w:rPr>
          <w:rStyle w:val="LTHyperlinkZchn"/>
          <w:b w:val="0"/>
        </w:rPr>
        <w:t>*)</w:t>
      </w:r>
      <w:r>
        <w:t xml:space="preserve"> Von einem Abdruck wurde abgesehen. Die Anlage ist als pdf-Dokument </w:t>
      </w:r>
      <w:hyperlink r:id="rId13" w:history="1">
        <w:r w:rsidRPr="003D69A2">
          <w:rPr>
            <w:rStyle w:val="LTHyperlinkZchn"/>
            <w:b w:val="0"/>
          </w:rPr>
          <w:t>hier</w:t>
        </w:r>
      </w:hyperlink>
      <w:r>
        <w:t xml:space="preserve"> einsehbar.</w:t>
      </w:r>
    </w:p>
    <w:p w:rsidR="0034715F" w:rsidRDefault="0034715F">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4"/>
        <w:gridCol w:w="5732"/>
      </w:tblGrid>
      <w:tr w:rsidR="0034715F" w:rsidTr="007B0B33">
        <w:tc>
          <w:tcPr>
            <w:tcW w:w="2050" w:type="dxa"/>
          </w:tcPr>
          <w:p w:rsidR="0034715F" w:rsidRDefault="0034715F" w:rsidP="0034715F">
            <w:pPr>
              <w:pStyle w:val="LTAnfrageInitiator"/>
            </w:pPr>
            <w:r>
              <w:lastRenderedPageBreak/>
              <w:t>Abgeordneter</w:t>
            </w:r>
            <w:r w:rsidR="00912055">
              <w:rPr>
                <w:b/>
              </w:rPr>
              <w:br/>
              <w:t>Cemal</w:t>
            </w:r>
            <w:r w:rsidR="00912055">
              <w:rPr>
                <w:b/>
              </w:rPr>
              <w:br/>
              <w:t>Bozo</w:t>
            </w:r>
            <w:r w:rsidR="00912055">
              <w:rPr>
                <w:rFonts w:cs="Arial"/>
                <w:b/>
              </w:rPr>
              <w:t>ǧ</w:t>
            </w:r>
            <w:r>
              <w:rPr>
                <w:b/>
              </w:rPr>
              <w:t>lu</w:t>
            </w:r>
            <w:r>
              <w:rPr>
                <w:b/>
              </w:rPr>
              <w:br/>
            </w:r>
            <w:r>
              <w:t>(BÜNDNIS 90/DIE GRÜNEN)</w:t>
            </w:r>
            <w:bookmarkStart w:id="5" w:name="Frage_Nr_2"/>
            <w:bookmarkEnd w:id="5"/>
          </w:p>
        </w:tc>
        <w:tc>
          <w:tcPr>
            <w:tcW w:w="7200" w:type="dxa"/>
          </w:tcPr>
          <w:p w:rsidR="0034715F" w:rsidRPr="00095F01" w:rsidRDefault="00095F01" w:rsidP="0034715F">
            <w:pPr>
              <w:pStyle w:val="LTAnfrageText"/>
            </w:pPr>
            <w:r w:rsidRPr="00095F01">
              <w:rPr>
                <w:szCs w:val="24"/>
              </w:rPr>
              <w:t>Vor dem Hintergrund eines Medienberichts der Augsburger Allgemeinen Zeitung zu einem diese Woche stattfindenden Prozess vor dem Amtsgericht Augsburg gegen drei Angeklagte, denen gezielte rechtsradikale Übergriffe auf Menschen mit Migrationsgeschichte bzw. People of Color im März 2021 vorgeworfen werden, frage ich die Staatsregierung, welche Erkenntnisse Strafverfolgungsbehörden über mögliche rechtsextreme sowie rassistische Vorstrafen der Angeklagten vorliegen, welche Erkenntnisse das Landesamt für Verfassungsschutz zu etwaigen Verbindungen der Angeklagten in rechtsextreme Organisationen Bayerns hat und wie sich die Zahl der gewalttätigen Übergriffe auf Menschen mit Zuwanderungsgeschichte bzw. People of Color in den letzten 24 Monaten in Bayern grundsätzlich entwickelt hat?</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 xml:space="preserve">Die drei Angeklagten sind nach Mitteilung der Staatsanwaltschaft Augsburg sämtlich mehrfach vorbestraft. Ob die den Vorstrafen </w:t>
      </w:r>
      <w:r w:rsidR="00CB6BE6">
        <w:t>zugrundeliegenden</w:t>
      </w:r>
      <w:r>
        <w:t xml:space="preserve"> Straftaten aufgrund rassistischer oder rechtsextremistischer Tatmotivationen begangen wurden, kann in der für die Beantwortung der Anfrage zur Verfügung stehenden Zeit nicht abschließend beantwortet werden, da dafür eine händische Auswertung der jeweiligen Ermittlungsakten erforderlich wäre. Nach Auskunft der Staatsanwaltschaft Augsburg ergibt sich jedoch aus den dort unmittelbar vorliegenden I</w:t>
      </w:r>
      <w:r w:rsidR="00CB6BE6">
        <w:t>nforma</w:t>
      </w:r>
      <w:r>
        <w:t xml:space="preserve">tionen, dass bei mindestens einem der Angeklagten mindestens </w:t>
      </w:r>
      <w:r w:rsidR="00CB6BE6">
        <w:t>eine Vorstrafe auf einer auslän</w:t>
      </w:r>
      <w:r>
        <w:t>derfeindlich motivierten Straftat beruht. Letzteres betrifft eine richterliche Weisung nach dem Jugendgerichtsgesetz, die im Jahr 2011 wegen Beleidigung verhängt wurde.</w:t>
      </w:r>
    </w:p>
    <w:p w:rsidR="0034715F" w:rsidRDefault="0034715F" w:rsidP="0034715F">
      <w:pPr>
        <w:pStyle w:val="LTAntwortRessortText"/>
      </w:pPr>
      <w:r>
        <w:t>Die weitergehende Fragestellung zielt auf die Offenlegung weiterer personenbezogener Daten zu Einzelpersonen ab, die nicht Gegenstand einer öffentlichen Gerichtsverhandlung waren.</w:t>
      </w:r>
    </w:p>
    <w:p w:rsidR="0034715F" w:rsidRDefault="0034715F" w:rsidP="0034715F">
      <w:pPr>
        <w:pStyle w:val="LTAntwortRessortText"/>
      </w:pPr>
      <w:r>
        <w:t>Die dem parlamentarischen Fragerecht durch die grundrechtlich g</w:t>
      </w:r>
      <w:r w:rsidR="00CB6BE6">
        <w:t>eschützten Persönlichkeits</w:t>
      </w:r>
      <w:r>
        <w:t xml:space="preserve">rechte der Betroffenen gesetzten Grenzen (vgl. hierzu </w:t>
      </w:r>
      <w:r w:rsidR="00CB6BE6">
        <w:t>Bayerischer Verfassungsgerichtshof</w:t>
      </w:r>
      <w:r>
        <w:t>, Entscheidungen vom 11. September 2014, Az.: Vf. 67-IVa-13, Rz. 36 und vom 20. März 2014, Az. Vf. 72-IVa-12, Rz.</w:t>
      </w:r>
      <w:r w:rsidR="00912055">
        <w:t xml:space="preserve"> </w:t>
      </w:r>
      <w:r w:rsidR="00CB6BE6">
        <w:t>83f. –</w:t>
      </w:r>
      <w:r>
        <w:t xml:space="preserve"> jeweils mit weiteren Nachweisen) sind daher zu ber</w:t>
      </w:r>
      <w:r w:rsidR="00CB6BE6">
        <w:t>ücksichtigen. Die gebotene Abwä</w:t>
      </w:r>
      <w:r>
        <w:t>gung dieser grundrechtlich geschützten Positionen der Bet</w:t>
      </w:r>
      <w:r w:rsidR="00CB6BE6">
        <w:t>roffenen mit dem Recht der Abge</w:t>
      </w:r>
      <w:r>
        <w:t>ordneten auf umfassende Information ergibt im vorliegenden Fall, dass hier eine Beantwortung nicht statthaft ist. Ein überwiegendes Informationsinteresse</w:t>
      </w:r>
      <w:r w:rsidR="00CB6BE6">
        <w:t>, das eine Offenlegung von Anga</w:t>
      </w:r>
      <w:r>
        <w:t>ben zu Einzelpersonen rechtfertigt, die für den Fragesteller oder Dritte, denen die Information durch die Drucklegung zugänglich werden, zumindest aufgru</w:t>
      </w:r>
      <w:r w:rsidR="00CB6BE6">
        <w:t>nd von Zusatzinformationen iden</w:t>
      </w:r>
      <w:r>
        <w:t>tifiziert werden können, ist weder dargelegt noch erkennbar. Im vorliegenden Fall ergeben sich auch unter Berücksichtigung der vorgesehenen Drucklegun</w:t>
      </w:r>
      <w:r w:rsidR="00CB6BE6">
        <w:t>g und der noch laufenden Ermitt</w:t>
      </w:r>
      <w:r>
        <w:t>lungsverfahren keine Anhaltspunkte für ein spezifisches, die Schutzrechte der Betroffenen überwiegendes parlamentarisc</w:t>
      </w:r>
      <w:r w:rsidR="00CB6BE6">
        <w:t>hes Kontrollinteresse. Auf Art. </w:t>
      </w:r>
      <w:r>
        <w:t xml:space="preserve">26 </w:t>
      </w:r>
      <w:r w:rsidR="00CB6BE6" w:rsidRPr="00CB6BE6">
        <w:t>Bayerisches Verfassungsschutzgesetz</w:t>
      </w:r>
      <w:r w:rsidR="00CB6BE6">
        <w:t xml:space="preserve"> (</w:t>
      </w:r>
      <w:r>
        <w:t>BayVSG</w:t>
      </w:r>
      <w:r w:rsidR="00CB6BE6">
        <w:t>) wird insoweit ver</w:t>
      </w:r>
      <w:r>
        <w:t>wiesen.</w:t>
      </w:r>
    </w:p>
    <w:p w:rsidR="0034715F" w:rsidRDefault="0034715F" w:rsidP="0034715F">
      <w:pPr>
        <w:pStyle w:val="LTAntwortRessortText"/>
      </w:pPr>
      <w:r>
        <w:lastRenderedPageBreak/>
        <w:t xml:space="preserve">Hinsichtlich der Straftaten der gewalttätigen Übergriffe </w:t>
      </w:r>
      <w:r w:rsidR="00CB6BE6">
        <w:t>auf Menschen mit Zuwanderungsge</w:t>
      </w:r>
      <w:r>
        <w:t xml:space="preserve">schichte bzw. People </w:t>
      </w:r>
      <w:r w:rsidR="00756800">
        <w:t>o</w:t>
      </w:r>
      <w:r>
        <w:t>f Color in den letzten 24 Monaten darf mitgeteilt werden, dass es sich dabei um Politisch Motivierte Kriminalität handelt, welche im</w:t>
      </w:r>
      <w:r w:rsidR="00CB6BE6">
        <w:t xml:space="preserve"> bundesweit einheitlichen Krimi</w:t>
      </w:r>
      <w:r>
        <w:t>nalpolizeilichen Meldedienst in Fällen Politisch Motiviert</w:t>
      </w:r>
      <w:r w:rsidR="00CB6BE6">
        <w:t>er Kriminalität (KPMD-PMK) abge</w:t>
      </w:r>
      <w:r>
        <w:t>bildet werden.</w:t>
      </w:r>
    </w:p>
    <w:p w:rsidR="0034715F" w:rsidRDefault="0034715F" w:rsidP="0034715F">
      <w:pPr>
        <w:pStyle w:val="LTAntwortRessortText"/>
      </w:pPr>
      <w:r>
        <w:t xml:space="preserve">Im KPMD-PMK ist eine standardisierte Erfassung im Sinne </w:t>
      </w:r>
      <w:r w:rsidR="00CB6BE6">
        <w:t>der Fragestellung nicht vorgese</w:t>
      </w:r>
      <w:r>
        <w:t>hen, so dass eine automatisierte Recherche im Sinne der Fragestellung nicht erfolgen kann.</w:t>
      </w:r>
    </w:p>
    <w:p w:rsidR="0034715F" w:rsidRDefault="0034715F" w:rsidP="0034715F">
      <w:pPr>
        <w:pStyle w:val="LTAntwortRessortText"/>
      </w:pPr>
      <w:r>
        <w:t xml:space="preserve">Für eine Beantwortung müsste insofern eine umfangreiche manuelle (Einzel-) Auswertung von Akten und Datenbeständen bei den Präsidien der </w:t>
      </w:r>
      <w:r w:rsidR="00CB6BE6">
        <w:t>Landespolizei und dem</w:t>
      </w:r>
      <w:r>
        <w:t xml:space="preserve"> Landeskriminalamt, erfolgen. Dies würde zu einem erhe</w:t>
      </w:r>
      <w:r w:rsidR="00CB6BE6">
        <w:t>blichen zeitlichen und personel</w:t>
      </w:r>
      <w:r>
        <w:t xml:space="preserve">len Aufwand führen. Auch unter Berücksichtigung </w:t>
      </w:r>
      <w:r w:rsidR="00CB6BE6">
        <w:t>der Bedeutung des sich aus Art. </w:t>
      </w:r>
      <w:r>
        <w:t xml:space="preserve">13 Abs. 2, 16 a Abs. 1 und 2 S.1 </w:t>
      </w:r>
      <w:r w:rsidR="00B80572">
        <w:t xml:space="preserve">der </w:t>
      </w:r>
      <w:r w:rsidR="00756800">
        <w:t xml:space="preserve">Verfassung des Freistaates Bayern </w:t>
      </w:r>
      <w:r w:rsidR="00B80572">
        <w:t>(</w:t>
      </w:r>
      <w:r>
        <w:t>BV</w:t>
      </w:r>
      <w:r w:rsidR="00B80572">
        <w:t>)</w:t>
      </w:r>
      <w:r>
        <w:t xml:space="preserve"> ergebenden parlamentarischen Fragerechts der Abgeordneten des Landtags kann daher eine Auswertung von Einzelakten u.</w:t>
      </w:r>
      <w:r w:rsidR="00B80572">
        <w:t> </w:t>
      </w:r>
      <w:r>
        <w:t>ä. nicht erfolgen.</w:t>
      </w:r>
    </w:p>
    <w:p w:rsidR="0034715F" w:rsidRDefault="0034715F">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34715F" w:rsidTr="007B0B33">
        <w:tc>
          <w:tcPr>
            <w:tcW w:w="2050" w:type="dxa"/>
          </w:tcPr>
          <w:p w:rsidR="0034715F" w:rsidRDefault="0034715F" w:rsidP="0034715F">
            <w:pPr>
              <w:pStyle w:val="LTAnfrageInitiator"/>
            </w:pPr>
            <w:r>
              <w:lastRenderedPageBreak/>
              <w:t>Abgeordnete</w:t>
            </w:r>
            <w:r>
              <w:rPr>
                <w:b/>
              </w:rPr>
              <w:br/>
              <w:t>Katrin</w:t>
            </w:r>
            <w:r>
              <w:rPr>
                <w:b/>
              </w:rPr>
              <w:br/>
              <w:t>Ebner-Steiner</w:t>
            </w:r>
            <w:r>
              <w:rPr>
                <w:b/>
              </w:rPr>
              <w:br/>
            </w:r>
            <w:r>
              <w:t>(AfD)</w:t>
            </w:r>
            <w:bookmarkStart w:id="7" w:name="Frage_Nr_3"/>
            <w:bookmarkEnd w:id="7"/>
          </w:p>
        </w:tc>
        <w:tc>
          <w:tcPr>
            <w:tcW w:w="7200" w:type="dxa"/>
          </w:tcPr>
          <w:p w:rsidR="0034715F" w:rsidRPr="00095F01" w:rsidRDefault="00095F01" w:rsidP="0034715F">
            <w:pPr>
              <w:pStyle w:val="LTAnfrageText"/>
            </w:pPr>
            <w:r w:rsidRPr="00095F01">
              <w:rPr>
                <w:szCs w:val="24"/>
              </w:rPr>
              <w:t>Ich frage die Staatsregierung, wie viele sogenannte Flüchtlinge leben mit Stichtag 01.05.2022 im Bezirk Niederbayern (bitte nach Landkreis aufschlüsseln), wie viele Asylanträge sind zwischen 01.01.2021 und 01.05.2022 im Bezirk Niederbayern gestellt worden und wie viele dieser gestellten Asylanträge sind bis zum Stichtag 01.05.2022 bearbeitet worden (bitte nach Ergebnis und Schutzform aufschlüsseln)?</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 xml:space="preserve">Die Staatsregierung bezeichnet solche Personen als </w:t>
      </w:r>
      <w:r w:rsidR="00190CE9">
        <w:t>„</w:t>
      </w:r>
      <w:r>
        <w:t>Flüchtlinge</w:t>
      </w:r>
      <w:r w:rsidR="00190CE9">
        <w:t>“</w:t>
      </w:r>
      <w:r w:rsidR="003403D3">
        <w:t xml:space="preserve"> im Sinne dieser Anfrage, de</w:t>
      </w:r>
      <w:r>
        <w:t>nen ein asylrechtlicher Schutzstatus zuerkannt wurde. Darunter f</w:t>
      </w:r>
      <w:r w:rsidR="003403D3">
        <w:t>allen Asylberechtigte nach Art. </w:t>
      </w:r>
      <w:r>
        <w:t>16a Grundgesetz (GG), Personen, die eine Zuerkennung der Flüchtlingseigenschaft nach</w:t>
      </w:r>
      <w:r w:rsidR="002B146F">
        <w:t xml:space="preserve"> </w:t>
      </w:r>
      <w:r w:rsidR="003403D3">
        <w:t>§ </w:t>
      </w:r>
      <w:r>
        <w:t xml:space="preserve">3 Asylgesetz (AsylG) in Verbindung mit der Genfer Flüchtlingskonvention erhalten, sowie Personen, die einen </w:t>
      </w:r>
      <w:r w:rsidR="003403D3">
        <w:t>subsidiären Schutzstatus nach § </w:t>
      </w:r>
      <w:r>
        <w:t xml:space="preserve">4 AsylG zugesprochen bekommen haben (vgl. Antwort des Staatsministeriums des Innern, für Sport und Integration vom 15. August 2019 auf die Schriftliche Anfrage des Abgeordneten Franz </w:t>
      </w:r>
      <w:r w:rsidR="003403D3">
        <w:t>Bergmüller vom 27. Juni 2019 be</w:t>
      </w:r>
      <w:r>
        <w:t xml:space="preserve">treffend </w:t>
      </w:r>
      <w:r w:rsidR="00190CE9">
        <w:t>„</w:t>
      </w:r>
      <w:r>
        <w:t>Somalier geht auf Mitbewohner einer Asylbewerberunterkunft los</w:t>
      </w:r>
      <w:r w:rsidR="00190CE9">
        <w:t>“</w:t>
      </w:r>
      <w:r>
        <w:t xml:space="preserve">, </w:t>
      </w:r>
      <w:r w:rsidR="003403D3">
        <w:t>Drs. </w:t>
      </w:r>
      <w:r>
        <w:t>18/3451 vom 4. Oktober 2019).</w:t>
      </w:r>
    </w:p>
    <w:p w:rsidR="0034715F" w:rsidRDefault="0034715F" w:rsidP="0034715F">
      <w:pPr>
        <w:pStyle w:val="LTAntwortRessortText"/>
      </w:pPr>
      <w:r>
        <w:t>Der nachstehenden Tabelle kann die Zahl der Ausländerin</w:t>
      </w:r>
      <w:r w:rsidR="003403D3">
        <w:t>nen und Ausländer entnommen wer</w:t>
      </w:r>
      <w:r>
        <w:t>den, die sich gemäß dem Ausländerzentralregister zum letzten verfügbaren Stichtag 31. März 2022 (Datenabruf am 9. Mai 2022) in den niederbayerischen L</w:t>
      </w:r>
      <w:r w:rsidR="003403D3">
        <w:t>andkreisen und kreisfreien Städ</w:t>
      </w:r>
      <w:r>
        <w:t>ten mit</w:t>
      </w:r>
      <w:r w:rsidR="003403D3">
        <w:t xml:space="preserve"> Aufenthaltserlaubnissen nach § 25 </w:t>
      </w:r>
      <w:r>
        <w:t>Abs.</w:t>
      </w:r>
      <w:r w:rsidR="003403D3">
        <w:t xml:space="preserve"> 1 Aufenthaltsgesetz (AufenthG – Asylberechtigter), § </w:t>
      </w:r>
      <w:r>
        <w:t>25 Abs. 2 S</w:t>
      </w:r>
      <w:r w:rsidR="007A4A82">
        <w:t>atz</w:t>
      </w:r>
      <w:r>
        <w:t xml:space="preserve"> 1 </w:t>
      </w:r>
      <w:r w:rsidR="003403D3">
        <w:t>Alt. 1 </w:t>
      </w:r>
      <w:r>
        <w:t>AufenthG (Flüchtlin</w:t>
      </w:r>
      <w:r w:rsidR="003403D3">
        <w:t>gseigenschaft zuerkannt) oder § 25 Abs. 2 S</w:t>
      </w:r>
      <w:r w:rsidR="007A4A82">
        <w:t>atz</w:t>
      </w:r>
      <w:r w:rsidR="003403D3">
        <w:t xml:space="preserve"> 1 Alt. 2 </w:t>
      </w:r>
      <w:r>
        <w:t>AufenthG (subsidiärer Schutz) aufhalten:</w:t>
      </w:r>
    </w:p>
    <w:p w:rsidR="0034715F" w:rsidRDefault="0034715F" w:rsidP="0034715F">
      <w:pPr>
        <w:pStyle w:val="LTAntwortRessortText"/>
      </w:pPr>
    </w:p>
    <w:tbl>
      <w:tblPr>
        <w:tblStyle w:val="TableNormal"/>
        <w:tblW w:w="0" w:type="auto"/>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850"/>
      </w:tblGrid>
      <w:tr w:rsidR="002B146F" w:rsidRPr="003403D3" w:rsidTr="002B146F">
        <w:trPr>
          <w:trHeight w:val="276"/>
        </w:trPr>
        <w:tc>
          <w:tcPr>
            <w:tcW w:w="2691" w:type="dxa"/>
          </w:tcPr>
          <w:p w:rsidR="002B146F" w:rsidRPr="003403D3" w:rsidRDefault="002B146F" w:rsidP="00140765">
            <w:pPr>
              <w:pStyle w:val="TableParagraph"/>
              <w:ind w:left="107"/>
              <w:rPr>
                <w:rFonts w:ascii="Arial" w:hAnsi="Arial" w:cs="Arial"/>
                <w:sz w:val="18"/>
                <w:szCs w:val="18"/>
              </w:rPr>
            </w:pPr>
            <w:r w:rsidRPr="003403D3">
              <w:rPr>
                <w:rFonts w:ascii="Arial" w:hAnsi="Arial" w:cs="Arial"/>
                <w:sz w:val="18"/>
                <w:szCs w:val="18"/>
              </w:rPr>
              <w:t>Landshut (Krfr.St)</w:t>
            </w:r>
          </w:p>
        </w:tc>
        <w:tc>
          <w:tcPr>
            <w:tcW w:w="850" w:type="dxa"/>
          </w:tcPr>
          <w:p w:rsidR="002B146F" w:rsidRPr="003403D3" w:rsidRDefault="002B146F" w:rsidP="00140765">
            <w:pPr>
              <w:pStyle w:val="TableParagraph"/>
              <w:ind w:right="96"/>
              <w:jc w:val="right"/>
              <w:rPr>
                <w:rFonts w:ascii="Arial" w:hAnsi="Arial" w:cs="Arial"/>
                <w:sz w:val="18"/>
                <w:szCs w:val="18"/>
              </w:rPr>
            </w:pPr>
            <w:r w:rsidRPr="003403D3">
              <w:rPr>
                <w:rFonts w:ascii="Arial" w:hAnsi="Arial" w:cs="Arial"/>
                <w:sz w:val="18"/>
                <w:szCs w:val="18"/>
              </w:rPr>
              <w:t>549</w:t>
            </w:r>
          </w:p>
        </w:tc>
      </w:tr>
      <w:tr w:rsidR="002B146F" w:rsidRPr="003403D3" w:rsidTr="002B146F">
        <w:trPr>
          <w:trHeight w:val="277"/>
        </w:trPr>
        <w:tc>
          <w:tcPr>
            <w:tcW w:w="2691" w:type="dxa"/>
          </w:tcPr>
          <w:p w:rsidR="002B146F" w:rsidRPr="003403D3" w:rsidRDefault="002B146F" w:rsidP="00140765">
            <w:pPr>
              <w:pStyle w:val="TableParagraph"/>
              <w:spacing w:line="258" w:lineRule="exact"/>
              <w:ind w:left="107"/>
              <w:rPr>
                <w:rFonts w:ascii="Arial" w:hAnsi="Arial" w:cs="Arial"/>
                <w:sz w:val="18"/>
                <w:szCs w:val="18"/>
              </w:rPr>
            </w:pPr>
            <w:r w:rsidRPr="003403D3">
              <w:rPr>
                <w:rFonts w:ascii="Arial" w:hAnsi="Arial" w:cs="Arial"/>
                <w:sz w:val="18"/>
                <w:szCs w:val="18"/>
              </w:rPr>
              <w:t>Passau (Krfr.St)</w:t>
            </w:r>
          </w:p>
        </w:tc>
        <w:tc>
          <w:tcPr>
            <w:tcW w:w="850" w:type="dxa"/>
          </w:tcPr>
          <w:p w:rsidR="002B146F" w:rsidRPr="003403D3" w:rsidRDefault="002B146F" w:rsidP="00140765">
            <w:pPr>
              <w:pStyle w:val="TableParagraph"/>
              <w:spacing w:line="258" w:lineRule="exact"/>
              <w:ind w:right="96"/>
              <w:jc w:val="right"/>
              <w:rPr>
                <w:rFonts w:ascii="Arial" w:hAnsi="Arial" w:cs="Arial"/>
                <w:sz w:val="18"/>
                <w:szCs w:val="18"/>
              </w:rPr>
            </w:pPr>
            <w:r w:rsidRPr="003403D3">
              <w:rPr>
                <w:rFonts w:ascii="Arial" w:hAnsi="Arial" w:cs="Arial"/>
                <w:sz w:val="18"/>
                <w:szCs w:val="18"/>
              </w:rPr>
              <w:t>654</w:t>
            </w:r>
          </w:p>
        </w:tc>
      </w:tr>
      <w:tr w:rsidR="002B146F" w:rsidRPr="003403D3" w:rsidTr="002B146F">
        <w:trPr>
          <w:trHeight w:val="275"/>
        </w:trPr>
        <w:tc>
          <w:tcPr>
            <w:tcW w:w="2691" w:type="dxa"/>
          </w:tcPr>
          <w:p w:rsidR="002B146F" w:rsidRPr="003403D3" w:rsidRDefault="002B146F" w:rsidP="00140765">
            <w:pPr>
              <w:pStyle w:val="TableParagraph"/>
              <w:ind w:left="107"/>
              <w:rPr>
                <w:rFonts w:ascii="Arial" w:hAnsi="Arial" w:cs="Arial"/>
                <w:sz w:val="18"/>
                <w:szCs w:val="18"/>
              </w:rPr>
            </w:pPr>
            <w:r w:rsidRPr="003403D3">
              <w:rPr>
                <w:rFonts w:ascii="Arial" w:hAnsi="Arial" w:cs="Arial"/>
                <w:sz w:val="18"/>
                <w:szCs w:val="18"/>
              </w:rPr>
              <w:t>Straubing (Krfr.St)</w:t>
            </w:r>
          </w:p>
        </w:tc>
        <w:tc>
          <w:tcPr>
            <w:tcW w:w="850" w:type="dxa"/>
          </w:tcPr>
          <w:p w:rsidR="002B146F" w:rsidRPr="003403D3" w:rsidRDefault="002B146F" w:rsidP="00140765">
            <w:pPr>
              <w:pStyle w:val="TableParagraph"/>
              <w:ind w:right="96"/>
              <w:jc w:val="right"/>
              <w:rPr>
                <w:rFonts w:ascii="Arial" w:hAnsi="Arial" w:cs="Arial"/>
                <w:sz w:val="18"/>
                <w:szCs w:val="18"/>
              </w:rPr>
            </w:pPr>
            <w:r w:rsidRPr="003403D3">
              <w:rPr>
                <w:rFonts w:ascii="Arial" w:hAnsi="Arial" w:cs="Arial"/>
                <w:sz w:val="18"/>
                <w:szCs w:val="18"/>
              </w:rPr>
              <w:t>378</w:t>
            </w:r>
          </w:p>
        </w:tc>
      </w:tr>
      <w:tr w:rsidR="002B146F" w:rsidRPr="003403D3" w:rsidTr="002B146F">
        <w:trPr>
          <w:trHeight w:val="275"/>
        </w:trPr>
        <w:tc>
          <w:tcPr>
            <w:tcW w:w="2691" w:type="dxa"/>
          </w:tcPr>
          <w:p w:rsidR="002B146F" w:rsidRPr="003403D3" w:rsidRDefault="002B146F" w:rsidP="00140765">
            <w:pPr>
              <w:pStyle w:val="TableParagraph"/>
              <w:ind w:left="107"/>
              <w:rPr>
                <w:rFonts w:ascii="Arial" w:hAnsi="Arial" w:cs="Arial"/>
                <w:sz w:val="18"/>
                <w:szCs w:val="18"/>
              </w:rPr>
            </w:pPr>
            <w:r w:rsidRPr="003403D3">
              <w:rPr>
                <w:rFonts w:ascii="Arial" w:hAnsi="Arial" w:cs="Arial"/>
                <w:sz w:val="18"/>
                <w:szCs w:val="18"/>
              </w:rPr>
              <w:t>Deggendorf (Lkr)</w:t>
            </w:r>
          </w:p>
        </w:tc>
        <w:tc>
          <w:tcPr>
            <w:tcW w:w="850" w:type="dxa"/>
          </w:tcPr>
          <w:p w:rsidR="002B146F" w:rsidRPr="003403D3" w:rsidRDefault="002B146F" w:rsidP="00140765">
            <w:pPr>
              <w:pStyle w:val="TableParagraph"/>
              <w:ind w:right="96"/>
              <w:jc w:val="right"/>
              <w:rPr>
                <w:rFonts w:ascii="Arial" w:hAnsi="Arial" w:cs="Arial"/>
                <w:sz w:val="18"/>
                <w:szCs w:val="18"/>
              </w:rPr>
            </w:pPr>
            <w:r w:rsidRPr="003403D3">
              <w:rPr>
                <w:rFonts w:ascii="Arial" w:hAnsi="Arial" w:cs="Arial"/>
                <w:sz w:val="18"/>
                <w:szCs w:val="18"/>
              </w:rPr>
              <w:t>667</w:t>
            </w:r>
          </w:p>
        </w:tc>
      </w:tr>
      <w:tr w:rsidR="002B146F" w:rsidRPr="003403D3" w:rsidTr="002B146F">
        <w:trPr>
          <w:trHeight w:val="275"/>
        </w:trPr>
        <w:tc>
          <w:tcPr>
            <w:tcW w:w="2691" w:type="dxa"/>
          </w:tcPr>
          <w:p w:rsidR="002B146F" w:rsidRPr="003403D3" w:rsidRDefault="002B146F" w:rsidP="00140765">
            <w:pPr>
              <w:pStyle w:val="TableParagraph"/>
              <w:ind w:left="107"/>
              <w:rPr>
                <w:rFonts w:ascii="Arial" w:hAnsi="Arial" w:cs="Arial"/>
                <w:sz w:val="18"/>
                <w:szCs w:val="18"/>
              </w:rPr>
            </w:pPr>
            <w:r w:rsidRPr="003403D3">
              <w:rPr>
                <w:rFonts w:ascii="Arial" w:hAnsi="Arial" w:cs="Arial"/>
                <w:sz w:val="18"/>
                <w:szCs w:val="18"/>
              </w:rPr>
              <w:t>Freyung-Grafenau (Lkr)</w:t>
            </w:r>
          </w:p>
        </w:tc>
        <w:tc>
          <w:tcPr>
            <w:tcW w:w="850" w:type="dxa"/>
          </w:tcPr>
          <w:p w:rsidR="002B146F" w:rsidRPr="003403D3" w:rsidRDefault="002B146F" w:rsidP="00140765">
            <w:pPr>
              <w:pStyle w:val="TableParagraph"/>
              <w:ind w:right="96"/>
              <w:jc w:val="right"/>
              <w:rPr>
                <w:rFonts w:ascii="Arial" w:hAnsi="Arial" w:cs="Arial"/>
                <w:sz w:val="18"/>
                <w:szCs w:val="18"/>
              </w:rPr>
            </w:pPr>
            <w:r w:rsidRPr="003403D3">
              <w:rPr>
                <w:rFonts w:ascii="Arial" w:hAnsi="Arial" w:cs="Arial"/>
                <w:sz w:val="18"/>
                <w:szCs w:val="18"/>
              </w:rPr>
              <w:t>149</w:t>
            </w:r>
          </w:p>
        </w:tc>
      </w:tr>
      <w:tr w:rsidR="002B146F" w:rsidRPr="003403D3" w:rsidTr="002B146F">
        <w:trPr>
          <w:trHeight w:val="275"/>
        </w:trPr>
        <w:tc>
          <w:tcPr>
            <w:tcW w:w="2691" w:type="dxa"/>
          </w:tcPr>
          <w:p w:rsidR="002B146F" w:rsidRPr="003403D3" w:rsidRDefault="002B146F" w:rsidP="00140765">
            <w:pPr>
              <w:pStyle w:val="TableParagraph"/>
              <w:ind w:left="107"/>
              <w:rPr>
                <w:rFonts w:ascii="Arial" w:hAnsi="Arial" w:cs="Arial"/>
                <w:sz w:val="18"/>
                <w:szCs w:val="18"/>
              </w:rPr>
            </w:pPr>
            <w:r w:rsidRPr="003403D3">
              <w:rPr>
                <w:rFonts w:ascii="Arial" w:hAnsi="Arial" w:cs="Arial"/>
                <w:sz w:val="18"/>
                <w:szCs w:val="18"/>
              </w:rPr>
              <w:t>Kelheim (Lkr)</w:t>
            </w:r>
          </w:p>
        </w:tc>
        <w:tc>
          <w:tcPr>
            <w:tcW w:w="850" w:type="dxa"/>
          </w:tcPr>
          <w:p w:rsidR="002B146F" w:rsidRPr="003403D3" w:rsidRDefault="002B146F" w:rsidP="00140765">
            <w:pPr>
              <w:pStyle w:val="TableParagraph"/>
              <w:ind w:right="96"/>
              <w:jc w:val="right"/>
              <w:rPr>
                <w:rFonts w:ascii="Arial" w:hAnsi="Arial" w:cs="Arial"/>
                <w:sz w:val="18"/>
                <w:szCs w:val="18"/>
              </w:rPr>
            </w:pPr>
            <w:r w:rsidRPr="003403D3">
              <w:rPr>
                <w:rFonts w:ascii="Arial" w:hAnsi="Arial" w:cs="Arial"/>
                <w:sz w:val="18"/>
                <w:szCs w:val="18"/>
              </w:rPr>
              <w:t>796</w:t>
            </w:r>
          </w:p>
        </w:tc>
      </w:tr>
      <w:tr w:rsidR="002B146F" w:rsidRPr="003403D3" w:rsidTr="002B146F">
        <w:trPr>
          <w:trHeight w:val="275"/>
        </w:trPr>
        <w:tc>
          <w:tcPr>
            <w:tcW w:w="2691" w:type="dxa"/>
          </w:tcPr>
          <w:p w:rsidR="002B146F" w:rsidRPr="003403D3" w:rsidRDefault="002B146F" w:rsidP="00140765">
            <w:pPr>
              <w:pStyle w:val="TableParagraph"/>
              <w:ind w:left="107"/>
              <w:rPr>
                <w:rFonts w:ascii="Arial" w:hAnsi="Arial" w:cs="Arial"/>
                <w:sz w:val="18"/>
                <w:szCs w:val="18"/>
              </w:rPr>
            </w:pPr>
            <w:r w:rsidRPr="003403D3">
              <w:rPr>
                <w:rFonts w:ascii="Arial" w:hAnsi="Arial" w:cs="Arial"/>
                <w:sz w:val="18"/>
                <w:szCs w:val="18"/>
              </w:rPr>
              <w:t>Landshut (Lkr)</w:t>
            </w:r>
          </w:p>
        </w:tc>
        <w:tc>
          <w:tcPr>
            <w:tcW w:w="850" w:type="dxa"/>
          </w:tcPr>
          <w:p w:rsidR="002B146F" w:rsidRPr="003403D3" w:rsidRDefault="002B146F" w:rsidP="00140765">
            <w:pPr>
              <w:pStyle w:val="TableParagraph"/>
              <w:ind w:right="96"/>
              <w:jc w:val="right"/>
              <w:rPr>
                <w:rFonts w:ascii="Arial" w:hAnsi="Arial" w:cs="Arial"/>
                <w:sz w:val="18"/>
                <w:szCs w:val="18"/>
              </w:rPr>
            </w:pPr>
            <w:r w:rsidRPr="003403D3">
              <w:rPr>
                <w:rFonts w:ascii="Arial" w:hAnsi="Arial" w:cs="Arial"/>
                <w:sz w:val="18"/>
                <w:szCs w:val="18"/>
              </w:rPr>
              <w:t>403</w:t>
            </w:r>
          </w:p>
        </w:tc>
      </w:tr>
      <w:tr w:rsidR="002B146F" w:rsidRPr="003403D3" w:rsidTr="002B146F">
        <w:trPr>
          <w:trHeight w:val="275"/>
        </w:trPr>
        <w:tc>
          <w:tcPr>
            <w:tcW w:w="2691" w:type="dxa"/>
          </w:tcPr>
          <w:p w:rsidR="002B146F" w:rsidRPr="003403D3" w:rsidRDefault="002B146F" w:rsidP="00140765">
            <w:pPr>
              <w:pStyle w:val="TableParagraph"/>
              <w:ind w:left="107"/>
              <w:rPr>
                <w:rFonts w:ascii="Arial" w:hAnsi="Arial" w:cs="Arial"/>
                <w:sz w:val="18"/>
                <w:szCs w:val="18"/>
              </w:rPr>
            </w:pPr>
            <w:r w:rsidRPr="003403D3">
              <w:rPr>
                <w:rFonts w:ascii="Arial" w:hAnsi="Arial" w:cs="Arial"/>
                <w:sz w:val="18"/>
                <w:szCs w:val="18"/>
              </w:rPr>
              <w:t>Passau (Lkr)</w:t>
            </w:r>
          </w:p>
        </w:tc>
        <w:tc>
          <w:tcPr>
            <w:tcW w:w="850" w:type="dxa"/>
          </w:tcPr>
          <w:p w:rsidR="002B146F" w:rsidRPr="003403D3" w:rsidRDefault="003403D3" w:rsidP="00140765">
            <w:pPr>
              <w:pStyle w:val="TableParagraph"/>
              <w:ind w:right="96"/>
              <w:jc w:val="right"/>
              <w:rPr>
                <w:rFonts w:ascii="Arial" w:hAnsi="Arial" w:cs="Arial"/>
                <w:sz w:val="18"/>
                <w:szCs w:val="18"/>
              </w:rPr>
            </w:pPr>
            <w:r>
              <w:rPr>
                <w:rFonts w:ascii="Arial" w:hAnsi="Arial" w:cs="Arial"/>
                <w:sz w:val="18"/>
                <w:szCs w:val="18"/>
              </w:rPr>
              <w:t>1 </w:t>
            </w:r>
            <w:r w:rsidR="002B146F" w:rsidRPr="003403D3">
              <w:rPr>
                <w:rFonts w:ascii="Arial" w:hAnsi="Arial" w:cs="Arial"/>
                <w:sz w:val="18"/>
                <w:szCs w:val="18"/>
              </w:rPr>
              <w:t>094</w:t>
            </w:r>
          </w:p>
        </w:tc>
      </w:tr>
      <w:tr w:rsidR="002B146F" w:rsidRPr="003403D3" w:rsidTr="002B146F">
        <w:trPr>
          <w:trHeight w:val="278"/>
        </w:trPr>
        <w:tc>
          <w:tcPr>
            <w:tcW w:w="2691" w:type="dxa"/>
          </w:tcPr>
          <w:p w:rsidR="002B146F" w:rsidRPr="003403D3" w:rsidRDefault="002B146F" w:rsidP="00140765">
            <w:pPr>
              <w:pStyle w:val="TableParagraph"/>
              <w:spacing w:line="258" w:lineRule="exact"/>
              <w:ind w:left="107"/>
              <w:rPr>
                <w:rFonts w:ascii="Arial" w:hAnsi="Arial" w:cs="Arial"/>
                <w:sz w:val="18"/>
                <w:szCs w:val="18"/>
              </w:rPr>
            </w:pPr>
            <w:r w:rsidRPr="003403D3">
              <w:rPr>
                <w:rFonts w:ascii="Arial" w:hAnsi="Arial" w:cs="Arial"/>
                <w:sz w:val="18"/>
                <w:szCs w:val="18"/>
              </w:rPr>
              <w:t>Regen (Lkr)</w:t>
            </w:r>
          </w:p>
        </w:tc>
        <w:tc>
          <w:tcPr>
            <w:tcW w:w="850" w:type="dxa"/>
          </w:tcPr>
          <w:p w:rsidR="002B146F" w:rsidRPr="003403D3" w:rsidRDefault="002B146F" w:rsidP="00140765">
            <w:pPr>
              <w:pStyle w:val="TableParagraph"/>
              <w:spacing w:line="258" w:lineRule="exact"/>
              <w:ind w:right="96"/>
              <w:jc w:val="right"/>
              <w:rPr>
                <w:rFonts w:ascii="Arial" w:hAnsi="Arial" w:cs="Arial"/>
                <w:sz w:val="18"/>
                <w:szCs w:val="18"/>
              </w:rPr>
            </w:pPr>
            <w:r w:rsidRPr="003403D3">
              <w:rPr>
                <w:rFonts w:ascii="Arial" w:hAnsi="Arial" w:cs="Arial"/>
                <w:sz w:val="18"/>
                <w:szCs w:val="18"/>
              </w:rPr>
              <w:t>680</w:t>
            </w:r>
          </w:p>
        </w:tc>
      </w:tr>
      <w:tr w:rsidR="002B146F" w:rsidRPr="003403D3" w:rsidTr="002B146F">
        <w:trPr>
          <w:trHeight w:val="275"/>
        </w:trPr>
        <w:tc>
          <w:tcPr>
            <w:tcW w:w="2691" w:type="dxa"/>
          </w:tcPr>
          <w:p w:rsidR="002B146F" w:rsidRPr="003403D3" w:rsidRDefault="002B146F" w:rsidP="00140765">
            <w:pPr>
              <w:pStyle w:val="TableParagraph"/>
              <w:ind w:left="107"/>
              <w:rPr>
                <w:rFonts w:ascii="Arial" w:hAnsi="Arial" w:cs="Arial"/>
                <w:sz w:val="18"/>
                <w:szCs w:val="18"/>
              </w:rPr>
            </w:pPr>
            <w:r w:rsidRPr="003403D3">
              <w:rPr>
                <w:rFonts w:ascii="Arial" w:hAnsi="Arial" w:cs="Arial"/>
                <w:sz w:val="18"/>
                <w:szCs w:val="18"/>
              </w:rPr>
              <w:t>Rottal-Inn (Lkr)</w:t>
            </w:r>
          </w:p>
        </w:tc>
        <w:tc>
          <w:tcPr>
            <w:tcW w:w="850" w:type="dxa"/>
          </w:tcPr>
          <w:p w:rsidR="002B146F" w:rsidRPr="003403D3" w:rsidRDefault="002B146F" w:rsidP="00140765">
            <w:pPr>
              <w:pStyle w:val="TableParagraph"/>
              <w:ind w:right="96"/>
              <w:jc w:val="right"/>
              <w:rPr>
                <w:rFonts w:ascii="Arial" w:hAnsi="Arial" w:cs="Arial"/>
                <w:sz w:val="18"/>
                <w:szCs w:val="18"/>
              </w:rPr>
            </w:pPr>
            <w:r w:rsidRPr="003403D3">
              <w:rPr>
                <w:rFonts w:ascii="Arial" w:hAnsi="Arial" w:cs="Arial"/>
                <w:sz w:val="18"/>
                <w:szCs w:val="18"/>
              </w:rPr>
              <w:t>718</w:t>
            </w:r>
          </w:p>
        </w:tc>
      </w:tr>
      <w:tr w:rsidR="002B146F" w:rsidRPr="003403D3" w:rsidTr="002B146F">
        <w:trPr>
          <w:trHeight w:val="275"/>
        </w:trPr>
        <w:tc>
          <w:tcPr>
            <w:tcW w:w="2691" w:type="dxa"/>
          </w:tcPr>
          <w:p w:rsidR="002B146F" w:rsidRPr="003403D3" w:rsidRDefault="002B146F" w:rsidP="00140765">
            <w:pPr>
              <w:pStyle w:val="TableParagraph"/>
              <w:ind w:left="107"/>
              <w:rPr>
                <w:rFonts w:ascii="Arial" w:hAnsi="Arial" w:cs="Arial"/>
                <w:sz w:val="18"/>
                <w:szCs w:val="18"/>
              </w:rPr>
            </w:pPr>
            <w:r w:rsidRPr="003403D3">
              <w:rPr>
                <w:rFonts w:ascii="Arial" w:hAnsi="Arial" w:cs="Arial"/>
                <w:sz w:val="18"/>
                <w:szCs w:val="18"/>
              </w:rPr>
              <w:t>Straubing-Bogen (Lkr)</w:t>
            </w:r>
          </w:p>
        </w:tc>
        <w:tc>
          <w:tcPr>
            <w:tcW w:w="850" w:type="dxa"/>
          </w:tcPr>
          <w:p w:rsidR="002B146F" w:rsidRPr="003403D3" w:rsidRDefault="002B146F" w:rsidP="00140765">
            <w:pPr>
              <w:pStyle w:val="TableParagraph"/>
              <w:ind w:right="96"/>
              <w:jc w:val="right"/>
              <w:rPr>
                <w:rFonts w:ascii="Arial" w:hAnsi="Arial" w:cs="Arial"/>
                <w:sz w:val="18"/>
                <w:szCs w:val="18"/>
              </w:rPr>
            </w:pPr>
            <w:r w:rsidRPr="003403D3">
              <w:rPr>
                <w:rFonts w:ascii="Arial" w:hAnsi="Arial" w:cs="Arial"/>
                <w:sz w:val="18"/>
                <w:szCs w:val="18"/>
              </w:rPr>
              <w:t>335</w:t>
            </w:r>
          </w:p>
        </w:tc>
      </w:tr>
      <w:tr w:rsidR="002B146F" w:rsidRPr="003403D3" w:rsidTr="002B146F">
        <w:trPr>
          <w:trHeight w:val="275"/>
        </w:trPr>
        <w:tc>
          <w:tcPr>
            <w:tcW w:w="2691" w:type="dxa"/>
          </w:tcPr>
          <w:p w:rsidR="002B146F" w:rsidRPr="003403D3" w:rsidRDefault="002B146F" w:rsidP="00140765">
            <w:pPr>
              <w:pStyle w:val="TableParagraph"/>
              <w:ind w:left="107"/>
              <w:rPr>
                <w:rFonts w:ascii="Arial" w:hAnsi="Arial" w:cs="Arial"/>
                <w:sz w:val="18"/>
                <w:szCs w:val="18"/>
              </w:rPr>
            </w:pPr>
            <w:r w:rsidRPr="003403D3">
              <w:rPr>
                <w:rFonts w:ascii="Arial" w:hAnsi="Arial" w:cs="Arial"/>
                <w:sz w:val="18"/>
                <w:szCs w:val="18"/>
              </w:rPr>
              <w:t>Dingolfing-Landau (Lkr)</w:t>
            </w:r>
          </w:p>
        </w:tc>
        <w:tc>
          <w:tcPr>
            <w:tcW w:w="850" w:type="dxa"/>
          </w:tcPr>
          <w:p w:rsidR="002B146F" w:rsidRPr="003403D3" w:rsidRDefault="002B146F" w:rsidP="00140765">
            <w:pPr>
              <w:pStyle w:val="TableParagraph"/>
              <w:ind w:right="96"/>
              <w:jc w:val="right"/>
              <w:rPr>
                <w:rFonts w:ascii="Arial" w:hAnsi="Arial" w:cs="Arial"/>
                <w:sz w:val="18"/>
                <w:szCs w:val="18"/>
              </w:rPr>
            </w:pPr>
            <w:r w:rsidRPr="003403D3">
              <w:rPr>
                <w:rFonts w:ascii="Arial" w:hAnsi="Arial" w:cs="Arial"/>
                <w:sz w:val="18"/>
                <w:szCs w:val="18"/>
              </w:rPr>
              <w:t>426</w:t>
            </w:r>
          </w:p>
        </w:tc>
      </w:tr>
    </w:tbl>
    <w:p w:rsidR="0034715F" w:rsidRDefault="0034715F" w:rsidP="002B146F">
      <w:pPr>
        <w:pStyle w:val="LTAntwortRessortText"/>
        <w:ind w:left="0"/>
      </w:pPr>
    </w:p>
    <w:p w:rsidR="0034715F" w:rsidRDefault="0034715F" w:rsidP="0034715F">
      <w:pPr>
        <w:pStyle w:val="LTAntwortRessortText"/>
      </w:pPr>
      <w:r>
        <w:lastRenderedPageBreak/>
        <w:t>Die dem Staatsministerium des Innern, für Sport und Integrati</w:t>
      </w:r>
      <w:r w:rsidR="009D2B04">
        <w:t>on durch das für das Asylverfah</w:t>
      </w:r>
      <w:r>
        <w:t>ren zuständige Bundesamt für Migration und Flüchtlinge (B</w:t>
      </w:r>
      <w:r w:rsidR="009D2B04">
        <w:t>AMF) zur Verfügung gestellte An</w:t>
      </w:r>
      <w:r>
        <w:t>trags- und Entscheidungsstatistik ermöglicht keine statistischen Angaben z</w:t>
      </w:r>
      <w:r w:rsidR="009D2B04">
        <w:t>u den im Regie</w:t>
      </w:r>
      <w:r>
        <w:t>rungsbezirk Niederbayern gestellten und entschiedenen Asylanträgen. Gleiches gilt für die vom BAMF bereitgestellten Statistiken aus dem Ausländerzentral</w:t>
      </w:r>
      <w:r w:rsidR="009D2B04">
        <w:t>register. Zur Bedeutung des Aus</w:t>
      </w:r>
      <w:r>
        <w:t>länderzentralregisters als grundlegende Datenbasis für die Be</w:t>
      </w:r>
      <w:r w:rsidR="009D2B04">
        <w:t>antwortung parlamentarischer An</w:t>
      </w:r>
      <w:r>
        <w:t>fragen wird im Übrigen auf die Antwort der Staatsregierung von</w:t>
      </w:r>
      <w:r w:rsidR="009D2B04">
        <w:t xml:space="preserve"> 14. Juli 2020 auf die Interpel</w:t>
      </w:r>
      <w:r>
        <w:t>lation der Abgeordneten Katrin Ebner-Steiner, Ferdinand Mang und Fraktion (AfD) vom</w:t>
      </w:r>
      <w:r w:rsidR="002B146F">
        <w:t xml:space="preserve"> </w:t>
      </w:r>
      <w:r w:rsidR="009D2B04">
        <w:t>1. </w:t>
      </w:r>
      <w:r>
        <w:t xml:space="preserve">August 2019 betreffend </w:t>
      </w:r>
      <w:r w:rsidR="00190CE9">
        <w:t>„</w:t>
      </w:r>
      <w:r>
        <w:t>Die fiskalischen Lasten der ungesteuerten Zuwanderung in Bayern</w:t>
      </w:r>
      <w:r w:rsidR="00190CE9">
        <w:t>“</w:t>
      </w:r>
      <w:r w:rsidR="009D2B04">
        <w:t xml:space="preserve"> (Drs. </w:t>
      </w:r>
      <w:r>
        <w:t>18/9356 vom 8. Oktober 2020, dort insb. S. 13/14) verwiesen.</w:t>
      </w:r>
    </w:p>
    <w:p w:rsidR="0034715F" w:rsidRDefault="0034715F">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34715F" w:rsidTr="007B0B33">
        <w:tc>
          <w:tcPr>
            <w:tcW w:w="2050" w:type="dxa"/>
          </w:tcPr>
          <w:p w:rsidR="0034715F" w:rsidRDefault="0034715F" w:rsidP="0034715F">
            <w:pPr>
              <w:pStyle w:val="LTAnfrageInitiator"/>
            </w:pPr>
            <w:r>
              <w:lastRenderedPageBreak/>
              <w:t>Abgeordneter</w:t>
            </w:r>
            <w:r>
              <w:rPr>
                <w:b/>
              </w:rPr>
              <w:br/>
              <w:t>Volkmar</w:t>
            </w:r>
            <w:r>
              <w:rPr>
                <w:b/>
              </w:rPr>
              <w:br/>
              <w:t>Halbleib</w:t>
            </w:r>
            <w:r>
              <w:rPr>
                <w:b/>
              </w:rPr>
              <w:br/>
            </w:r>
            <w:r>
              <w:t>(SPD)</w:t>
            </w:r>
            <w:bookmarkStart w:id="9" w:name="Frage_Nr_4"/>
            <w:bookmarkEnd w:id="9"/>
          </w:p>
        </w:tc>
        <w:tc>
          <w:tcPr>
            <w:tcW w:w="7200" w:type="dxa"/>
          </w:tcPr>
          <w:p w:rsidR="0034715F" w:rsidRPr="00D12EF4" w:rsidRDefault="00D12EF4" w:rsidP="0034715F">
            <w:pPr>
              <w:pStyle w:val="LTAnfrageText"/>
            </w:pPr>
            <w:r w:rsidRPr="00D12EF4">
              <w:rPr>
                <w:szCs w:val="24"/>
              </w:rPr>
              <w:t>Ich frage die Staatsregierung, welche konkreten Überlegungen bzw. Planungen hat sie für die Erhöhung der Festbeträge für Feuerwehrhäuser und für Feuerwehrfahrzeuge gemäß den Anlagen 1 und 2 der Feuerwehr-Zuwendungsrichtlinien des Freistaates Bayern (bitte unter Angabe des konkreten Zeitplanes), wann legt sie dem Landtag einen entsprechenden Vorschlag mit einem Finanzierungskonzept vor und ab wann ist mit dem Inkrafttreten (ggf. mit welcher Rückwirkung) der höheren Förderung zu rechnen?</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 xml:space="preserve">Der Freistaat Bayern unterstützt die Gemeinden ganz erheblich </w:t>
      </w:r>
      <w:r w:rsidR="002102F9">
        <w:t>bei der Erfüllung ihrer Pflichtaufgabe aus Art. </w:t>
      </w:r>
      <w:r>
        <w:t>1 Bayerisches Feuerwehrgesetz (BayFwG), einen wirksamen abwehrenden Brandschutz und eine effektive technische Hilfeleistung du</w:t>
      </w:r>
      <w:r w:rsidR="002102F9">
        <w:t>rch gemeindliche Feuerwehren si</w:t>
      </w:r>
      <w:r>
        <w:t>cher zu stellen, insbesondere durch staatliche Zuwendungen. Allein in den letzten fünf Jahren (20</w:t>
      </w:r>
      <w:r w:rsidR="002102F9">
        <w:t>17 mit 2021) flossen rund 253,5 Mio. </w:t>
      </w:r>
      <w:r>
        <w:t>Euro in die För</w:t>
      </w:r>
      <w:r w:rsidR="002102F9">
        <w:t>derung des kommunalen Feuerwehr</w:t>
      </w:r>
      <w:r>
        <w:t xml:space="preserve">wesens. Auf den Bau von Feuerwehrhäusern entfielen dabei rund 60,4 Mio. Euro, auf </w:t>
      </w:r>
      <w:r w:rsidR="002102F9">
        <w:t>die Be</w:t>
      </w:r>
      <w:r>
        <w:t>schaffung von Feuerwehrfahrzeugen und -geräten rund 193,1 Mio. Euro.</w:t>
      </w:r>
    </w:p>
    <w:p w:rsidR="0034715F" w:rsidRDefault="0034715F" w:rsidP="0034715F">
      <w:pPr>
        <w:pStyle w:val="LTAntwortRessortText"/>
      </w:pPr>
      <w:r>
        <w:t xml:space="preserve">Die Feuerwehr-Zuwendungsrichtlinien (FwZR) wurden zuletzt mit Bekanntmachung vom 17.12.2021, </w:t>
      </w:r>
      <w:r w:rsidR="002102F9">
        <w:t>Bayerisches Ministerialblatt</w:t>
      </w:r>
      <w:r>
        <w:t xml:space="preserve"> 2022 Nr. 46, bis zum 31.12.2024 ver</w:t>
      </w:r>
      <w:r w:rsidR="002102F9">
        <w:t>längert. Im Rahmen der Verlänge</w:t>
      </w:r>
      <w:r>
        <w:t xml:space="preserve">rung und Überarbeitung wurde auch geprüft, in welchem </w:t>
      </w:r>
      <w:r w:rsidR="002102F9">
        <w:t>Umfang eine Erhöhung der Förder</w:t>
      </w:r>
      <w:r>
        <w:t>festbeträge, insbesondere für den Bau von Feuerwehrgerätehäusern, möglich ist. In der Folge wurden im Rahmen der Verlängerung die Förderfestbeträge sowohl für die Fahrzeugförderung als auch für die Förderung des Baus von Feuerwehrhäusern im Schnitt um rund 10</w:t>
      </w:r>
      <w:r w:rsidR="002102F9">
        <w:t xml:space="preserve"> </w:t>
      </w:r>
      <w:r w:rsidR="00190CE9">
        <w:t>Prozent</w:t>
      </w:r>
      <w:r w:rsidR="002102F9">
        <w:t xml:space="preserve"> angeho</w:t>
      </w:r>
      <w:r>
        <w:t>ben; eine weitergehende Erhöhung kann aus den zweckgeb</w:t>
      </w:r>
      <w:r w:rsidR="002102F9">
        <w:t>undenen Mitteln der Feuerschutz</w:t>
      </w:r>
      <w:r>
        <w:t>steuer nicht dauerhaft finanziert werden.</w:t>
      </w:r>
    </w:p>
    <w:p w:rsidR="0034715F" w:rsidRDefault="0034715F" w:rsidP="0034715F">
      <w:pPr>
        <w:pStyle w:val="LTAntwortRessortText"/>
      </w:pPr>
      <w:r>
        <w:t>Der Freistaat Bayern stellt den Kommunen aber bereits se</w:t>
      </w:r>
      <w:r w:rsidR="00FB048F">
        <w:t>it Jahren Rekordsummen im kommu</w:t>
      </w:r>
      <w:r>
        <w:t xml:space="preserve">nalen Finanzausgleich zur Verfügung, im Jahr 2021 über 10,3 </w:t>
      </w:r>
      <w:r w:rsidR="00FB048F">
        <w:t>Mrd.</w:t>
      </w:r>
      <w:r>
        <w:t xml:space="preserve"> Euro. Auch für 2022 werden über den kommunalen Finanzausgleich Mittel in vergleichbarer Höhe (10,4 </w:t>
      </w:r>
      <w:r w:rsidR="00FB048F">
        <w:t>Mrd.</w:t>
      </w:r>
      <w:r w:rsidR="00F85853">
        <w:t xml:space="preserve"> </w:t>
      </w:r>
      <w:r>
        <w:t xml:space="preserve">Euro) bereitgestellt. Die Kommunen können über die Verwendung der pauschalen Zuweisung im Rahmen des Finanzausgleichs selbst entscheiden und diese Mittel </w:t>
      </w:r>
      <w:r w:rsidR="00190CE9">
        <w:t>z. B.</w:t>
      </w:r>
      <w:r w:rsidR="00FB048F">
        <w:t xml:space="preserve"> auch für den Feuer</w:t>
      </w:r>
      <w:r>
        <w:t>wehrhausbau einsetzen.</w:t>
      </w:r>
    </w:p>
    <w:p w:rsidR="0034715F" w:rsidRDefault="0034715F" w:rsidP="0034715F">
      <w:pPr>
        <w:pStyle w:val="LTAntwortRessortText"/>
      </w:pPr>
      <w:r>
        <w:t xml:space="preserve">Vor diesem Hintergrund bestehen derzeit keine Überlegungen, die Förderfestbeträge vor der nächsten Verlängerung der </w:t>
      </w:r>
      <w:r w:rsidR="00403665">
        <w:t>FwZR</w:t>
      </w:r>
      <w:r>
        <w:t>, die derzeit bis zum 31.12.2024 gelten, anzuheben.</w:t>
      </w:r>
    </w:p>
    <w:p w:rsidR="0034715F" w:rsidRDefault="0034715F">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34715F" w:rsidTr="007B0B33">
        <w:tc>
          <w:tcPr>
            <w:tcW w:w="2050" w:type="dxa"/>
          </w:tcPr>
          <w:p w:rsidR="0034715F" w:rsidRDefault="0034715F" w:rsidP="0034715F">
            <w:pPr>
              <w:pStyle w:val="LTAnfrageInitiator"/>
            </w:pPr>
            <w:r>
              <w:lastRenderedPageBreak/>
              <w:t>Abgeordneter</w:t>
            </w:r>
            <w:r>
              <w:rPr>
                <w:b/>
              </w:rPr>
              <w:br/>
              <w:t>Elmar</w:t>
            </w:r>
            <w:r>
              <w:rPr>
                <w:b/>
              </w:rPr>
              <w:br/>
              <w:t>Hayn</w:t>
            </w:r>
            <w:r>
              <w:rPr>
                <w:b/>
              </w:rPr>
              <w:br/>
            </w:r>
            <w:r>
              <w:t>(BÜNDNIS 90/DIE GRÜNEN)</w:t>
            </w:r>
            <w:bookmarkStart w:id="11" w:name="Frage_Nr_5"/>
            <w:bookmarkEnd w:id="11"/>
          </w:p>
        </w:tc>
        <w:tc>
          <w:tcPr>
            <w:tcW w:w="7200" w:type="dxa"/>
          </w:tcPr>
          <w:p w:rsidR="0034715F" w:rsidRPr="00D12EF4" w:rsidRDefault="00D12EF4" w:rsidP="0034715F">
            <w:pPr>
              <w:pStyle w:val="LTAnfrageText"/>
            </w:pPr>
            <w:r w:rsidRPr="00D12EF4">
              <w:rPr>
                <w:szCs w:val="24"/>
              </w:rPr>
              <w:t>Ich frage die Staatsregierung, wie viele Suizide und Suizidversuche von Kindern (bis einschließlich Alter 18 Jahre) wurden in den Jahren 2017 – 2021 festgestellt, wie viele Suizide und Suizidversuche davon fanden im privaten Umfeld und wie viele in öffentlichen Einrichtungen (z. B. Kinder- oder Jugendheimen) statt (bitte aufschlüsseln nach Regierungsbezirken, Jahren und Einrichtungen)?</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Vorangestellt wird, dass die Beantwortung der aufgeworfenen</w:t>
      </w:r>
      <w:r w:rsidR="00C2318B">
        <w:t xml:space="preserve"> Fragestellung auf Basis des Da</w:t>
      </w:r>
      <w:r>
        <w:t>tenbestands der nach bundesweit einheitlichen Richtlinien gefü</w:t>
      </w:r>
      <w:r w:rsidR="00C2318B">
        <w:t>hrten Polizeilichen Kriminalsta</w:t>
      </w:r>
      <w:r>
        <w:t>tistik (PKS) e</w:t>
      </w:r>
      <w:r w:rsidR="00C2318B">
        <w:t>rfolgt. Die PKS enthält die der</w:t>
      </w:r>
      <w:r>
        <w:t xml:space="preserve"> P</w:t>
      </w:r>
      <w:r w:rsidR="00C2318B">
        <w:t>olizei bekannt gewordenen Straf</w:t>
      </w:r>
      <w:r>
        <w:t>taten zum Zeitpunkt der Abgabe an die Staatsanwaltschaft. Mittels PKS-basierter Daten können nach Abschluss eines Berichtsjahres belastbare Aussagen zur</w:t>
      </w:r>
      <w:r w:rsidR="00C2318B">
        <w:t xml:space="preserve"> Kriminalitätsentwicklung im je</w:t>
      </w:r>
      <w:r>
        <w:t>weiligen Jahr getroffen werden.</w:t>
      </w:r>
    </w:p>
    <w:p w:rsidR="0034715F" w:rsidRDefault="0034715F" w:rsidP="0034715F">
      <w:pPr>
        <w:pStyle w:val="LTAntwortRessortText"/>
      </w:pPr>
      <w:r>
        <w:t xml:space="preserve">Mangels expliziter, valider Rechercheparameter ist eine automatisierte statistische Auswertung im Sinne der Fragestellung nach Tatörtlichkeiten (hier: </w:t>
      </w:r>
      <w:r w:rsidR="00190CE9">
        <w:t>„</w:t>
      </w:r>
      <w:r>
        <w:t>privates Umfeld</w:t>
      </w:r>
      <w:r w:rsidR="00190CE9">
        <w:t>“</w:t>
      </w:r>
      <w:r>
        <w:t xml:space="preserve"> und </w:t>
      </w:r>
      <w:r w:rsidR="00190CE9">
        <w:t>„</w:t>
      </w:r>
      <w:r>
        <w:t>öffentliche Einrichtungen</w:t>
      </w:r>
      <w:r w:rsidR="00190CE9">
        <w:t>“</w:t>
      </w:r>
      <w:r>
        <w:t>) auf Basis des Datenbestands der PKS nicht m</w:t>
      </w:r>
      <w:r w:rsidR="00390F57">
        <w:t>öglich. Insofern müsste eine um</w:t>
      </w:r>
      <w:r>
        <w:t xml:space="preserve">fangreiche manuelle (Einzel-)Auswertung von Akten und Datenbestände erfolgen. Dies würde zu einem erheblichen zeitlichen und personellen Aufwand führen. Mangels statistischer Daten kann diese Teilfrage daher mit vertretbarem Aufwand und in der zur Verfügung stehenden Zeit nicht beantwortet werden. Auch unter Berücksichtigung </w:t>
      </w:r>
      <w:r w:rsidR="00390F57">
        <w:t>der Bedeutung des sich aus Art. 13 </w:t>
      </w:r>
      <w:r>
        <w:t>Abs. 2, 16 a Abs. 1 und 2 S</w:t>
      </w:r>
      <w:r w:rsidR="00B1350E">
        <w:t>atz 1</w:t>
      </w:r>
      <w:r>
        <w:t xml:space="preserve"> </w:t>
      </w:r>
      <w:r w:rsidR="00390F57">
        <w:t xml:space="preserve">der </w:t>
      </w:r>
      <w:r w:rsidR="00B1350E">
        <w:t xml:space="preserve">Verfassung des Freistaates Bayern </w:t>
      </w:r>
      <w:r w:rsidR="00390F57">
        <w:t>(</w:t>
      </w:r>
      <w:r>
        <w:t>BV</w:t>
      </w:r>
      <w:r w:rsidR="00390F57">
        <w:t>)</w:t>
      </w:r>
      <w:r>
        <w:t xml:space="preserve"> ergebenden parlamentari</w:t>
      </w:r>
      <w:r w:rsidR="00390F57">
        <w:t>schen Fragerechts der Abgeordne</w:t>
      </w:r>
      <w:r>
        <w:t>ten des Landtags kann daher eine Auswertung von Einzelakten u.</w:t>
      </w:r>
      <w:r w:rsidR="00390F57">
        <w:t> </w:t>
      </w:r>
      <w:r>
        <w:t>ä. nicht erfolgen.</w:t>
      </w:r>
    </w:p>
    <w:p w:rsidR="0034715F" w:rsidRDefault="0034715F" w:rsidP="0034715F">
      <w:pPr>
        <w:pStyle w:val="LTAntwortRessortText"/>
      </w:pPr>
      <w:r>
        <w:t xml:space="preserve">Im Übrigen wird bezüglich weiterer Details auf die beigefügte Anlage </w:t>
      </w:r>
      <w:r w:rsidR="00FB60E8" w:rsidRPr="00FB60E8">
        <w:rPr>
          <w:rStyle w:val="LTHyperlinkZchn"/>
          <w:b w:val="0"/>
        </w:rPr>
        <w:t>*)</w:t>
      </w:r>
      <w:r w:rsidR="00FB60E8">
        <w:t xml:space="preserve"> </w:t>
      </w:r>
      <w:r>
        <w:t>verwiesen.</w:t>
      </w:r>
    </w:p>
    <w:p w:rsidR="0034715F" w:rsidRDefault="0034715F" w:rsidP="0034715F">
      <w:pPr>
        <w:pStyle w:val="LTAntwortRessortText"/>
      </w:pPr>
    </w:p>
    <w:p w:rsidR="0034715F" w:rsidRDefault="003D69A2" w:rsidP="0034715F">
      <w:pPr>
        <w:pStyle w:val="LTAntwortRessortText"/>
      </w:pPr>
      <w:r w:rsidRPr="003D69A2">
        <w:rPr>
          <w:rStyle w:val="LTHyperlinkZchn"/>
          <w:b w:val="0"/>
        </w:rPr>
        <w:t>*)</w:t>
      </w:r>
      <w:r>
        <w:t xml:space="preserve"> Von einem Abdruck wurde abgesehen. Die Anlage ist als pdf-Dokument </w:t>
      </w:r>
      <w:hyperlink r:id="rId14" w:history="1">
        <w:r w:rsidRPr="003D69A2">
          <w:rPr>
            <w:rStyle w:val="LTHyperlinkZchn"/>
            <w:b w:val="0"/>
          </w:rPr>
          <w:t>hier</w:t>
        </w:r>
      </w:hyperlink>
      <w:r>
        <w:t xml:space="preserve"> einsehbar.</w:t>
      </w:r>
    </w:p>
    <w:p w:rsidR="0034715F" w:rsidRDefault="0034715F">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34715F" w:rsidTr="007B0B33">
        <w:tc>
          <w:tcPr>
            <w:tcW w:w="2050" w:type="dxa"/>
          </w:tcPr>
          <w:p w:rsidR="0034715F" w:rsidRDefault="0034715F" w:rsidP="0034715F">
            <w:pPr>
              <w:pStyle w:val="LTAnfrageInitiator"/>
            </w:pPr>
            <w:r>
              <w:lastRenderedPageBreak/>
              <w:t>Abgeordnete</w:t>
            </w:r>
            <w:r>
              <w:rPr>
                <w:b/>
              </w:rPr>
              <w:br/>
              <w:t>Alexandra</w:t>
            </w:r>
            <w:r>
              <w:rPr>
                <w:b/>
              </w:rPr>
              <w:br/>
              <w:t>Hiersemann</w:t>
            </w:r>
            <w:r>
              <w:rPr>
                <w:b/>
              </w:rPr>
              <w:br/>
            </w:r>
            <w:r>
              <w:t>(SPD)</w:t>
            </w:r>
            <w:bookmarkStart w:id="13" w:name="Frage_Nr_6"/>
            <w:bookmarkEnd w:id="13"/>
          </w:p>
        </w:tc>
        <w:tc>
          <w:tcPr>
            <w:tcW w:w="7200" w:type="dxa"/>
          </w:tcPr>
          <w:p w:rsidR="0034715F" w:rsidRPr="00D12EF4" w:rsidRDefault="00D12EF4" w:rsidP="008C3A20">
            <w:pPr>
              <w:pStyle w:val="LTAnfrageText"/>
            </w:pPr>
            <w:r w:rsidRPr="00D12EF4">
              <w:rPr>
                <w:szCs w:val="24"/>
              </w:rPr>
              <w:t>Ich frage die Staatsregierung, nachdem eine geflüchtete, ukrainische Pflegekraft einen Sachschaden mit einem ihr von der Gastfamilie geliehenen E-Bike an einem Auto verursacht hat und der Privathaftpflichtversicherungsschutz der Gastfamilie nicht eingriff, inwieweit ukrainische Geflüchtete über die Gemeindeunfallversicherung mitversichert/angemeldet werden können – dort solle es eine Klausel geben, die dies ermögliche, von Kommunen aber kaum in Anspruch genommen werde, so die uns übermittelte Info, – insofern stellt sich gesetztenfalls dann die weitere Frage, welche Kommunen dies so abgeschlossen haben (oder eben auch nicht) und inwieweit es hierzu Infos von der Staatsregierung an die Kommunen gab bzw. gibt?</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 xml:space="preserve">Der Begriff </w:t>
      </w:r>
      <w:r w:rsidR="00190CE9">
        <w:t>„</w:t>
      </w:r>
      <w:r>
        <w:t>Gemeindeunfallversicherung</w:t>
      </w:r>
      <w:r w:rsidR="00190CE9">
        <w:t>“</w:t>
      </w:r>
      <w:r>
        <w:t xml:space="preserve"> bezieht sich im</w:t>
      </w:r>
      <w:r w:rsidR="001F2577">
        <w:t xml:space="preserve"> Rahmen der gesetzlichen Unfall</w:t>
      </w:r>
      <w:r>
        <w:t>versicherung nur auf die Organisation de</w:t>
      </w:r>
      <w:r w:rsidR="001F2577">
        <w:t>r Träger (§ </w:t>
      </w:r>
      <w:r>
        <w:t xml:space="preserve">117 Abs. 1 </w:t>
      </w:r>
      <w:r w:rsidR="001F2577">
        <w:t>Siebte</w:t>
      </w:r>
      <w:r w:rsidR="008C3A20">
        <w:t>s</w:t>
      </w:r>
      <w:r w:rsidR="001F2577">
        <w:t xml:space="preserve"> Buch Sozialgesetzbuch – SGB VII, in Bayern: Kommu</w:t>
      </w:r>
      <w:r>
        <w:t>nale Unfallversicherung Bayern (KUVB) und Bayerische Landesunfallkasse (Bayer.</w:t>
      </w:r>
      <w:r w:rsidR="008C3A20">
        <w:t xml:space="preserve"> </w:t>
      </w:r>
      <w:r>
        <w:t>LUK)).</w:t>
      </w:r>
    </w:p>
    <w:p w:rsidR="0034715F" w:rsidRDefault="0034715F" w:rsidP="0034715F">
      <w:pPr>
        <w:pStyle w:val="LTAntwortRessortText"/>
      </w:pPr>
      <w:r>
        <w:t>Der versicherte Personenkreis sowie die Leistungen sind im S</w:t>
      </w:r>
      <w:r w:rsidR="00570E9B">
        <w:t>GB VII (gesetzliche Unfallversi</w:t>
      </w:r>
      <w:r>
        <w:t>cherung) abschließend geregelt. Sofern es sich bei der ukra</w:t>
      </w:r>
      <w:r w:rsidR="00570E9B">
        <w:t>inischen Pflegekraft um kommuna</w:t>
      </w:r>
      <w:r>
        <w:t>les Personal handelt, was aus der Anfrage nicht hervorgeht, wä</w:t>
      </w:r>
      <w:r w:rsidR="00570E9B">
        <w:t>re sie als Beschäftigte bei Vor</w:t>
      </w:r>
      <w:r>
        <w:t xml:space="preserve">liegen eines Versicherungsfalles, also wenn es sich um einen Arbeits- oder Wegeunfall handelt, über die </w:t>
      </w:r>
      <w:r w:rsidR="00570E9B">
        <w:t>Kommunale Unfallversicherung (</w:t>
      </w:r>
      <w:r>
        <w:t>KUVB</w:t>
      </w:r>
      <w:r w:rsidR="00570E9B">
        <w:t>)</w:t>
      </w:r>
      <w:r>
        <w:t xml:space="preserve"> gesetzlich unfallversichert. Personen im R</w:t>
      </w:r>
      <w:r w:rsidR="00570E9B">
        <w:t>echtskreis des Asylbewerberleis</w:t>
      </w:r>
      <w:r>
        <w:t>tungsgesetzes (AsylbLG) fallen in der Regel (wenn sie nicht beschäftigt sind) nicht darunter. Der Leistungskatalog des SGB VII beinhaltet zudem grundsätzlich keine Sachschäden.</w:t>
      </w:r>
    </w:p>
    <w:p w:rsidR="0034715F" w:rsidRDefault="0034715F" w:rsidP="0034715F">
      <w:pPr>
        <w:pStyle w:val="LTAntwortRessortText"/>
      </w:pPr>
      <w:r>
        <w:t xml:space="preserve">Ergänzend weisen wir darauf hin, dass Leistungsberechtigte nach dem AsylbLG, dem aus der Ukraine geflüchtete Personen ab Äußerung eines Schutzgesuchs derzeit unterfallen, wie alle anderen Bürger, persönlich zum Ausgleich verpflichtet sind. Sie haften mit ihrem gesamten pfändbaren Vermögen, wenn sie anderen in zurechenbarer </w:t>
      </w:r>
      <w:r w:rsidR="00570E9B">
        <w:t>Weise einen (Sach-)Schaden zufü</w:t>
      </w:r>
      <w:r>
        <w:t>gen und können selbstverständlich freiwillig eine entsprechende Versicherung abschließen.</w:t>
      </w:r>
    </w:p>
    <w:p w:rsidR="0034715F" w:rsidRDefault="0034715F">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tblGrid>
      <w:tr w:rsidR="0034715F" w:rsidTr="007B0B33">
        <w:tc>
          <w:tcPr>
            <w:tcW w:w="2050" w:type="dxa"/>
          </w:tcPr>
          <w:p w:rsidR="0034715F" w:rsidRDefault="0034715F" w:rsidP="0034715F">
            <w:pPr>
              <w:pStyle w:val="LTAnfrageInitiator"/>
            </w:pPr>
            <w:r>
              <w:lastRenderedPageBreak/>
              <w:t>Abgeordnete</w:t>
            </w:r>
            <w:r>
              <w:rPr>
                <w:b/>
              </w:rPr>
              <w:br/>
              <w:t>Verena</w:t>
            </w:r>
            <w:r>
              <w:rPr>
                <w:b/>
              </w:rPr>
              <w:br/>
              <w:t>Osgyan</w:t>
            </w:r>
            <w:r>
              <w:rPr>
                <w:b/>
              </w:rPr>
              <w:br/>
            </w:r>
            <w:r>
              <w:t>(BÜNDNIS 90/DIE GRÜNEN)</w:t>
            </w:r>
            <w:bookmarkStart w:id="15" w:name="Frage_Nr_7"/>
            <w:bookmarkEnd w:id="15"/>
          </w:p>
        </w:tc>
        <w:tc>
          <w:tcPr>
            <w:tcW w:w="7200" w:type="dxa"/>
          </w:tcPr>
          <w:p w:rsidR="0034715F" w:rsidRPr="00D12EF4" w:rsidRDefault="00D12EF4" w:rsidP="0034715F">
            <w:pPr>
              <w:pStyle w:val="LTAnfrageText"/>
            </w:pPr>
            <w:r w:rsidRPr="00D12EF4">
              <w:rPr>
                <w:szCs w:val="24"/>
              </w:rPr>
              <w:t xml:space="preserve">Vor dem Hintergrund, dass auf BT-Drs. 20/1164 des Bundestags bzgl. „Tötungsdelikte im Phänomenbereich Politisch motivierte Kriminalität-rechts“ auf Seite 4 für das Jahr 2019 in der lfd. Nr.1 folgende Tat in Nürnberg aufgelistet </w:t>
            </w:r>
            <w:r w:rsidR="00A55DA0">
              <w:rPr>
                <w:szCs w:val="24"/>
              </w:rPr>
              <w:t>„</w:t>
            </w:r>
            <w:r w:rsidRPr="00D12EF4">
              <w:rPr>
                <w:szCs w:val="24"/>
              </w:rPr>
              <w:t>Datum 07.01.2019 / Tatort Nürnberg/SV/ Delikt § 211 Strafgesetzbuch (StGB) (Mord)/ Versuch/ein(e) Tatverdächtige(r) wird</w:t>
            </w:r>
            <w:r w:rsidR="00A55DA0">
              <w:rPr>
                <w:szCs w:val="24"/>
              </w:rPr>
              <w:t>“</w:t>
            </w:r>
            <w:r w:rsidRPr="00D12EF4">
              <w:rPr>
                <w:szCs w:val="24"/>
              </w:rPr>
              <w:t xml:space="preserve">, </w:t>
            </w:r>
            <w:r w:rsidRPr="00D12EF4">
              <w:rPr>
                <w:rStyle w:val="Funotenzeichen"/>
                <w:szCs w:val="24"/>
              </w:rPr>
              <w:footnoteReference w:id="1"/>
            </w:r>
            <w:r w:rsidRPr="00D12EF4">
              <w:rPr>
                <w:szCs w:val="24"/>
              </w:rPr>
              <w:t xml:space="preserve"> frage ich die Staatsregierung, ob sie nähere Angaben zum Sachverhalt geben kann, wie der derzeitige Ermittlungsstand ist und ob die Tat nach wie vor als rechtsmotiviert eingestuft wird?</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Am 07.01.2019 hat ein 23-jähriger Deutscher in einer Nürn</w:t>
      </w:r>
      <w:r w:rsidR="003D3A19">
        <w:t>berger Obdachlosenunterkunft ei</w:t>
      </w:r>
      <w:r>
        <w:t>nen 38-jährigen Iraner mit einem Messer attackiert. Nachdem der Täter un</w:t>
      </w:r>
      <w:r w:rsidR="003D3A19">
        <w:t>ter ausländerfeindli</w:t>
      </w:r>
      <w:r>
        <w:t xml:space="preserve">chen Beschimpfungen angekündigt hatte, einen Araber </w:t>
      </w:r>
      <w:r w:rsidR="00190CE9">
        <w:t>„</w:t>
      </w:r>
      <w:r>
        <w:t>abstechen</w:t>
      </w:r>
      <w:r w:rsidR="00190CE9">
        <w:t>“</w:t>
      </w:r>
      <w:r w:rsidR="003D3A19">
        <w:t xml:space="preserve"> zu wollen, stach er unver</w:t>
      </w:r>
      <w:r>
        <w:t>mittelt mit einem Küchenmesser in den Halsbereich des Irane</w:t>
      </w:r>
      <w:r w:rsidR="003D3A19">
        <w:t>rs. Das Opfer musste zur Behand</w:t>
      </w:r>
      <w:r>
        <w:t>lung ins Krankenhaus verbracht werden, es bestand aber zu keinem Zeitpunkt Lebensgefahr.</w:t>
      </w:r>
    </w:p>
    <w:p w:rsidR="0034715F" w:rsidRDefault="0034715F" w:rsidP="0034715F">
      <w:pPr>
        <w:pStyle w:val="LTAntwortRessortText"/>
      </w:pPr>
      <w:r>
        <w:t>Gegen den Täter wurde wegen des Tatbestands des versuchten Mordes ermittelt. Er wurde schließlich vor dem Landgericht Nürnberg-Fürth wegen gefährlicher Körperverletzung zu einer Freiheitsstrafe von vier Jahren und sechs Monaten verurteilt. Das Urteil ist seit dem 27.09.2019 rechtskräftig.</w:t>
      </w:r>
    </w:p>
    <w:p w:rsidR="0034715F" w:rsidRDefault="0034715F" w:rsidP="0034715F">
      <w:pPr>
        <w:pStyle w:val="LTAntwortRessortText"/>
      </w:pPr>
      <w:r>
        <w:t>Aufgrund der Äußerungen unmittelbar vor Tatausführung wurde die Tat im Phänomenbereich der Pol</w:t>
      </w:r>
      <w:r w:rsidR="003D3A19">
        <w:t>itisch Motivierten Kriminalität</w:t>
      </w:r>
      <w:r w:rsidR="00A55DA0">
        <w:t>-</w:t>
      </w:r>
      <w:r>
        <w:t>rechts eingestuft. An de</w:t>
      </w:r>
      <w:r w:rsidR="003D3A19">
        <w:t>r Einstufung hat sich nichts ge</w:t>
      </w:r>
      <w:r>
        <w:t>ändert.</w:t>
      </w:r>
    </w:p>
    <w:p w:rsidR="0034715F" w:rsidRDefault="0034715F">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34715F" w:rsidTr="007B0B33">
        <w:tc>
          <w:tcPr>
            <w:tcW w:w="2050" w:type="dxa"/>
          </w:tcPr>
          <w:p w:rsidR="0034715F" w:rsidRDefault="0034715F" w:rsidP="0034715F">
            <w:pPr>
              <w:pStyle w:val="LTAnfrageInitiator"/>
            </w:pPr>
            <w:r>
              <w:lastRenderedPageBreak/>
              <w:t>Abgeordnete</w:t>
            </w:r>
            <w:r>
              <w:rPr>
                <w:b/>
              </w:rPr>
              <w:br/>
              <w:t>Doris</w:t>
            </w:r>
            <w:r>
              <w:rPr>
                <w:b/>
              </w:rPr>
              <w:br/>
              <w:t>Rauscher</w:t>
            </w:r>
            <w:r>
              <w:rPr>
                <w:b/>
              </w:rPr>
              <w:br/>
            </w:r>
            <w:r>
              <w:t>(SPD)</w:t>
            </w:r>
            <w:bookmarkStart w:id="17" w:name="Frage_Nr_8"/>
            <w:bookmarkEnd w:id="17"/>
          </w:p>
        </w:tc>
        <w:tc>
          <w:tcPr>
            <w:tcW w:w="7200" w:type="dxa"/>
          </w:tcPr>
          <w:p w:rsidR="0034715F" w:rsidRPr="003C1E2B" w:rsidRDefault="003C1E2B" w:rsidP="0034715F">
            <w:pPr>
              <w:pStyle w:val="LTAnfrageText"/>
            </w:pPr>
            <w:r w:rsidRPr="003C1E2B">
              <w:rPr>
                <w:szCs w:val="24"/>
              </w:rPr>
              <w:t>Ich frage die Staatsregierung, wie viele ukrainische Kinder und Jugendliche aus Waisenhäusern und Einrichtungen der Jugend- und Behindertenhilfe sind mittlerweile in Bayern eingetroffen (bitte differenziert nach Einrichtungsart und ggfs. Alter angeben), welche Erkenntnisse hat sie bezüglich des Zugangs zu psychologischer Betreuung der Minderjährigen (bitte differenziert nach Alter angeben) und welche jugendhilferechtlichen Maßgaben und Vorgaben gelten für diese Gruppe mit Blick auf die mögliche Unterbringung und Betreuung in stationären Einrichtungen der Kinder- und Jugendhilfe, für Hilfen zur Erziehung etc. sowie die Einhaltung jugendhilferechtlicher Standards?</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In Bayern sind Stand 9. Mai 2022 212 Minderjährige bekann</w:t>
      </w:r>
      <w:r w:rsidR="00007232">
        <w:t>t, die im Rahmen von Evakuierun</w:t>
      </w:r>
      <w:r>
        <w:t xml:space="preserve">gen von sog. </w:t>
      </w:r>
      <w:r w:rsidR="00190CE9">
        <w:t>„</w:t>
      </w:r>
      <w:r>
        <w:t>Waisenhäusern</w:t>
      </w:r>
      <w:r w:rsidR="00190CE9">
        <w:t>“</w:t>
      </w:r>
      <w:r>
        <w:t xml:space="preserve"> aus der Ukraine nach Baye</w:t>
      </w:r>
      <w:r w:rsidR="00007232">
        <w:t>rn gekommen sind und der Landes</w:t>
      </w:r>
      <w:r>
        <w:t>koordinierungsstelle gemeldet wurden. Weitere Informationen zur Zusammensetzung und zu den Einrichtungen der Jugend- und Behindertenhilfe liegen</w:t>
      </w:r>
      <w:r w:rsidR="00007232">
        <w:t xml:space="preserve"> uns keine Angaben vor und konn</w:t>
      </w:r>
      <w:r>
        <w:t>ten in der Kürze der Zeit auch nicht ermittelt werden. Die bundesweite Koordinierung sowie verbindliche und gerechte Verteilung ist im Bereich Minderjäh</w:t>
      </w:r>
      <w:r w:rsidR="00007232">
        <w:t>rige aus ukrainischen Kinderhei</w:t>
      </w:r>
      <w:r>
        <w:t>men auf Bundesebene durch die Bundeskoordinierungsstelle sicherzustellen.</w:t>
      </w:r>
    </w:p>
    <w:p w:rsidR="0034715F" w:rsidRDefault="0034715F" w:rsidP="0034715F">
      <w:pPr>
        <w:pStyle w:val="LTAntwortRessortText"/>
      </w:pPr>
      <w:r>
        <w:t>Grundsätzlich steht den Betroffenen das allgemeine medizin</w:t>
      </w:r>
      <w:r w:rsidR="00007232">
        <w:t>ische und daher auch das Versor</w:t>
      </w:r>
      <w:r>
        <w:t>gungsangebot im psychiatrischen und psychotherapeutischen Bereich zur Verfügung.</w:t>
      </w:r>
    </w:p>
    <w:p w:rsidR="0034715F" w:rsidRDefault="0034715F" w:rsidP="0034715F">
      <w:pPr>
        <w:pStyle w:val="LTAntwortRessortText"/>
      </w:pPr>
      <w:r>
        <w:t>Zur Sicherstellung des Kindeswohls werden vor Ort auch die Jugendämter eingebunden, um im jeweiligen Bedarfsfall mit Leistungen der Jugendhilfe zu unter</w:t>
      </w:r>
      <w:r w:rsidR="001E5862">
        <w:t>stützen. Sollte im weiteren Ver</w:t>
      </w:r>
      <w:r>
        <w:t>lauf ein Jugendhilfebedarf entstehen, so haben die Leistungsberechtigten einen Anspruch auf Bedarfsdeckung. Dies kann auch eine Inobhutnahme enthalten.</w:t>
      </w:r>
    </w:p>
    <w:p w:rsidR="0034715F" w:rsidRDefault="0034715F">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34715F" w:rsidTr="007B0B33">
        <w:tc>
          <w:tcPr>
            <w:tcW w:w="2050" w:type="dxa"/>
          </w:tcPr>
          <w:p w:rsidR="0034715F" w:rsidRDefault="0034715F" w:rsidP="0034715F">
            <w:pPr>
              <w:pStyle w:val="LTAnfrageInitiator"/>
            </w:pPr>
            <w:r>
              <w:lastRenderedPageBreak/>
              <w:t>Abgeordneter</w:t>
            </w:r>
            <w:r>
              <w:rPr>
                <w:b/>
              </w:rPr>
              <w:br/>
              <w:t>Markus</w:t>
            </w:r>
            <w:r>
              <w:rPr>
                <w:b/>
              </w:rPr>
              <w:br/>
              <w:t>Rinderspacher</w:t>
            </w:r>
            <w:r>
              <w:rPr>
                <w:b/>
              </w:rPr>
              <w:br/>
            </w:r>
            <w:r>
              <w:t>(SPD)</w:t>
            </w:r>
            <w:bookmarkStart w:id="19" w:name="Frage_Nr_9"/>
            <w:bookmarkEnd w:id="19"/>
          </w:p>
        </w:tc>
        <w:tc>
          <w:tcPr>
            <w:tcW w:w="7200" w:type="dxa"/>
          </w:tcPr>
          <w:p w:rsidR="0034715F" w:rsidRPr="003C1E2B" w:rsidRDefault="003C1E2B" w:rsidP="0034715F">
            <w:pPr>
              <w:pStyle w:val="LTAnfrageText"/>
            </w:pPr>
            <w:r w:rsidRPr="003C1E2B">
              <w:rPr>
                <w:szCs w:val="24"/>
              </w:rPr>
              <w:t>Ich frage die Staatsregierung, wann wird sie dem Vorhaben des Christlichen Jugenddorfwerks Deutschlands (CJD) Berchtesgaden zustimmen, 33 ukrainischen Halbwaisen und Waisenkindern im Alter zwischen drei Monaten und sechs Jahren sowie deren 14 Betreuern und Betreuerinnen und deren sieben Kindern, (Waisenhaus Nr. 3 aus Charkiw/Ukraine) im Berchtesgadener Land aufzunehmen, welche Voraussetzungen für eine Genehmigung sind bis jetzt (nicht) erfüllt und welche Schritte wird sie zur Realisierung des humanitären Akts gehen?</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Es ist wichtig, dass wir auch diese besonders Schutzbedürftigen aufnehmen können. Mit Blick auf den Rechtskreiswechsel ist es dabei wichtig, die Leistungsvoraussetzungen nicht nur des</w:t>
      </w:r>
      <w:r w:rsidR="00F306B4">
        <w:t xml:space="preserve"> gegenwärtigen Leistungsrechts –</w:t>
      </w:r>
      <w:r>
        <w:t xml:space="preserve"> dem Asylbewerberlei</w:t>
      </w:r>
      <w:r w:rsidR="00F306B4">
        <w:t>stungsrecht –</w:t>
      </w:r>
      <w:r>
        <w:t xml:space="preserve"> in den Blick zu nehmen, sondern auch schon die der künftigen Systeme der Grundsicherung nach </w:t>
      </w:r>
      <w:r w:rsidR="00A55DA0">
        <w:t xml:space="preserve">dem </w:t>
      </w:r>
      <w:r w:rsidR="00F306B4">
        <w:t>Zweites Buch Sozialgesetzbuch (</w:t>
      </w:r>
      <w:r>
        <w:t>SGB II</w:t>
      </w:r>
      <w:r w:rsidR="00F306B4">
        <w:t>) bzw. Sozial</w:t>
      </w:r>
      <w:r>
        <w:t xml:space="preserve">hilfe nach </w:t>
      </w:r>
      <w:r w:rsidR="00F306B4">
        <w:t>dem Zwölften Buch Sozialgesetzbuch (</w:t>
      </w:r>
      <w:r>
        <w:t>SGB XII</w:t>
      </w:r>
      <w:r w:rsidR="00F306B4">
        <w:t>)</w:t>
      </w:r>
      <w:r>
        <w:t xml:space="preserve">. Zu dem in der Anfrage geschilderten Fall befindet sich das </w:t>
      </w:r>
      <w:r w:rsidR="00F306B4">
        <w:t>Staatsministerium des Innern, für Sport und Integration</w:t>
      </w:r>
      <w:r>
        <w:t xml:space="preserve"> daher derzeit in Abstimmung mit den zuständigen Referaten des Sta</w:t>
      </w:r>
      <w:r w:rsidR="00F306B4">
        <w:t>atsministeriums für Familie, Ar</w:t>
      </w:r>
      <w:r>
        <w:t>beit und Soziales. Ein konkreter Termin für eine Aufnahme k</w:t>
      </w:r>
      <w:r w:rsidR="00F306B4">
        <w:t>ann aufgrund des noch fortbeste</w:t>
      </w:r>
      <w:r>
        <w:t>henden Abstimmungsbedarfs nicht genannt werden. Seitens der Ukraine ist zusätzlich vor der Aufnahme gewünscht, dass von deutscher Seite ein sog. Einlad</w:t>
      </w:r>
      <w:r w:rsidR="00F306B4">
        <w:t>ungsschreiben bzw. eine staatli</w:t>
      </w:r>
      <w:r>
        <w:t xml:space="preserve">che Genehmigung erteilt wird. Daher müssen die Umstände der Aufnahme (Transport nach Deutschland, Unterkunft, Leistungen usw.) vor der Erteilung der Genehmigung geprüft werden. Seitens der ukrainischen Behörden wird eine staatliche </w:t>
      </w:r>
      <w:r w:rsidR="00F306B4">
        <w:t>Genehmigung für erforderlich ge</w:t>
      </w:r>
      <w:r>
        <w:t>halten. Das Verfahren hierzu wird gerade abgestimmt.</w:t>
      </w:r>
    </w:p>
    <w:p w:rsidR="0034715F" w:rsidRDefault="0034715F">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34715F" w:rsidTr="007B0B33">
        <w:tc>
          <w:tcPr>
            <w:tcW w:w="2050" w:type="dxa"/>
          </w:tcPr>
          <w:p w:rsidR="0034715F" w:rsidRDefault="0034715F" w:rsidP="0034715F">
            <w:pPr>
              <w:pStyle w:val="LTAnfrageInitiator"/>
            </w:pPr>
            <w:r>
              <w:lastRenderedPageBreak/>
              <w:t>Abgeordnete</w:t>
            </w:r>
            <w:r>
              <w:rPr>
                <w:b/>
              </w:rPr>
              <w:br/>
              <w:t>Julika</w:t>
            </w:r>
            <w:r>
              <w:rPr>
                <w:b/>
              </w:rPr>
              <w:br/>
              <w:t>Sandt</w:t>
            </w:r>
            <w:r>
              <w:rPr>
                <w:b/>
              </w:rPr>
              <w:br/>
            </w:r>
            <w:r>
              <w:t>(FDP)</w:t>
            </w:r>
            <w:bookmarkStart w:id="21" w:name="Frage_Nr_10"/>
            <w:bookmarkEnd w:id="21"/>
          </w:p>
        </w:tc>
        <w:tc>
          <w:tcPr>
            <w:tcW w:w="7200" w:type="dxa"/>
          </w:tcPr>
          <w:p w:rsidR="0034715F" w:rsidRPr="007F74C9" w:rsidRDefault="007F74C9" w:rsidP="00BF42EF">
            <w:pPr>
              <w:pStyle w:val="LTAnfrageText"/>
            </w:pPr>
            <w:r w:rsidRPr="007F74C9">
              <w:rPr>
                <w:szCs w:val="24"/>
              </w:rPr>
              <w:t xml:space="preserve">Ich frage die Staatsregierung, wie viele Kinder sind aktuell in den </w:t>
            </w:r>
            <w:r w:rsidR="00BF42EF">
              <w:rPr>
                <w:szCs w:val="24"/>
              </w:rPr>
              <w:t>ANKER</w:t>
            </w:r>
            <w:r w:rsidRPr="007F74C9">
              <w:rPr>
                <w:szCs w:val="24"/>
              </w:rPr>
              <w:t>-Einrichtungen und deren Dependancen untergebracht (bitte aufschlüsseln nach Einrichtung, Altersgruppen 0-3, 3-6, 6-16 Jahren und älter), inwiefern bestehen in diesen Einrichtungen Kinderbetreuungs- bzw. Beschulungsangebote (bitte aufschlüsseln nach Art der Betreuung, Zielgruppe, Dienstleister bzw. Schulträger, Personalkapazitäten, zeitlicher Umfang der Betreuung bzw. Beschulung) und welche Unterstützungsangebote (z. B. psychosoziale Beratung) kommen für Kinder dort zum Einsatz?</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Die Zahl der im ANKER untergebrachten Ki</w:t>
      </w:r>
      <w:r w:rsidR="0042114F">
        <w:t>nder stellt sich aktuell (Stand </w:t>
      </w:r>
      <w:r>
        <w:t>30.04.2022) wie folgt dar:</w:t>
      </w:r>
    </w:p>
    <w:p w:rsidR="0034715F" w:rsidRDefault="0034715F" w:rsidP="0034715F">
      <w:pPr>
        <w:pStyle w:val="LTAntwortRessortText"/>
      </w:pPr>
    </w:p>
    <w:tbl>
      <w:tblPr>
        <w:tblStyle w:val="TableNormal"/>
        <w:tblW w:w="7156"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1200"/>
        <w:gridCol w:w="1199"/>
        <w:gridCol w:w="1319"/>
        <w:gridCol w:w="1439"/>
      </w:tblGrid>
      <w:tr w:rsidR="005A2062" w:rsidRPr="0042114F" w:rsidTr="0042114F">
        <w:trPr>
          <w:trHeight w:val="828"/>
        </w:trPr>
        <w:tc>
          <w:tcPr>
            <w:tcW w:w="1999" w:type="dxa"/>
            <w:shd w:val="clear" w:color="auto" w:fill="D9D9D9"/>
            <w:vAlign w:val="center"/>
          </w:tcPr>
          <w:p w:rsidR="005A2062" w:rsidRPr="0042114F" w:rsidRDefault="005A2062" w:rsidP="0042114F">
            <w:pPr>
              <w:pStyle w:val="TableParagraph"/>
              <w:spacing w:line="240" w:lineRule="auto"/>
              <w:rPr>
                <w:rFonts w:ascii="Arial" w:hAnsi="Arial" w:cs="Arial"/>
                <w:b/>
                <w:sz w:val="18"/>
                <w:szCs w:val="18"/>
              </w:rPr>
            </w:pPr>
            <w:r w:rsidRPr="0042114F">
              <w:rPr>
                <w:rFonts w:ascii="Arial" w:hAnsi="Arial" w:cs="Arial"/>
                <w:b/>
                <w:sz w:val="18"/>
                <w:szCs w:val="18"/>
              </w:rPr>
              <w:t>ANKER</w:t>
            </w:r>
          </w:p>
        </w:tc>
        <w:tc>
          <w:tcPr>
            <w:tcW w:w="1200" w:type="dxa"/>
            <w:shd w:val="clear" w:color="auto" w:fill="D9D9D9"/>
            <w:vAlign w:val="center"/>
          </w:tcPr>
          <w:p w:rsidR="005A2062" w:rsidRPr="0042114F" w:rsidRDefault="0042114F" w:rsidP="0042114F">
            <w:pPr>
              <w:pStyle w:val="TableParagraph"/>
              <w:spacing w:line="275" w:lineRule="exact"/>
              <w:jc w:val="center"/>
              <w:rPr>
                <w:rFonts w:ascii="Arial" w:hAnsi="Arial" w:cs="Arial"/>
                <w:b/>
                <w:sz w:val="18"/>
                <w:szCs w:val="18"/>
              </w:rPr>
            </w:pPr>
            <w:r w:rsidRPr="0042114F">
              <w:rPr>
                <w:rFonts w:ascii="Arial" w:hAnsi="Arial" w:cs="Arial"/>
                <w:b/>
                <w:sz w:val="18"/>
                <w:szCs w:val="18"/>
              </w:rPr>
              <w:t>0 bis</w:t>
            </w:r>
            <w:r w:rsidR="005A2062" w:rsidRPr="0042114F">
              <w:rPr>
                <w:rFonts w:ascii="Arial" w:hAnsi="Arial" w:cs="Arial"/>
                <w:b/>
                <w:sz w:val="18"/>
                <w:szCs w:val="18"/>
              </w:rPr>
              <w:t xml:space="preserve"> 3</w:t>
            </w:r>
          </w:p>
          <w:p w:rsidR="005A2062" w:rsidRPr="0042114F" w:rsidRDefault="005A2062" w:rsidP="0042114F">
            <w:pPr>
              <w:pStyle w:val="TableParagraph"/>
              <w:spacing w:line="240" w:lineRule="auto"/>
              <w:jc w:val="center"/>
              <w:rPr>
                <w:rFonts w:ascii="Arial" w:hAnsi="Arial" w:cs="Arial"/>
                <w:b/>
                <w:sz w:val="18"/>
                <w:szCs w:val="18"/>
              </w:rPr>
            </w:pPr>
            <w:r w:rsidRPr="0042114F">
              <w:rPr>
                <w:rFonts w:ascii="Arial" w:hAnsi="Arial" w:cs="Arial"/>
                <w:b/>
                <w:sz w:val="18"/>
                <w:szCs w:val="18"/>
              </w:rPr>
              <w:t>Jahre</w:t>
            </w:r>
          </w:p>
        </w:tc>
        <w:tc>
          <w:tcPr>
            <w:tcW w:w="1199" w:type="dxa"/>
            <w:shd w:val="clear" w:color="auto" w:fill="D9D9D9"/>
            <w:vAlign w:val="center"/>
          </w:tcPr>
          <w:p w:rsidR="005A2062" w:rsidRPr="0042114F" w:rsidRDefault="0042114F" w:rsidP="0042114F">
            <w:pPr>
              <w:pStyle w:val="TableParagraph"/>
              <w:spacing w:line="275" w:lineRule="exact"/>
              <w:jc w:val="center"/>
              <w:rPr>
                <w:rFonts w:ascii="Arial" w:hAnsi="Arial" w:cs="Arial"/>
                <w:b/>
                <w:sz w:val="18"/>
                <w:szCs w:val="18"/>
              </w:rPr>
            </w:pPr>
            <w:r w:rsidRPr="0042114F">
              <w:rPr>
                <w:rFonts w:ascii="Arial" w:hAnsi="Arial" w:cs="Arial"/>
                <w:b/>
                <w:sz w:val="18"/>
                <w:szCs w:val="18"/>
              </w:rPr>
              <w:t>4 bis</w:t>
            </w:r>
            <w:r w:rsidR="005A2062" w:rsidRPr="0042114F">
              <w:rPr>
                <w:rFonts w:ascii="Arial" w:hAnsi="Arial" w:cs="Arial"/>
                <w:b/>
                <w:sz w:val="18"/>
                <w:szCs w:val="18"/>
              </w:rPr>
              <w:t xml:space="preserve"> 6</w:t>
            </w:r>
          </w:p>
          <w:p w:rsidR="005A2062" w:rsidRPr="0042114F" w:rsidRDefault="005A2062" w:rsidP="0042114F">
            <w:pPr>
              <w:pStyle w:val="TableParagraph"/>
              <w:spacing w:line="240" w:lineRule="auto"/>
              <w:jc w:val="center"/>
              <w:rPr>
                <w:rFonts w:ascii="Arial" w:hAnsi="Arial" w:cs="Arial"/>
                <w:b/>
                <w:sz w:val="18"/>
                <w:szCs w:val="18"/>
              </w:rPr>
            </w:pPr>
            <w:r w:rsidRPr="0042114F">
              <w:rPr>
                <w:rFonts w:ascii="Arial" w:hAnsi="Arial" w:cs="Arial"/>
                <w:b/>
                <w:sz w:val="18"/>
                <w:szCs w:val="18"/>
              </w:rPr>
              <w:t>Jahre</w:t>
            </w:r>
          </w:p>
        </w:tc>
        <w:tc>
          <w:tcPr>
            <w:tcW w:w="1319" w:type="dxa"/>
            <w:shd w:val="clear" w:color="auto" w:fill="D9D9D9"/>
            <w:vAlign w:val="center"/>
          </w:tcPr>
          <w:p w:rsidR="005A2062" w:rsidRPr="0042114F" w:rsidRDefault="0042114F" w:rsidP="0042114F">
            <w:pPr>
              <w:pStyle w:val="TableParagraph"/>
              <w:spacing w:line="275" w:lineRule="exact"/>
              <w:jc w:val="center"/>
              <w:rPr>
                <w:rFonts w:ascii="Arial" w:hAnsi="Arial" w:cs="Arial"/>
                <w:b/>
                <w:sz w:val="18"/>
                <w:szCs w:val="18"/>
              </w:rPr>
            </w:pPr>
            <w:r w:rsidRPr="0042114F">
              <w:rPr>
                <w:rFonts w:ascii="Arial" w:hAnsi="Arial" w:cs="Arial"/>
                <w:b/>
                <w:sz w:val="18"/>
                <w:szCs w:val="18"/>
              </w:rPr>
              <w:t>7 bis</w:t>
            </w:r>
            <w:r w:rsidR="005A2062" w:rsidRPr="0042114F">
              <w:rPr>
                <w:rFonts w:ascii="Arial" w:hAnsi="Arial" w:cs="Arial"/>
                <w:b/>
                <w:spacing w:val="-1"/>
                <w:sz w:val="18"/>
                <w:szCs w:val="18"/>
              </w:rPr>
              <w:t xml:space="preserve"> </w:t>
            </w:r>
            <w:r w:rsidR="005A2062" w:rsidRPr="0042114F">
              <w:rPr>
                <w:rFonts w:ascii="Arial" w:hAnsi="Arial" w:cs="Arial"/>
                <w:b/>
                <w:sz w:val="18"/>
                <w:szCs w:val="18"/>
              </w:rPr>
              <w:t>16</w:t>
            </w:r>
          </w:p>
          <w:p w:rsidR="005A2062" w:rsidRPr="0042114F" w:rsidRDefault="005A2062" w:rsidP="0042114F">
            <w:pPr>
              <w:pStyle w:val="TableParagraph"/>
              <w:spacing w:line="240" w:lineRule="auto"/>
              <w:jc w:val="center"/>
              <w:rPr>
                <w:rFonts w:ascii="Arial" w:hAnsi="Arial" w:cs="Arial"/>
                <w:b/>
                <w:sz w:val="18"/>
                <w:szCs w:val="18"/>
              </w:rPr>
            </w:pPr>
            <w:r w:rsidRPr="0042114F">
              <w:rPr>
                <w:rFonts w:ascii="Arial" w:hAnsi="Arial" w:cs="Arial"/>
                <w:b/>
                <w:sz w:val="18"/>
                <w:szCs w:val="18"/>
              </w:rPr>
              <w:t>Jahre</w:t>
            </w:r>
          </w:p>
        </w:tc>
        <w:tc>
          <w:tcPr>
            <w:tcW w:w="1439" w:type="dxa"/>
            <w:shd w:val="clear" w:color="auto" w:fill="D9D9D9"/>
            <w:vAlign w:val="center"/>
          </w:tcPr>
          <w:p w:rsidR="005A2062" w:rsidRPr="0042114F" w:rsidRDefault="0042114F" w:rsidP="0042114F">
            <w:pPr>
              <w:pStyle w:val="TableParagraph"/>
              <w:spacing w:line="275" w:lineRule="exact"/>
              <w:jc w:val="center"/>
              <w:rPr>
                <w:rFonts w:ascii="Arial" w:hAnsi="Arial" w:cs="Arial"/>
                <w:b/>
                <w:sz w:val="18"/>
                <w:szCs w:val="18"/>
              </w:rPr>
            </w:pPr>
            <w:r w:rsidRPr="0042114F">
              <w:rPr>
                <w:rFonts w:ascii="Arial" w:hAnsi="Arial" w:cs="Arial"/>
                <w:b/>
                <w:sz w:val="18"/>
                <w:szCs w:val="18"/>
              </w:rPr>
              <w:t>17 bis</w:t>
            </w:r>
            <w:r w:rsidR="005A2062" w:rsidRPr="0042114F">
              <w:rPr>
                <w:rFonts w:ascii="Arial" w:hAnsi="Arial" w:cs="Arial"/>
                <w:b/>
                <w:sz w:val="18"/>
                <w:szCs w:val="18"/>
              </w:rPr>
              <w:t xml:space="preserve"> 21</w:t>
            </w:r>
          </w:p>
          <w:p w:rsidR="005A2062" w:rsidRPr="0042114F" w:rsidRDefault="005A2062" w:rsidP="0042114F">
            <w:pPr>
              <w:pStyle w:val="TableParagraph"/>
              <w:spacing w:line="240" w:lineRule="auto"/>
              <w:jc w:val="center"/>
              <w:rPr>
                <w:rFonts w:ascii="Arial" w:hAnsi="Arial" w:cs="Arial"/>
                <w:b/>
                <w:sz w:val="18"/>
                <w:szCs w:val="18"/>
              </w:rPr>
            </w:pPr>
            <w:r w:rsidRPr="0042114F">
              <w:rPr>
                <w:rFonts w:ascii="Arial" w:hAnsi="Arial" w:cs="Arial"/>
                <w:b/>
                <w:sz w:val="18"/>
                <w:szCs w:val="18"/>
              </w:rPr>
              <w:t>Jahre</w:t>
            </w:r>
          </w:p>
        </w:tc>
      </w:tr>
      <w:tr w:rsidR="005A2062" w:rsidRPr="0042114F" w:rsidTr="0042114F">
        <w:trPr>
          <w:trHeight w:val="414"/>
        </w:trPr>
        <w:tc>
          <w:tcPr>
            <w:tcW w:w="1999" w:type="dxa"/>
            <w:vAlign w:val="center"/>
          </w:tcPr>
          <w:p w:rsidR="005A2062" w:rsidRPr="0042114F" w:rsidRDefault="005A2062" w:rsidP="0042114F">
            <w:pPr>
              <w:pStyle w:val="TableParagraph"/>
              <w:rPr>
                <w:rFonts w:ascii="Arial" w:hAnsi="Arial" w:cs="Arial"/>
                <w:sz w:val="18"/>
                <w:szCs w:val="18"/>
              </w:rPr>
            </w:pPr>
            <w:r w:rsidRPr="0042114F">
              <w:rPr>
                <w:rFonts w:ascii="Arial" w:hAnsi="Arial" w:cs="Arial"/>
                <w:sz w:val="18"/>
                <w:szCs w:val="18"/>
              </w:rPr>
              <w:t>Oberbayern</w:t>
            </w:r>
          </w:p>
        </w:tc>
        <w:tc>
          <w:tcPr>
            <w:tcW w:w="1200"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125</w:t>
            </w:r>
          </w:p>
        </w:tc>
        <w:tc>
          <w:tcPr>
            <w:tcW w:w="119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95</w:t>
            </w:r>
          </w:p>
        </w:tc>
        <w:tc>
          <w:tcPr>
            <w:tcW w:w="131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246</w:t>
            </w:r>
          </w:p>
        </w:tc>
        <w:tc>
          <w:tcPr>
            <w:tcW w:w="143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282</w:t>
            </w:r>
          </w:p>
        </w:tc>
      </w:tr>
      <w:tr w:rsidR="005A2062" w:rsidRPr="0042114F" w:rsidTr="0042114F">
        <w:trPr>
          <w:trHeight w:val="412"/>
        </w:trPr>
        <w:tc>
          <w:tcPr>
            <w:tcW w:w="1999" w:type="dxa"/>
            <w:vAlign w:val="center"/>
          </w:tcPr>
          <w:p w:rsidR="005A2062" w:rsidRPr="0042114F" w:rsidRDefault="005A2062" w:rsidP="0042114F">
            <w:pPr>
              <w:pStyle w:val="TableParagraph"/>
              <w:rPr>
                <w:rFonts w:ascii="Arial" w:hAnsi="Arial" w:cs="Arial"/>
                <w:sz w:val="18"/>
                <w:szCs w:val="18"/>
              </w:rPr>
            </w:pPr>
            <w:r w:rsidRPr="0042114F">
              <w:rPr>
                <w:rFonts w:ascii="Arial" w:hAnsi="Arial" w:cs="Arial"/>
                <w:sz w:val="18"/>
                <w:szCs w:val="18"/>
              </w:rPr>
              <w:t>Niederbayern</w:t>
            </w:r>
          </w:p>
        </w:tc>
        <w:tc>
          <w:tcPr>
            <w:tcW w:w="1200"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29</w:t>
            </w:r>
          </w:p>
        </w:tc>
        <w:tc>
          <w:tcPr>
            <w:tcW w:w="119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22</w:t>
            </w:r>
          </w:p>
        </w:tc>
        <w:tc>
          <w:tcPr>
            <w:tcW w:w="131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71</w:t>
            </w:r>
          </w:p>
        </w:tc>
        <w:tc>
          <w:tcPr>
            <w:tcW w:w="143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57</w:t>
            </w:r>
          </w:p>
        </w:tc>
      </w:tr>
      <w:tr w:rsidR="005A2062" w:rsidRPr="0042114F" w:rsidTr="0042114F">
        <w:trPr>
          <w:trHeight w:val="414"/>
        </w:trPr>
        <w:tc>
          <w:tcPr>
            <w:tcW w:w="1999" w:type="dxa"/>
            <w:vAlign w:val="center"/>
          </w:tcPr>
          <w:p w:rsidR="005A2062" w:rsidRPr="0042114F" w:rsidRDefault="005A2062" w:rsidP="0042114F">
            <w:pPr>
              <w:pStyle w:val="TableParagraph"/>
              <w:spacing w:line="273" w:lineRule="exact"/>
              <w:rPr>
                <w:rFonts w:ascii="Arial" w:hAnsi="Arial" w:cs="Arial"/>
                <w:sz w:val="18"/>
                <w:szCs w:val="18"/>
              </w:rPr>
            </w:pPr>
            <w:r w:rsidRPr="0042114F">
              <w:rPr>
                <w:rFonts w:ascii="Arial" w:hAnsi="Arial" w:cs="Arial"/>
                <w:sz w:val="18"/>
                <w:szCs w:val="18"/>
              </w:rPr>
              <w:t>Oberpfalz</w:t>
            </w:r>
          </w:p>
        </w:tc>
        <w:tc>
          <w:tcPr>
            <w:tcW w:w="1200" w:type="dxa"/>
            <w:vAlign w:val="center"/>
          </w:tcPr>
          <w:p w:rsidR="005A2062" w:rsidRPr="0042114F" w:rsidRDefault="005A2062" w:rsidP="0042114F">
            <w:pPr>
              <w:pStyle w:val="TableParagraph"/>
              <w:spacing w:line="273" w:lineRule="exact"/>
              <w:jc w:val="center"/>
              <w:rPr>
                <w:rFonts w:ascii="Arial" w:hAnsi="Arial" w:cs="Arial"/>
                <w:sz w:val="18"/>
                <w:szCs w:val="18"/>
              </w:rPr>
            </w:pPr>
            <w:r w:rsidRPr="0042114F">
              <w:rPr>
                <w:rFonts w:ascii="Arial" w:hAnsi="Arial" w:cs="Arial"/>
                <w:sz w:val="18"/>
                <w:szCs w:val="18"/>
              </w:rPr>
              <w:t>14</w:t>
            </w:r>
          </w:p>
        </w:tc>
        <w:tc>
          <w:tcPr>
            <w:tcW w:w="1199" w:type="dxa"/>
            <w:vAlign w:val="center"/>
          </w:tcPr>
          <w:p w:rsidR="005A2062" w:rsidRPr="0042114F" w:rsidRDefault="005A2062" w:rsidP="0042114F">
            <w:pPr>
              <w:pStyle w:val="TableParagraph"/>
              <w:spacing w:line="273" w:lineRule="exact"/>
              <w:jc w:val="center"/>
              <w:rPr>
                <w:rFonts w:ascii="Arial" w:hAnsi="Arial" w:cs="Arial"/>
                <w:sz w:val="18"/>
                <w:szCs w:val="18"/>
              </w:rPr>
            </w:pPr>
            <w:r w:rsidRPr="0042114F">
              <w:rPr>
                <w:rFonts w:ascii="Arial" w:hAnsi="Arial" w:cs="Arial"/>
                <w:sz w:val="18"/>
                <w:szCs w:val="18"/>
              </w:rPr>
              <w:t>20</w:t>
            </w:r>
          </w:p>
        </w:tc>
        <w:tc>
          <w:tcPr>
            <w:tcW w:w="1319" w:type="dxa"/>
            <w:vAlign w:val="center"/>
          </w:tcPr>
          <w:p w:rsidR="005A2062" w:rsidRPr="0042114F" w:rsidRDefault="005A2062" w:rsidP="0042114F">
            <w:pPr>
              <w:pStyle w:val="TableParagraph"/>
              <w:spacing w:line="273" w:lineRule="exact"/>
              <w:jc w:val="center"/>
              <w:rPr>
                <w:rFonts w:ascii="Arial" w:hAnsi="Arial" w:cs="Arial"/>
                <w:sz w:val="18"/>
                <w:szCs w:val="18"/>
              </w:rPr>
            </w:pPr>
            <w:r w:rsidRPr="0042114F">
              <w:rPr>
                <w:rFonts w:ascii="Arial" w:hAnsi="Arial" w:cs="Arial"/>
                <w:sz w:val="18"/>
                <w:szCs w:val="18"/>
              </w:rPr>
              <w:t>46</w:t>
            </w:r>
          </w:p>
        </w:tc>
        <w:tc>
          <w:tcPr>
            <w:tcW w:w="1439" w:type="dxa"/>
            <w:vAlign w:val="center"/>
          </w:tcPr>
          <w:p w:rsidR="005A2062" w:rsidRPr="0042114F" w:rsidRDefault="005A2062" w:rsidP="0042114F">
            <w:pPr>
              <w:pStyle w:val="TableParagraph"/>
              <w:spacing w:line="273" w:lineRule="exact"/>
              <w:jc w:val="center"/>
              <w:rPr>
                <w:rFonts w:ascii="Arial" w:hAnsi="Arial" w:cs="Arial"/>
                <w:sz w:val="18"/>
                <w:szCs w:val="18"/>
              </w:rPr>
            </w:pPr>
            <w:r w:rsidRPr="0042114F">
              <w:rPr>
                <w:rFonts w:ascii="Arial" w:hAnsi="Arial" w:cs="Arial"/>
                <w:sz w:val="18"/>
                <w:szCs w:val="18"/>
              </w:rPr>
              <w:t>96</w:t>
            </w:r>
          </w:p>
        </w:tc>
      </w:tr>
      <w:tr w:rsidR="005A2062" w:rsidRPr="0042114F" w:rsidTr="0042114F">
        <w:trPr>
          <w:trHeight w:val="414"/>
        </w:trPr>
        <w:tc>
          <w:tcPr>
            <w:tcW w:w="1999" w:type="dxa"/>
            <w:vAlign w:val="center"/>
          </w:tcPr>
          <w:p w:rsidR="005A2062" w:rsidRPr="0042114F" w:rsidRDefault="005A2062" w:rsidP="0042114F">
            <w:pPr>
              <w:pStyle w:val="TableParagraph"/>
              <w:rPr>
                <w:rFonts w:ascii="Arial" w:hAnsi="Arial" w:cs="Arial"/>
                <w:sz w:val="18"/>
                <w:szCs w:val="18"/>
              </w:rPr>
            </w:pPr>
            <w:r w:rsidRPr="0042114F">
              <w:rPr>
                <w:rFonts w:ascii="Arial" w:hAnsi="Arial" w:cs="Arial"/>
                <w:sz w:val="18"/>
                <w:szCs w:val="18"/>
              </w:rPr>
              <w:t>Oberfranken</w:t>
            </w:r>
          </w:p>
        </w:tc>
        <w:tc>
          <w:tcPr>
            <w:tcW w:w="1200"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88</w:t>
            </w:r>
          </w:p>
        </w:tc>
        <w:tc>
          <w:tcPr>
            <w:tcW w:w="119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61</w:t>
            </w:r>
          </w:p>
        </w:tc>
        <w:tc>
          <w:tcPr>
            <w:tcW w:w="131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148</w:t>
            </w:r>
          </w:p>
        </w:tc>
        <w:tc>
          <w:tcPr>
            <w:tcW w:w="143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129</w:t>
            </w:r>
          </w:p>
        </w:tc>
      </w:tr>
      <w:tr w:rsidR="005A2062" w:rsidRPr="0042114F" w:rsidTr="0042114F">
        <w:trPr>
          <w:trHeight w:val="412"/>
        </w:trPr>
        <w:tc>
          <w:tcPr>
            <w:tcW w:w="1999" w:type="dxa"/>
            <w:vAlign w:val="center"/>
          </w:tcPr>
          <w:p w:rsidR="005A2062" w:rsidRPr="0042114F" w:rsidRDefault="005A2062" w:rsidP="0042114F">
            <w:pPr>
              <w:pStyle w:val="TableParagraph"/>
              <w:rPr>
                <w:rFonts w:ascii="Arial" w:hAnsi="Arial" w:cs="Arial"/>
                <w:sz w:val="18"/>
                <w:szCs w:val="18"/>
              </w:rPr>
            </w:pPr>
            <w:r w:rsidRPr="0042114F">
              <w:rPr>
                <w:rFonts w:ascii="Arial" w:hAnsi="Arial" w:cs="Arial"/>
                <w:sz w:val="18"/>
                <w:szCs w:val="18"/>
              </w:rPr>
              <w:t>Mittelfranken</w:t>
            </w:r>
          </w:p>
        </w:tc>
        <w:tc>
          <w:tcPr>
            <w:tcW w:w="1200"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18</w:t>
            </w:r>
          </w:p>
        </w:tc>
        <w:tc>
          <w:tcPr>
            <w:tcW w:w="119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11</w:t>
            </w:r>
          </w:p>
        </w:tc>
        <w:tc>
          <w:tcPr>
            <w:tcW w:w="131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32</w:t>
            </w:r>
          </w:p>
        </w:tc>
        <w:tc>
          <w:tcPr>
            <w:tcW w:w="143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65</w:t>
            </w:r>
          </w:p>
        </w:tc>
      </w:tr>
      <w:tr w:rsidR="005A2062" w:rsidRPr="0042114F" w:rsidTr="0042114F">
        <w:trPr>
          <w:trHeight w:val="414"/>
        </w:trPr>
        <w:tc>
          <w:tcPr>
            <w:tcW w:w="1999" w:type="dxa"/>
            <w:vAlign w:val="center"/>
          </w:tcPr>
          <w:p w:rsidR="005A2062" w:rsidRPr="0042114F" w:rsidRDefault="005A2062" w:rsidP="0042114F">
            <w:pPr>
              <w:pStyle w:val="TableParagraph"/>
              <w:spacing w:line="273" w:lineRule="exact"/>
              <w:rPr>
                <w:rFonts w:ascii="Arial" w:hAnsi="Arial" w:cs="Arial"/>
                <w:sz w:val="18"/>
                <w:szCs w:val="18"/>
              </w:rPr>
            </w:pPr>
            <w:r w:rsidRPr="0042114F">
              <w:rPr>
                <w:rFonts w:ascii="Arial" w:hAnsi="Arial" w:cs="Arial"/>
                <w:sz w:val="18"/>
                <w:szCs w:val="18"/>
              </w:rPr>
              <w:t>Unterfranken</w:t>
            </w:r>
          </w:p>
        </w:tc>
        <w:tc>
          <w:tcPr>
            <w:tcW w:w="1200" w:type="dxa"/>
            <w:vAlign w:val="center"/>
          </w:tcPr>
          <w:p w:rsidR="005A2062" w:rsidRPr="0042114F" w:rsidRDefault="005A2062" w:rsidP="0042114F">
            <w:pPr>
              <w:pStyle w:val="TableParagraph"/>
              <w:spacing w:line="273" w:lineRule="exact"/>
              <w:jc w:val="center"/>
              <w:rPr>
                <w:rFonts w:ascii="Arial" w:hAnsi="Arial" w:cs="Arial"/>
                <w:sz w:val="18"/>
                <w:szCs w:val="18"/>
              </w:rPr>
            </w:pPr>
            <w:r w:rsidRPr="0042114F">
              <w:rPr>
                <w:rFonts w:ascii="Arial" w:hAnsi="Arial" w:cs="Arial"/>
                <w:sz w:val="18"/>
                <w:szCs w:val="18"/>
              </w:rPr>
              <w:t>33</w:t>
            </w:r>
          </w:p>
        </w:tc>
        <w:tc>
          <w:tcPr>
            <w:tcW w:w="1199" w:type="dxa"/>
            <w:vAlign w:val="center"/>
          </w:tcPr>
          <w:p w:rsidR="005A2062" w:rsidRPr="0042114F" w:rsidRDefault="005A2062" w:rsidP="0042114F">
            <w:pPr>
              <w:pStyle w:val="TableParagraph"/>
              <w:spacing w:line="273" w:lineRule="exact"/>
              <w:jc w:val="center"/>
              <w:rPr>
                <w:rFonts w:ascii="Arial" w:hAnsi="Arial" w:cs="Arial"/>
                <w:sz w:val="18"/>
                <w:szCs w:val="18"/>
              </w:rPr>
            </w:pPr>
            <w:r w:rsidRPr="0042114F">
              <w:rPr>
                <w:rFonts w:ascii="Arial" w:hAnsi="Arial" w:cs="Arial"/>
                <w:sz w:val="18"/>
                <w:szCs w:val="18"/>
              </w:rPr>
              <w:t>32</w:t>
            </w:r>
          </w:p>
        </w:tc>
        <w:tc>
          <w:tcPr>
            <w:tcW w:w="1319" w:type="dxa"/>
            <w:vAlign w:val="center"/>
          </w:tcPr>
          <w:p w:rsidR="005A2062" w:rsidRPr="0042114F" w:rsidRDefault="005A2062" w:rsidP="0042114F">
            <w:pPr>
              <w:pStyle w:val="TableParagraph"/>
              <w:spacing w:line="273" w:lineRule="exact"/>
              <w:jc w:val="center"/>
              <w:rPr>
                <w:rFonts w:ascii="Arial" w:hAnsi="Arial" w:cs="Arial"/>
                <w:sz w:val="18"/>
                <w:szCs w:val="18"/>
              </w:rPr>
            </w:pPr>
            <w:r w:rsidRPr="0042114F">
              <w:rPr>
                <w:rFonts w:ascii="Arial" w:hAnsi="Arial" w:cs="Arial"/>
                <w:sz w:val="18"/>
                <w:szCs w:val="18"/>
              </w:rPr>
              <w:t>75</w:t>
            </w:r>
          </w:p>
        </w:tc>
        <w:tc>
          <w:tcPr>
            <w:tcW w:w="1439" w:type="dxa"/>
            <w:vAlign w:val="center"/>
          </w:tcPr>
          <w:p w:rsidR="005A2062" w:rsidRPr="0042114F" w:rsidRDefault="005A2062" w:rsidP="0042114F">
            <w:pPr>
              <w:pStyle w:val="TableParagraph"/>
              <w:spacing w:line="273" w:lineRule="exact"/>
              <w:jc w:val="center"/>
              <w:rPr>
                <w:rFonts w:ascii="Arial" w:hAnsi="Arial" w:cs="Arial"/>
                <w:sz w:val="18"/>
                <w:szCs w:val="18"/>
              </w:rPr>
            </w:pPr>
            <w:r w:rsidRPr="0042114F">
              <w:rPr>
                <w:rFonts w:ascii="Arial" w:hAnsi="Arial" w:cs="Arial"/>
                <w:sz w:val="18"/>
                <w:szCs w:val="18"/>
              </w:rPr>
              <w:t>185</w:t>
            </w:r>
          </w:p>
        </w:tc>
      </w:tr>
      <w:tr w:rsidR="005A2062" w:rsidRPr="0042114F" w:rsidTr="0042114F">
        <w:trPr>
          <w:trHeight w:val="414"/>
        </w:trPr>
        <w:tc>
          <w:tcPr>
            <w:tcW w:w="1999" w:type="dxa"/>
            <w:vAlign w:val="center"/>
          </w:tcPr>
          <w:p w:rsidR="005A2062" w:rsidRPr="0042114F" w:rsidRDefault="005A2062" w:rsidP="0042114F">
            <w:pPr>
              <w:pStyle w:val="TableParagraph"/>
              <w:rPr>
                <w:rFonts w:ascii="Arial" w:hAnsi="Arial" w:cs="Arial"/>
                <w:sz w:val="18"/>
                <w:szCs w:val="18"/>
              </w:rPr>
            </w:pPr>
            <w:r w:rsidRPr="0042114F">
              <w:rPr>
                <w:rFonts w:ascii="Arial" w:hAnsi="Arial" w:cs="Arial"/>
                <w:sz w:val="18"/>
                <w:szCs w:val="18"/>
              </w:rPr>
              <w:t>Schwaben</w:t>
            </w:r>
          </w:p>
        </w:tc>
        <w:tc>
          <w:tcPr>
            <w:tcW w:w="1200"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19</w:t>
            </w:r>
          </w:p>
        </w:tc>
        <w:tc>
          <w:tcPr>
            <w:tcW w:w="119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18</w:t>
            </w:r>
          </w:p>
        </w:tc>
        <w:tc>
          <w:tcPr>
            <w:tcW w:w="131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51</w:t>
            </w:r>
          </w:p>
        </w:tc>
        <w:tc>
          <w:tcPr>
            <w:tcW w:w="1439" w:type="dxa"/>
            <w:vAlign w:val="center"/>
          </w:tcPr>
          <w:p w:rsidR="005A2062" w:rsidRPr="0042114F" w:rsidRDefault="005A2062" w:rsidP="0042114F">
            <w:pPr>
              <w:pStyle w:val="TableParagraph"/>
              <w:jc w:val="center"/>
              <w:rPr>
                <w:rFonts w:ascii="Arial" w:hAnsi="Arial" w:cs="Arial"/>
                <w:sz w:val="18"/>
                <w:szCs w:val="18"/>
              </w:rPr>
            </w:pPr>
            <w:r w:rsidRPr="0042114F">
              <w:rPr>
                <w:rFonts w:ascii="Arial" w:hAnsi="Arial" w:cs="Arial"/>
                <w:sz w:val="18"/>
                <w:szCs w:val="18"/>
              </w:rPr>
              <w:t>94</w:t>
            </w:r>
          </w:p>
        </w:tc>
      </w:tr>
    </w:tbl>
    <w:p w:rsidR="0034715F" w:rsidRDefault="0034715F" w:rsidP="005A2062">
      <w:pPr>
        <w:pStyle w:val="LTAntwortRessortText"/>
        <w:ind w:left="0"/>
      </w:pPr>
    </w:p>
    <w:p w:rsidR="0034715F" w:rsidRDefault="0034715F" w:rsidP="0034715F">
      <w:pPr>
        <w:pStyle w:val="LTAntwortRessortText"/>
      </w:pPr>
      <w:r>
        <w:t>Die Aufschlüsselung nach sämtlichen Standorten und Unterkunfts-Dependancen kann in der Kürze der zur Beantwortung der Anfrage zum Plenum zur Ve</w:t>
      </w:r>
      <w:r w:rsidR="00AA3C56">
        <w:t>rfügung stehenden Zeit nicht er</w:t>
      </w:r>
      <w:r>
        <w:t>folgen.</w:t>
      </w:r>
    </w:p>
    <w:p w:rsidR="0034715F" w:rsidRDefault="0034715F" w:rsidP="0034715F">
      <w:pPr>
        <w:pStyle w:val="LTAntwortRessortText"/>
      </w:pPr>
      <w:r>
        <w:t>Die Staatsregierung nimmt den Schutz des Kindeswohls, den Schutz vulnerabler Menschen und die Wahrung der Kinderrechte in bayerischen Asylunterkünften sehr ernst.</w:t>
      </w:r>
    </w:p>
    <w:p w:rsidR="0034715F" w:rsidRDefault="0034715F" w:rsidP="0034715F">
      <w:pPr>
        <w:pStyle w:val="LTAntwortRessortText"/>
      </w:pPr>
      <w:r>
        <w:t>Es werden dabei folgende Prinzipien zur Sicherstellung der Rechte Minderjähriger in allen Asylunterkünften in Übereinstimmung mit EU-Aufnahmerichtlinie und UNICEF-Mindeststandards zur Unterbringung geflüchteter Menschen beachtet:</w:t>
      </w:r>
    </w:p>
    <w:p w:rsidR="0034715F" w:rsidRDefault="0034715F" w:rsidP="005A2062">
      <w:pPr>
        <w:pStyle w:val="LTAntwortRessortText"/>
        <w:numPr>
          <w:ilvl w:val="0"/>
          <w:numId w:val="25"/>
        </w:numPr>
        <w:spacing w:before="60"/>
        <w:ind w:left="680" w:hanging="340"/>
      </w:pPr>
      <w:r>
        <w:t>Recht auf Leben und persönliche Entfaltung</w:t>
      </w:r>
    </w:p>
    <w:p w:rsidR="0034715F" w:rsidRDefault="0034715F" w:rsidP="005A2062">
      <w:pPr>
        <w:pStyle w:val="LTAntwortRessortText"/>
        <w:numPr>
          <w:ilvl w:val="0"/>
          <w:numId w:val="25"/>
        </w:numPr>
        <w:spacing w:before="60"/>
        <w:ind w:left="680" w:hanging="340"/>
      </w:pPr>
      <w:r>
        <w:lastRenderedPageBreak/>
        <w:t>Recht auf Gleichbehandlung und Schutz und Würde</w:t>
      </w:r>
    </w:p>
    <w:p w:rsidR="0034715F" w:rsidRDefault="0034715F" w:rsidP="005A2062">
      <w:pPr>
        <w:pStyle w:val="LTAntwortRessortText"/>
        <w:numPr>
          <w:ilvl w:val="0"/>
          <w:numId w:val="25"/>
        </w:numPr>
        <w:spacing w:before="60"/>
        <w:ind w:left="680" w:hanging="340"/>
      </w:pPr>
      <w:r>
        <w:t>Vorrang des Kindeswohls</w:t>
      </w:r>
    </w:p>
    <w:p w:rsidR="0034715F" w:rsidRDefault="0034715F" w:rsidP="005A2062">
      <w:pPr>
        <w:pStyle w:val="LTAntwortRessortText"/>
        <w:numPr>
          <w:ilvl w:val="0"/>
          <w:numId w:val="25"/>
        </w:numPr>
        <w:spacing w:before="60"/>
        <w:ind w:left="680" w:hanging="340"/>
      </w:pPr>
      <w:r>
        <w:t>Anerkennung der Meinung und des Willens des Kindes.</w:t>
      </w:r>
    </w:p>
    <w:p w:rsidR="0034715F" w:rsidRDefault="0034715F" w:rsidP="0034715F">
      <w:pPr>
        <w:pStyle w:val="LTAntwortRessortText"/>
      </w:pPr>
      <w:r>
        <w:t>Die Umsetzung dieser Prinzipien innerhalb bayerischer Asylu</w:t>
      </w:r>
      <w:r w:rsidR="00F2484D">
        <w:t>nterkünfte erfolgt durch umfang</w:t>
      </w:r>
      <w:r>
        <w:t>reiche Angebote, wie</w:t>
      </w:r>
    </w:p>
    <w:p w:rsidR="0034715F" w:rsidRDefault="0034715F" w:rsidP="003C0018">
      <w:pPr>
        <w:pStyle w:val="LTAntwortRessortText"/>
        <w:numPr>
          <w:ilvl w:val="0"/>
          <w:numId w:val="25"/>
        </w:numPr>
        <w:spacing w:before="60"/>
        <w:ind w:left="680" w:hanging="340"/>
      </w:pPr>
      <w:r>
        <w:t>Beschulung</w:t>
      </w:r>
    </w:p>
    <w:p w:rsidR="0034715F" w:rsidRDefault="0034715F" w:rsidP="003C0018">
      <w:pPr>
        <w:pStyle w:val="LTAntwortRessortText"/>
        <w:numPr>
          <w:ilvl w:val="0"/>
          <w:numId w:val="25"/>
        </w:numPr>
        <w:spacing w:before="60"/>
        <w:ind w:left="680" w:hanging="340"/>
      </w:pPr>
      <w:r>
        <w:t>Fortbildung</w:t>
      </w:r>
    </w:p>
    <w:p w:rsidR="0034715F" w:rsidRDefault="0034715F" w:rsidP="003C0018">
      <w:pPr>
        <w:pStyle w:val="LTAntwortRessortText"/>
        <w:numPr>
          <w:ilvl w:val="0"/>
          <w:numId w:val="25"/>
        </w:numPr>
        <w:spacing w:before="60"/>
        <w:ind w:left="680" w:hanging="340"/>
      </w:pPr>
      <w:r>
        <w:t>medizinische Versorgung</w:t>
      </w:r>
    </w:p>
    <w:p w:rsidR="0034715F" w:rsidRDefault="0034715F" w:rsidP="003C0018">
      <w:pPr>
        <w:pStyle w:val="LTAntwortRessortText"/>
        <w:numPr>
          <w:ilvl w:val="0"/>
          <w:numId w:val="25"/>
        </w:numPr>
        <w:spacing w:before="60"/>
        <w:ind w:left="680" w:hanging="340"/>
      </w:pPr>
      <w:r>
        <w:t>Beratungs- und Betreuungsangebote</w:t>
      </w:r>
    </w:p>
    <w:p w:rsidR="0034715F" w:rsidRDefault="0034715F" w:rsidP="003C0018">
      <w:pPr>
        <w:pStyle w:val="LTAntwortRessortText"/>
        <w:numPr>
          <w:ilvl w:val="0"/>
          <w:numId w:val="25"/>
        </w:numPr>
        <w:spacing w:before="60"/>
        <w:ind w:left="680" w:hanging="340"/>
      </w:pPr>
      <w:r>
        <w:t>Rückzugsmöglichkeiten</w:t>
      </w:r>
    </w:p>
    <w:p w:rsidR="0034715F" w:rsidRDefault="0034715F" w:rsidP="003C0018">
      <w:pPr>
        <w:pStyle w:val="LTAntwortRessortText"/>
        <w:numPr>
          <w:ilvl w:val="0"/>
          <w:numId w:val="25"/>
        </w:numPr>
        <w:spacing w:before="60"/>
        <w:ind w:left="680" w:hanging="340"/>
      </w:pPr>
      <w:r>
        <w:t>Freizeitaktivitäten</w:t>
      </w:r>
    </w:p>
    <w:p w:rsidR="0034715F" w:rsidRDefault="0034715F" w:rsidP="003C0018">
      <w:pPr>
        <w:pStyle w:val="LTAntwortRessortText"/>
        <w:numPr>
          <w:ilvl w:val="0"/>
          <w:numId w:val="25"/>
        </w:numPr>
        <w:spacing w:before="60"/>
        <w:ind w:left="680" w:hanging="340"/>
      </w:pPr>
      <w:r>
        <w:t>Sportmöglichkeiten etc.</w:t>
      </w:r>
    </w:p>
    <w:p w:rsidR="0034715F" w:rsidRDefault="0034715F" w:rsidP="0034715F">
      <w:pPr>
        <w:pStyle w:val="LTAntwortRessortText"/>
      </w:pPr>
      <w:r>
        <w:t>Soweit keine Ausführungen zu Dienstleistern, Personalkapazitäten, etc., erfolgen, lagen uns hierzu keine Informationen vor. Sie waren in der zur Verfügu</w:t>
      </w:r>
      <w:r w:rsidR="00A62EDE">
        <w:t>ng stehenden Zeit mit vertretba</w:t>
      </w:r>
      <w:r>
        <w:t>rem Aufwand auch nicht in Erfahrung zu bringen.</w:t>
      </w:r>
    </w:p>
    <w:p w:rsidR="0034715F" w:rsidRDefault="0034715F" w:rsidP="0034715F">
      <w:pPr>
        <w:pStyle w:val="LTAntwortRessortText"/>
      </w:pPr>
      <w:r>
        <w:t>Kinder in ANKERn haben keinen Anspruch auf einen Betreuun</w:t>
      </w:r>
      <w:r w:rsidR="00A62EDE">
        <w:t>gsplatz in einer Kindertagesein</w:t>
      </w:r>
      <w:r>
        <w:t>richtung bzw. in der Kindertagespflege. Die Staatsregierung ermöglicht jedoch durch B</w:t>
      </w:r>
      <w:r w:rsidR="00A62EDE">
        <w:t>ereit</w:t>
      </w:r>
      <w:r>
        <w:t>stellung von Mitteln und Stellen die Umsetzung von niedri</w:t>
      </w:r>
      <w:r w:rsidR="00A62EDE">
        <w:t>gschwelligen Kinderbetreuungsan</w:t>
      </w:r>
      <w:r>
        <w:t>geboten in ANKERn.</w:t>
      </w:r>
    </w:p>
    <w:p w:rsidR="0034715F" w:rsidRDefault="0034715F" w:rsidP="0034715F">
      <w:pPr>
        <w:pStyle w:val="LTAntwortRessortText"/>
      </w:pPr>
      <w:r>
        <w:t>Die Schulpflicht beginnt bei Personen mit einer nach dem Asy</w:t>
      </w:r>
      <w:r w:rsidR="00A62EDE">
        <w:t>lgesetz bestehenden Aufenthalts</w:t>
      </w:r>
      <w:r>
        <w:t>gestattung drei Monate nach Zuzug aus dem Ausland. Diese Regelung zur Schulpflicht findet auch für Personen in ANKERn Anwendung.</w:t>
      </w:r>
    </w:p>
    <w:p w:rsidR="0034715F" w:rsidRDefault="0034715F" w:rsidP="0034715F">
      <w:pPr>
        <w:pStyle w:val="LTAntwortRessortText"/>
      </w:pPr>
      <w:r>
        <w:t>Für in ANKERn untergebrachte schulpflichtige Kinder und Jugendliche sind Deutschklassen der staatlichen Grund- und Mittelschule bzw. Berufsschule eingerichtet. Der Umfang der Beschulung erfolgt gemäß jeweils gültigen Stundentafeln bzw. b</w:t>
      </w:r>
      <w:r w:rsidR="00A62EDE">
        <w:t>ei Deutschklassen an Berufsschu</w:t>
      </w:r>
      <w:r>
        <w:t>len gemäß einschlägigem kultusministeriellen Schreiben.</w:t>
      </w:r>
    </w:p>
    <w:p w:rsidR="0034715F" w:rsidRDefault="0034715F" w:rsidP="0034715F">
      <w:pPr>
        <w:pStyle w:val="LTAntwortRessortText"/>
      </w:pPr>
      <w:r>
        <w:t>Die Beschulung in ANKERn erfolgt grundsätzlich zur Entlas</w:t>
      </w:r>
      <w:r w:rsidR="00A62EDE">
        <w:t>tung der jeweiligen Standortkom</w:t>
      </w:r>
      <w:r>
        <w:t>mune auf dem Gelände vor Ort. Eine Abweichung von diesem Grundsatz ist auf Wunsch der Standortkommunen oder aufgrund fehlender Räumlichkeiten auf Gelände möglich.</w:t>
      </w:r>
    </w:p>
    <w:p w:rsidR="0034715F" w:rsidRDefault="0034715F" w:rsidP="0034715F">
      <w:pPr>
        <w:pStyle w:val="LTAntwortRessortText"/>
      </w:pPr>
      <w:r>
        <w:t>In den ANKERn und ihren Dependancen stehen über die dor</w:t>
      </w:r>
      <w:r w:rsidR="00A62EDE">
        <w:t>tigen ärztlichen Versorgungsein</w:t>
      </w:r>
      <w:r>
        <w:t xml:space="preserve">richtungen grundsätzlich auch weitergehende Unterstützungsangebote, </w:t>
      </w:r>
      <w:r w:rsidR="00190CE9">
        <w:t>z. B.</w:t>
      </w:r>
      <w:r w:rsidR="00A62EDE">
        <w:t xml:space="preserve"> auch psychosozi</w:t>
      </w:r>
      <w:r>
        <w:t>ale Beratung, zur Verfügung.</w:t>
      </w:r>
    </w:p>
    <w:p w:rsidR="0034715F" w:rsidRDefault="0034715F">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tblGrid>
      <w:tr w:rsidR="0034715F" w:rsidTr="007B0B33">
        <w:tc>
          <w:tcPr>
            <w:tcW w:w="2050" w:type="dxa"/>
          </w:tcPr>
          <w:p w:rsidR="0034715F" w:rsidRDefault="0034715F" w:rsidP="0034715F">
            <w:pPr>
              <w:pStyle w:val="LTAnfrageInitiator"/>
            </w:pPr>
            <w:r>
              <w:lastRenderedPageBreak/>
              <w:t>Abgeordnete</w:t>
            </w:r>
            <w:r>
              <w:rPr>
                <w:b/>
              </w:rPr>
              <w:br/>
              <w:t>Katharina</w:t>
            </w:r>
            <w:r>
              <w:rPr>
                <w:b/>
              </w:rPr>
              <w:br/>
              <w:t>Schulze</w:t>
            </w:r>
            <w:r>
              <w:rPr>
                <w:b/>
              </w:rPr>
              <w:br/>
            </w:r>
            <w:r>
              <w:t>(BÜNDNIS 90/DIE GRÜNEN)</w:t>
            </w:r>
            <w:bookmarkStart w:id="23" w:name="Frage_Nr_11"/>
            <w:bookmarkEnd w:id="23"/>
          </w:p>
        </w:tc>
        <w:tc>
          <w:tcPr>
            <w:tcW w:w="7200" w:type="dxa"/>
          </w:tcPr>
          <w:p w:rsidR="0034715F" w:rsidRPr="007F74C9" w:rsidRDefault="007F74C9" w:rsidP="0034715F">
            <w:pPr>
              <w:pStyle w:val="LTAnfrageText"/>
            </w:pPr>
            <w:r w:rsidRPr="007F74C9">
              <w:rPr>
                <w:szCs w:val="24"/>
              </w:rPr>
              <w:t>Ich frage die Staatsregierung, wie hat sich der Anteil der Frauen bei der Polizei seit 01.01.2020 entwickelt, wie hoch ist Anteil der Frauen in Führungspositionen bei der Polizei (bitte nach Qualifikationsebene aufschlüsseln) und wie viele dienstnahe Kinderbetreuungseinrichtungen in Kooperation mit anderen Trägern gibt es für die Mitarbeiterinnen bzw. Mitarbeiter der Polizei (bitte nach Präsidien aufschlüsseln)?</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Die folgenden Auswertungen basieren auf den uns bereits vo</w:t>
      </w:r>
      <w:r w:rsidR="0066109F">
        <w:t>rliegenden Datenanalysen im Rah</w:t>
      </w:r>
      <w:r>
        <w:t>men der Erstellung des Gleichstellungsberichts der Staatsregierung. Bei diesen Auswertungen wurde das Landesamt für Verfassungsschutz ebenfalls einbezogen. Eine anderweitige Auswertung war aufgrund der Kurzfristigkeit der Anfrage nicht möglich.</w:t>
      </w:r>
    </w:p>
    <w:p w:rsidR="0034715F" w:rsidRPr="00140765" w:rsidRDefault="0034715F" w:rsidP="0034715F">
      <w:pPr>
        <w:pStyle w:val="LTAntwortRessortText"/>
        <w:rPr>
          <w:u w:val="single"/>
        </w:rPr>
      </w:pPr>
      <w:r w:rsidRPr="00140765">
        <w:rPr>
          <w:u w:val="single"/>
        </w:rPr>
        <w:t>Anteil der Frauen insgesamt</w:t>
      </w:r>
    </w:p>
    <w:p w:rsidR="0034715F" w:rsidRDefault="0034715F" w:rsidP="00140765">
      <w:pPr>
        <w:pStyle w:val="LTAntwortRessortText"/>
        <w:spacing w:before="120"/>
      </w:pPr>
      <w:r>
        <w:t>Der Anteil der Frauen hat sich wie folgt entwickelt:</w:t>
      </w:r>
    </w:p>
    <w:p w:rsidR="0034715F" w:rsidRDefault="0034715F" w:rsidP="0034715F">
      <w:pPr>
        <w:pStyle w:val="LTAntwortRessortText"/>
      </w:pPr>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419"/>
      </w:tblGrid>
      <w:tr w:rsidR="00140765" w:rsidRPr="0066109F" w:rsidTr="0066109F">
        <w:trPr>
          <w:trHeight w:val="414"/>
        </w:trPr>
        <w:tc>
          <w:tcPr>
            <w:tcW w:w="1296" w:type="dxa"/>
            <w:vAlign w:val="center"/>
          </w:tcPr>
          <w:p w:rsidR="00140765" w:rsidRPr="0066109F" w:rsidRDefault="00140765" w:rsidP="0066109F">
            <w:pPr>
              <w:pStyle w:val="TableParagraph"/>
              <w:spacing w:line="270" w:lineRule="exact"/>
              <w:jc w:val="center"/>
              <w:rPr>
                <w:rFonts w:ascii="Arial" w:hAnsi="Arial" w:cs="Arial"/>
                <w:sz w:val="18"/>
                <w:szCs w:val="18"/>
              </w:rPr>
            </w:pPr>
            <w:r w:rsidRPr="0066109F">
              <w:rPr>
                <w:rFonts w:ascii="Arial" w:hAnsi="Arial" w:cs="Arial"/>
                <w:sz w:val="18"/>
                <w:szCs w:val="18"/>
              </w:rPr>
              <w:t>Stichtag</w:t>
            </w:r>
          </w:p>
        </w:tc>
        <w:tc>
          <w:tcPr>
            <w:tcW w:w="1419" w:type="dxa"/>
            <w:vAlign w:val="center"/>
          </w:tcPr>
          <w:p w:rsidR="00140765" w:rsidRPr="0066109F" w:rsidRDefault="0066109F" w:rsidP="0066109F">
            <w:pPr>
              <w:pStyle w:val="TableParagraph"/>
              <w:spacing w:line="270" w:lineRule="exact"/>
              <w:jc w:val="center"/>
              <w:rPr>
                <w:rFonts w:ascii="Arial" w:hAnsi="Arial" w:cs="Arial"/>
                <w:sz w:val="18"/>
                <w:szCs w:val="18"/>
              </w:rPr>
            </w:pPr>
            <w:r>
              <w:rPr>
                <w:rFonts w:ascii="Arial" w:hAnsi="Arial" w:cs="Arial"/>
                <w:sz w:val="18"/>
                <w:szCs w:val="18"/>
              </w:rPr>
              <w:t xml:space="preserve">Anteil in </w:t>
            </w:r>
            <w:r w:rsidR="00140765" w:rsidRPr="0066109F">
              <w:rPr>
                <w:rFonts w:ascii="Arial" w:hAnsi="Arial" w:cs="Arial"/>
                <w:sz w:val="18"/>
                <w:szCs w:val="18"/>
              </w:rPr>
              <w:t>Prozent</w:t>
            </w:r>
          </w:p>
        </w:tc>
      </w:tr>
      <w:tr w:rsidR="00140765" w:rsidRPr="0066109F" w:rsidTr="0066109F">
        <w:trPr>
          <w:trHeight w:val="412"/>
        </w:trPr>
        <w:tc>
          <w:tcPr>
            <w:tcW w:w="1296" w:type="dxa"/>
            <w:vAlign w:val="center"/>
          </w:tcPr>
          <w:p w:rsidR="00140765" w:rsidRPr="0066109F" w:rsidRDefault="00140765" w:rsidP="0066109F">
            <w:pPr>
              <w:pStyle w:val="TableParagraph"/>
              <w:spacing w:line="270" w:lineRule="exact"/>
              <w:jc w:val="center"/>
              <w:rPr>
                <w:rFonts w:ascii="Arial" w:hAnsi="Arial" w:cs="Arial"/>
                <w:sz w:val="18"/>
                <w:szCs w:val="18"/>
              </w:rPr>
            </w:pPr>
            <w:r w:rsidRPr="0066109F">
              <w:rPr>
                <w:rFonts w:ascii="Arial" w:hAnsi="Arial" w:cs="Arial"/>
                <w:sz w:val="18"/>
                <w:szCs w:val="18"/>
              </w:rPr>
              <w:t>01.01.2020</w:t>
            </w:r>
          </w:p>
        </w:tc>
        <w:tc>
          <w:tcPr>
            <w:tcW w:w="1419" w:type="dxa"/>
            <w:vAlign w:val="center"/>
          </w:tcPr>
          <w:p w:rsidR="00140765" w:rsidRPr="0066109F" w:rsidRDefault="0066109F" w:rsidP="0066109F">
            <w:pPr>
              <w:pStyle w:val="TableParagraph"/>
              <w:spacing w:line="270" w:lineRule="exact"/>
              <w:jc w:val="center"/>
              <w:rPr>
                <w:rFonts w:ascii="Arial" w:hAnsi="Arial" w:cs="Arial"/>
                <w:sz w:val="18"/>
                <w:szCs w:val="18"/>
              </w:rPr>
            </w:pPr>
            <w:r>
              <w:rPr>
                <w:rFonts w:ascii="Arial" w:hAnsi="Arial" w:cs="Arial"/>
                <w:sz w:val="18"/>
                <w:szCs w:val="18"/>
              </w:rPr>
              <w:t>29,3</w:t>
            </w:r>
          </w:p>
        </w:tc>
      </w:tr>
      <w:tr w:rsidR="00140765" w:rsidRPr="0066109F" w:rsidTr="0066109F">
        <w:trPr>
          <w:trHeight w:val="414"/>
        </w:trPr>
        <w:tc>
          <w:tcPr>
            <w:tcW w:w="1296" w:type="dxa"/>
            <w:vAlign w:val="center"/>
          </w:tcPr>
          <w:p w:rsidR="00140765" w:rsidRPr="0066109F" w:rsidRDefault="00140765" w:rsidP="0066109F">
            <w:pPr>
              <w:pStyle w:val="TableParagraph"/>
              <w:spacing w:line="270" w:lineRule="exact"/>
              <w:jc w:val="center"/>
              <w:rPr>
                <w:rFonts w:ascii="Arial" w:hAnsi="Arial" w:cs="Arial"/>
                <w:sz w:val="18"/>
                <w:szCs w:val="18"/>
              </w:rPr>
            </w:pPr>
            <w:r w:rsidRPr="0066109F">
              <w:rPr>
                <w:rFonts w:ascii="Arial" w:hAnsi="Arial" w:cs="Arial"/>
                <w:sz w:val="18"/>
                <w:szCs w:val="18"/>
              </w:rPr>
              <w:t>01.02.2022</w:t>
            </w:r>
          </w:p>
        </w:tc>
        <w:tc>
          <w:tcPr>
            <w:tcW w:w="1419" w:type="dxa"/>
            <w:vAlign w:val="center"/>
          </w:tcPr>
          <w:p w:rsidR="00140765" w:rsidRPr="0066109F" w:rsidRDefault="00140765" w:rsidP="0066109F">
            <w:pPr>
              <w:pStyle w:val="TableParagraph"/>
              <w:spacing w:line="270" w:lineRule="exact"/>
              <w:jc w:val="center"/>
              <w:rPr>
                <w:rFonts w:ascii="Arial" w:hAnsi="Arial" w:cs="Arial"/>
                <w:sz w:val="18"/>
                <w:szCs w:val="18"/>
              </w:rPr>
            </w:pPr>
            <w:r w:rsidRPr="0066109F">
              <w:rPr>
                <w:rFonts w:ascii="Arial" w:hAnsi="Arial" w:cs="Arial"/>
                <w:sz w:val="18"/>
                <w:szCs w:val="18"/>
              </w:rPr>
              <w:t>30,9</w:t>
            </w:r>
          </w:p>
        </w:tc>
      </w:tr>
    </w:tbl>
    <w:p w:rsidR="0034715F" w:rsidRDefault="0034715F" w:rsidP="00140765">
      <w:pPr>
        <w:pStyle w:val="LTAntwortRessortText"/>
        <w:ind w:left="0"/>
      </w:pPr>
    </w:p>
    <w:p w:rsidR="0034715F" w:rsidRDefault="0034715F" w:rsidP="0034715F">
      <w:pPr>
        <w:pStyle w:val="LTAntwortRessortText"/>
      </w:pPr>
      <w:r>
        <w:t xml:space="preserve">In den letzten Jahren ist eine kontinuierliche und insgesamt </w:t>
      </w:r>
      <w:r w:rsidR="0066109F">
        <w:t>deutliche Erhöhung des Frauenan</w:t>
      </w:r>
      <w:r>
        <w:t>teils in sämtlichen Verwaltungsebenen und Besoldungsgruppen zu verzeichnen.</w:t>
      </w:r>
    </w:p>
    <w:p w:rsidR="0034715F" w:rsidRPr="00140765" w:rsidRDefault="0034715F" w:rsidP="0034715F">
      <w:pPr>
        <w:pStyle w:val="LTAntwortRessortText"/>
        <w:rPr>
          <w:u w:val="single"/>
        </w:rPr>
      </w:pPr>
      <w:r w:rsidRPr="00140765">
        <w:rPr>
          <w:u w:val="single"/>
        </w:rPr>
        <w:t>Anteil der Frauen in Führungspositionen</w:t>
      </w:r>
    </w:p>
    <w:p w:rsidR="0034715F" w:rsidRDefault="0034715F" w:rsidP="00140765">
      <w:pPr>
        <w:pStyle w:val="LTAntwortRessortText"/>
        <w:spacing w:before="120"/>
      </w:pPr>
      <w:r>
        <w:t>Da die Beantwortung der vorliegenden Anfrage auf den A</w:t>
      </w:r>
      <w:r w:rsidR="0066109F">
        <w:t>uswertungsgrundlagen zum Gleich</w:t>
      </w:r>
      <w:r>
        <w:t>stellungsbericht der Staatsregierung beruht, war eine Aufschlüsselung na</w:t>
      </w:r>
      <w:r w:rsidR="0066109F">
        <w:t>ch Qualifikationsebe</w:t>
      </w:r>
      <w:r>
        <w:t>nen nicht möglich. Vielmehr erfolgt die Aufschlüsselung nach den dort festgelegten Kriterien für Führungsebenen. Der Stichtag der nachfolgenden Auswertung ist der 01.02.2022:</w:t>
      </w:r>
    </w:p>
    <w:p w:rsidR="005E0A7D" w:rsidRDefault="005E0A7D">
      <w:r>
        <w:br w:type="page"/>
      </w:r>
    </w:p>
    <w:p w:rsidR="0034715F" w:rsidRDefault="0034715F" w:rsidP="0034715F">
      <w:pPr>
        <w:pStyle w:val="LTAntwortRessortText"/>
      </w:pPr>
    </w:p>
    <w:tbl>
      <w:tblPr>
        <w:tblStyle w:val="TableNormal"/>
        <w:tblW w:w="709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969"/>
        <w:gridCol w:w="1134"/>
      </w:tblGrid>
      <w:tr w:rsidR="00140765" w:rsidRPr="0066109F" w:rsidTr="0066109F">
        <w:trPr>
          <w:trHeight w:val="827"/>
        </w:trPr>
        <w:tc>
          <w:tcPr>
            <w:tcW w:w="1996" w:type="dxa"/>
            <w:vMerge w:val="restart"/>
          </w:tcPr>
          <w:p w:rsidR="00140765" w:rsidRPr="0066109F" w:rsidRDefault="00140765" w:rsidP="005E0A7D">
            <w:pPr>
              <w:pStyle w:val="TableParagraph"/>
              <w:spacing w:line="360" w:lineRule="auto"/>
              <w:jc w:val="both"/>
              <w:rPr>
                <w:rFonts w:ascii="Arial" w:hAnsi="Arial" w:cs="Arial"/>
                <w:sz w:val="18"/>
                <w:szCs w:val="18"/>
              </w:rPr>
            </w:pPr>
            <w:r w:rsidRPr="0066109F">
              <w:rPr>
                <w:rFonts w:ascii="Arial" w:hAnsi="Arial" w:cs="Arial"/>
                <w:sz w:val="18"/>
                <w:szCs w:val="18"/>
              </w:rPr>
              <w:t>Obere</w:t>
            </w:r>
            <w:r w:rsidR="005E0A7D">
              <w:rPr>
                <w:rFonts w:ascii="Arial" w:hAnsi="Arial" w:cs="Arial"/>
                <w:sz w:val="18"/>
                <w:szCs w:val="18"/>
              </w:rPr>
              <w:t> </w:t>
            </w:r>
            <w:r w:rsidRPr="0066109F">
              <w:rPr>
                <w:rFonts w:ascii="Arial" w:hAnsi="Arial" w:cs="Arial"/>
                <w:sz w:val="18"/>
                <w:szCs w:val="18"/>
              </w:rPr>
              <w:t>und</w:t>
            </w:r>
            <w:r w:rsidR="005E0A7D">
              <w:rPr>
                <w:rFonts w:ascii="Arial" w:hAnsi="Arial" w:cs="Arial"/>
                <w:sz w:val="18"/>
                <w:szCs w:val="18"/>
              </w:rPr>
              <w:t> </w:t>
            </w:r>
            <w:r w:rsidRPr="0066109F">
              <w:rPr>
                <w:rFonts w:ascii="Arial" w:hAnsi="Arial" w:cs="Arial"/>
                <w:sz w:val="18"/>
                <w:szCs w:val="18"/>
              </w:rPr>
              <w:t>mittlere</w:t>
            </w:r>
            <w:r w:rsidR="005E0A7D">
              <w:rPr>
                <w:rFonts w:ascii="Arial" w:hAnsi="Arial" w:cs="Arial"/>
                <w:sz w:val="18"/>
                <w:szCs w:val="18"/>
              </w:rPr>
              <w:br/>
            </w:r>
            <w:r w:rsidRPr="0066109F">
              <w:rPr>
                <w:rFonts w:ascii="Arial" w:hAnsi="Arial" w:cs="Arial"/>
                <w:sz w:val="18"/>
                <w:szCs w:val="18"/>
              </w:rPr>
              <w:t>Verwaltungsebene</w:t>
            </w:r>
            <w:r w:rsidR="0066109F">
              <w:rPr>
                <w:rFonts w:ascii="Arial" w:hAnsi="Arial" w:cs="Arial"/>
                <w:sz w:val="18"/>
                <w:szCs w:val="18"/>
              </w:rPr>
              <w:t xml:space="preserve"> </w:t>
            </w:r>
            <w:r w:rsidRPr="0066109F">
              <w:rPr>
                <w:rFonts w:ascii="Arial" w:hAnsi="Arial" w:cs="Arial"/>
                <w:sz w:val="18"/>
                <w:szCs w:val="18"/>
              </w:rPr>
              <w:t>(Polizeipräsidien)</w:t>
            </w:r>
          </w:p>
        </w:tc>
        <w:tc>
          <w:tcPr>
            <w:tcW w:w="3969" w:type="dxa"/>
          </w:tcPr>
          <w:p w:rsidR="00140765" w:rsidRPr="0066109F" w:rsidRDefault="00140765" w:rsidP="00140765">
            <w:pPr>
              <w:pStyle w:val="TableParagraph"/>
              <w:ind w:left="467" w:right="193" w:hanging="360"/>
              <w:rPr>
                <w:rFonts w:ascii="Arial" w:hAnsi="Arial" w:cs="Arial"/>
                <w:sz w:val="18"/>
                <w:szCs w:val="18"/>
              </w:rPr>
            </w:pPr>
            <w:r w:rsidRPr="0066109F">
              <w:rPr>
                <w:rFonts w:ascii="Arial" w:hAnsi="Arial" w:cs="Arial"/>
                <w:sz w:val="18"/>
                <w:szCs w:val="18"/>
              </w:rPr>
              <w:t>1. Führungsebene (Präsidentinnen/</w:t>
            </w:r>
            <w:r w:rsidR="005E0A7D">
              <w:rPr>
                <w:rFonts w:ascii="Arial" w:hAnsi="Arial" w:cs="Arial"/>
                <w:sz w:val="18"/>
                <w:szCs w:val="18"/>
              </w:rPr>
              <w:br/>
            </w:r>
            <w:r w:rsidRPr="0066109F">
              <w:rPr>
                <w:rFonts w:ascii="Arial" w:hAnsi="Arial" w:cs="Arial"/>
                <w:sz w:val="18"/>
                <w:szCs w:val="18"/>
              </w:rPr>
              <w:t>Präsidenten)</w:t>
            </w:r>
          </w:p>
        </w:tc>
        <w:tc>
          <w:tcPr>
            <w:tcW w:w="1134" w:type="dxa"/>
          </w:tcPr>
          <w:p w:rsidR="00140765" w:rsidRPr="0066109F" w:rsidRDefault="00140765" w:rsidP="0066109F">
            <w:pPr>
              <w:pStyle w:val="TableParagraph"/>
              <w:jc w:val="center"/>
              <w:rPr>
                <w:rFonts w:ascii="Arial" w:hAnsi="Arial" w:cs="Arial"/>
                <w:sz w:val="18"/>
                <w:szCs w:val="18"/>
              </w:rPr>
            </w:pPr>
            <w:r w:rsidRPr="0066109F">
              <w:rPr>
                <w:rFonts w:ascii="Arial" w:hAnsi="Arial" w:cs="Arial"/>
                <w:sz w:val="18"/>
                <w:szCs w:val="18"/>
              </w:rPr>
              <w:t xml:space="preserve">7,1 </w:t>
            </w:r>
            <w:r w:rsidR="00190CE9" w:rsidRPr="0066109F">
              <w:rPr>
                <w:rFonts w:ascii="Arial" w:hAnsi="Arial" w:cs="Arial"/>
                <w:sz w:val="18"/>
                <w:szCs w:val="18"/>
              </w:rPr>
              <w:t>Prozent</w:t>
            </w:r>
          </w:p>
        </w:tc>
      </w:tr>
      <w:tr w:rsidR="00140765" w:rsidRPr="0066109F" w:rsidTr="0066109F">
        <w:trPr>
          <w:trHeight w:val="1104"/>
        </w:trPr>
        <w:tc>
          <w:tcPr>
            <w:tcW w:w="1996" w:type="dxa"/>
            <w:vMerge/>
            <w:tcBorders>
              <w:top w:val="nil"/>
            </w:tcBorders>
          </w:tcPr>
          <w:p w:rsidR="00140765" w:rsidRPr="0066109F" w:rsidRDefault="00140765" w:rsidP="00140765">
            <w:pPr>
              <w:rPr>
                <w:rFonts w:cs="Arial"/>
                <w:sz w:val="18"/>
                <w:szCs w:val="18"/>
              </w:rPr>
            </w:pPr>
          </w:p>
        </w:tc>
        <w:tc>
          <w:tcPr>
            <w:tcW w:w="3969" w:type="dxa"/>
          </w:tcPr>
          <w:p w:rsidR="00140765" w:rsidRPr="0066109F" w:rsidRDefault="00140765" w:rsidP="00140765">
            <w:pPr>
              <w:pStyle w:val="TableParagraph"/>
              <w:ind w:left="467" w:right="193" w:hanging="360"/>
              <w:rPr>
                <w:rFonts w:ascii="Arial" w:hAnsi="Arial" w:cs="Arial"/>
                <w:sz w:val="18"/>
                <w:szCs w:val="18"/>
              </w:rPr>
            </w:pPr>
            <w:r w:rsidRPr="0066109F">
              <w:rPr>
                <w:rFonts w:ascii="Arial" w:hAnsi="Arial" w:cs="Arial"/>
                <w:sz w:val="18"/>
                <w:szCs w:val="18"/>
              </w:rPr>
              <w:t xml:space="preserve">2. Führungsebene </w:t>
            </w:r>
            <w:r w:rsidR="005E0A7D">
              <w:rPr>
                <w:rFonts w:ascii="Arial" w:hAnsi="Arial" w:cs="Arial"/>
                <w:sz w:val="18"/>
                <w:szCs w:val="18"/>
              </w:rPr>
              <w:br/>
            </w:r>
            <w:r w:rsidRPr="0066109F">
              <w:rPr>
                <w:rFonts w:ascii="Arial" w:hAnsi="Arial" w:cs="Arial"/>
                <w:sz w:val="18"/>
                <w:szCs w:val="18"/>
              </w:rPr>
              <w:t>(Vizepräsidentinnen/Vizepräsidenten bzw. Abteilungsleiterinnen/</w:t>
            </w:r>
            <w:r w:rsidR="005E0A7D">
              <w:rPr>
                <w:rFonts w:ascii="Arial" w:hAnsi="Arial" w:cs="Arial"/>
                <w:sz w:val="18"/>
                <w:szCs w:val="18"/>
              </w:rPr>
              <w:br/>
            </w:r>
            <w:r w:rsidRPr="0066109F">
              <w:rPr>
                <w:rFonts w:ascii="Arial" w:hAnsi="Arial" w:cs="Arial"/>
                <w:sz w:val="18"/>
                <w:szCs w:val="18"/>
              </w:rPr>
              <w:t>Abteilungsleiter)</w:t>
            </w:r>
          </w:p>
        </w:tc>
        <w:tc>
          <w:tcPr>
            <w:tcW w:w="1134" w:type="dxa"/>
          </w:tcPr>
          <w:p w:rsidR="00140765" w:rsidRPr="0066109F" w:rsidRDefault="00140765" w:rsidP="0066109F">
            <w:pPr>
              <w:pStyle w:val="TableParagraph"/>
              <w:rPr>
                <w:rFonts w:ascii="Arial" w:hAnsi="Arial" w:cs="Arial"/>
                <w:sz w:val="18"/>
                <w:szCs w:val="18"/>
              </w:rPr>
            </w:pPr>
          </w:p>
          <w:p w:rsidR="00140765" w:rsidRPr="0066109F" w:rsidRDefault="00140765" w:rsidP="0066109F">
            <w:pPr>
              <w:pStyle w:val="TableParagraph"/>
              <w:jc w:val="center"/>
              <w:rPr>
                <w:rFonts w:ascii="Arial" w:hAnsi="Arial" w:cs="Arial"/>
                <w:sz w:val="18"/>
                <w:szCs w:val="18"/>
              </w:rPr>
            </w:pPr>
            <w:r w:rsidRPr="0066109F">
              <w:rPr>
                <w:rFonts w:ascii="Arial" w:hAnsi="Arial" w:cs="Arial"/>
                <w:sz w:val="18"/>
                <w:szCs w:val="18"/>
              </w:rPr>
              <w:t xml:space="preserve">20,5 </w:t>
            </w:r>
            <w:r w:rsidR="00190CE9" w:rsidRPr="0066109F">
              <w:rPr>
                <w:rFonts w:ascii="Arial" w:hAnsi="Arial" w:cs="Arial"/>
                <w:sz w:val="18"/>
                <w:szCs w:val="18"/>
              </w:rPr>
              <w:t>Prozent</w:t>
            </w:r>
          </w:p>
        </w:tc>
      </w:tr>
      <w:tr w:rsidR="00140765" w:rsidRPr="0066109F" w:rsidTr="0066109F">
        <w:trPr>
          <w:trHeight w:val="966"/>
        </w:trPr>
        <w:tc>
          <w:tcPr>
            <w:tcW w:w="1996" w:type="dxa"/>
            <w:vMerge/>
            <w:tcBorders>
              <w:top w:val="nil"/>
            </w:tcBorders>
          </w:tcPr>
          <w:p w:rsidR="00140765" w:rsidRPr="0066109F" w:rsidRDefault="00140765" w:rsidP="00140765">
            <w:pPr>
              <w:rPr>
                <w:rFonts w:cs="Arial"/>
                <w:sz w:val="18"/>
                <w:szCs w:val="18"/>
              </w:rPr>
            </w:pPr>
          </w:p>
        </w:tc>
        <w:tc>
          <w:tcPr>
            <w:tcW w:w="3969" w:type="dxa"/>
          </w:tcPr>
          <w:p w:rsidR="00140765" w:rsidRPr="0066109F" w:rsidRDefault="00140765" w:rsidP="00140765">
            <w:pPr>
              <w:pStyle w:val="TableParagraph"/>
              <w:ind w:left="467" w:right="193" w:hanging="360"/>
              <w:rPr>
                <w:rFonts w:ascii="Arial" w:hAnsi="Arial" w:cs="Arial"/>
                <w:sz w:val="18"/>
                <w:szCs w:val="18"/>
              </w:rPr>
            </w:pPr>
            <w:r w:rsidRPr="0066109F">
              <w:rPr>
                <w:rFonts w:ascii="Arial" w:hAnsi="Arial" w:cs="Arial"/>
                <w:sz w:val="18"/>
                <w:szCs w:val="18"/>
              </w:rPr>
              <w:t xml:space="preserve">3. Führungsebene </w:t>
            </w:r>
            <w:r w:rsidR="005E0A7D">
              <w:rPr>
                <w:rFonts w:ascii="Arial" w:hAnsi="Arial" w:cs="Arial"/>
                <w:sz w:val="18"/>
                <w:szCs w:val="18"/>
              </w:rPr>
              <w:br/>
            </w:r>
            <w:r w:rsidRPr="0066109F">
              <w:rPr>
                <w:rFonts w:ascii="Arial" w:hAnsi="Arial" w:cs="Arial"/>
                <w:sz w:val="18"/>
                <w:szCs w:val="18"/>
              </w:rPr>
              <w:t>(Sachgebietsleiterinnen/</w:t>
            </w:r>
            <w:r w:rsidR="005E0A7D">
              <w:rPr>
                <w:rFonts w:ascii="Arial" w:hAnsi="Arial" w:cs="Arial"/>
                <w:sz w:val="18"/>
                <w:szCs w:val="18"/>
              </w:rPr>
              <w:br/>
            </w:r>
            <w:r w:rsidRPr="0066109F">
              <w:rPr>
                <w:rFonts w:ascii="Arial" w:hAnsi="Arial" w:cs="Arial"/>
                <w:sz w:val="18"/>
                <w:szCs w:val="18"/>
              </w:rPr>
              <w:t>Sachgebietsleiter)</w:t>
            </w:r>
          </w:p>
        </w:tc>
        <w:tc>
          <w:tcPr>
            <w:tcW w:w="1134" w:type="dxa"/>
          </w:tcPr>
          <w:p w:rsidR="00140765" w:rsidRPr="0066109F" w:rsidRDefault="00140765" w:rsidP="0066109F">
            <w:pPr>
              <w:pStyle w:val="TableParagraph"/>
              <w:rPr>
                <w:rFonts w:ascii="Arial" w:hAnsi="Arial" w:cs="Arial"/>
                <w:sz w:val="18"/>
                <w:szCs w:val="18"/>
              </w:rPr>
            </w:pPr>
          </w:p>
          <w:p w:rsidR="00140765" w:rsidRPr="0066109F" w:rsidRDefault="00140765" w:rsidP="0066109F">
            <w:pPr>
              <w:pStyle w:val="TableParagraph"/>
              <w:jc w:val="center"/>
              <w:rPr>
                <w:rFonts w:ascii="Arial" w:hAnsi="Arial" w:cs="Arial"/>
                <w:sz w:val="18"/>
                <w:szCs w:val="18"/>
              </w:rPr>
            </w:pPr>
            <w:r w:rsidRPr="0066109F">
              <w:rPr>
                <w:rFonts w:ascii="Arial" w:hAnsi="Arial" w:cs="Arial"/>
                <w:sz w:val="18"/>
                <w:szCs w:val="18"/>
              </w:rPr>
              <w:t xml:space="preserve">18 </w:t>
            </w:r>
            <w:r w:rsidR="00190CE9" w:rsidRPr="0066109F">
              <w:rPr>
                <w:rFonts w:ascii="Arial" w:hAnsi="Arial" w:cs="Arial"/>
                <w:sz w:val="18"/>
                <w:szCs w:val="18"/>
              </w:rPr>
              <w:t>Prozent</w:t>
            </w:r>
          </w:p>
        </w:tc>
      </w:tr>
      <w:tr w:rsidR="00140765" w:rsidRPr="0066109F" w:rsidTr="0066109F">
        <w:trPr>
          <w:trHeight w:val="1379"/>
        </w:trPr>
        <w:tc>
          <w:tcPr>
            <w:tcW w:w="1996" w:type="dxa"/>
          </w:tcPr>
          <w:p w:rsidR="00140765" w:rsidRPr="0066109F" w:rsidRDefault="00140765" w:rsidP="00140765">
            <w:pPr>
              <w:pStyle w:val="TableParagraph"/>
              <w:spacing w:line="360" w:lineRule="auto"/>
              <w:rPr>
                <w:rFonts w:ascii="Arial" w:hAnsi="Arial" w:cs="Arial"/>
                <w:sz w:val="18"/>
                <w:szCs w:val="18"/>
              </w:rPr>
            </w:pPr>
            <w:r w:rsidRPr="0066109F">
              <w:rPr>
                <w:rFonts w:ascii="Arial" w:hAnsi="Arial" w:cs="Arial"/>
                <w:sz w:val="18"/>
                <w:szCs w:val="18"/>
              </w:rPr>
              <w:t>Untere Führungsebene (Polizeiinspektionen)</w:t>
            </w:r>
          </w:p>
        </w:tc>
        <w:tc>
          <w:tcPr>
            <w:tcW w:w="3969" w:type="dxa"/>
          </w:tcPr>
          <w:p w:rsidR="00140765" w:rsidRPr="0066109F" w:rsidRDefault="00140765" w:rsidP="0066109F">
            <w:pPr>
              <w:pStyle w:val="TableParagraph"/>
              <w:ind w:left="467" w:right="79" w:hanging="360"/>
              <w:rPr>
                <w:rFonts w:ascii="Arial" w:hAnsi="Arial" w:cs="Arial"/>
                <w:sz w:val="18"/>
                <w:szCs w:val="18"/>
              </w:rPr>
            </w:pPr>
            <w:r w:rsidRPr="0066109F">
              <w:rPr>
                <w:rFonts w:ascii="Arial" w:hAnsi="Arial" w:cs="Arial"/>
                <w:sz w:val="18"/>
                <w:szCs w:val="18"/>
              </w:rPr>
              <w:t>1. Führungsebene (Leiterinnen/Leiter von Polizeii</w:t>
            </w:r>
            <w:r w:rsidR="0066109F">
              <w:rPr>
                <w:rFonts w:ascii="Arial" w:hAnsi="Arial" w:cs="Arial"/>
                <w:sz w:val="18"/>
                <w:szCs w:val="18"/>
              </w:rPr>
              <w:t>nspektionen, Kriminalpolizeiin</w:t>
            </w:r>
            <w:r w:rsidRPr="0066109F">
              <w:rPr>
                <w:rFonts w:ascii="Arial" w:hAnsi="Arial" w:cs="Arial"/>
                <w:sz w:val="18"/>
                <w:szCs w:val="18"/>
              </w:rPr>
              <w:t>spektio</w:t>
            </w:r>
            <w:r w:rsidR="0066109F">
              <w:rPr>
                <w:rFonts w:ascii="Arial" w:hAnsi="Arial" w:cs="Arial"/>
                <w:sz w:val="18"/>
                <w:szCs w:val="18"/>
              </w:rPr>
              <w:t>nen, Bereitschaftspolizeiabtei</w:t>
            </w:r>
            <w:r w:rsidRPr="0066109F">
              <w:rPr>
                <w:rFonts w:ascii="Arial" w:hAnsi="Arial" w:cs="Arial"/>
                <w:sz w:val="18"/>
                <w:szCs w:val="18"/>
              </w:rPr>
              <w:t>lunge</w:t>
            </w:r>
            <w:r w:rsidR="0066109F">
              <w:rPr>
                <w:rFonts w:ascii="Arial" w:hAnsi="Arial" w:cs="Arial"/>
                <w:sz w:val="18"/>
                <w:szCs w:val="18"/>
              </w:rPr>
              <w:t>n und vergleichbaren Dienststel</w:t>
            </w:r>
            <w:r w:rsidRPr="0066109F">
              <w:rPr>
                <w:rFonts w:ascii="Arial" w:hAnsi="Arial" w:cs="Arial"/>
                <w:sz w:val="18"/>
                <w:szCs w:val="18"/>
              </w:rPr>
              <w:t>len )</w:t>
            </w:r>
          </w:p>
        </w:tc>
        <w:tc>
          <w:tcPr>
            <w:tcW w:w="1134" w:type="dxa"/>
          </w:tcPr>
          <w:p w:rsidR="00140765" w:rsidRPr="0066109F" w:rsidRDefault="00140765" w:rsidP="0066109F">
            <w:pPr>
              <w:pStyle w:val="TableParagraph"/>
              <w:rPr>
                <w:rFonts w:ascii="Arial" w:hAnsi="Arial" w:cs="Arial"/>
                <w:sz w:val="18"/>
                <w:szCs w:val="18"/>
              </w:rPr>
            </w:pPr>
          </w:p>
          <w:p w:rsidR="00140765" w:rsidRPr="0066109F" w:rsidRDefault="00140765" w:rsidP="0066109F">
            <w:pPr>
              <w:pStyle w:val="TableParagraph"/>
              <w:jc w:val="center"/>
              <w:rPr>
                <w:rFonts w:ascii="Arial" w:hAnsi="Arial" w:cs="Arial"/>
                <w:sz w:val="18"/>
                <w:szCs w:val="18"/>
              </w:rPr>
            </w:pPr>
            <w:r w:rsidRPr="0066109F">
              <w:rPr>
                <w:rFonts w:ascii="Arial" w:hAnsi="Arial" w:cs="Arial"/>
                <w:sz w:val="18"/>
                <w:szCs w:val="18"/>
              </w:rPr>
              <w:t xml:space="preserve">7,9 </w:t>
            </w:r>
            <w:r w:rsidR="00190CE9" w:rsidRPr="0066109F">
              <w:rPr>
                <w:rFonts w:ascii="Arial" w:hAnsi="Arial" w:cs="Arial"/>
                <w:sz w:val="18"/>
                <w:szCs w:val="18"/>
              </w:rPr>
              <w:t>Prozent</w:t>
            </w:r>
          </w:p>
        </w:tc>
      </w:tr>
    </w:tbl>
    <w:p w:rsidR="0034715F" w:rsidRDefault="0034715F" w:rsidP="00140765">
      <w:pPr>
        <w:pStyle w:val="LTAntwortRessortText"/>
        <w:ind w:left="0"/>
      </w:pPr>
    </w:p>
    <w:p w:rsidR="0034715F" w:rsidRPr="00140765" w:rsidRDefault="0034715F" w:rsidP="0034715F">
      <w:pPr>
        <w:pStyle w:val="LTAntwortRessortText"/>
        <w:rPr>
          <w:u w:val="single"/>
        </w:rPr>
      </w:pPr>
      <w:r w:rsidRPr="00140765">
        <w:rPr>
          <w:u w:val="single"/>
        </w:rPr>
        <w:t>Kinderbetreuungseinrichtungen der Bayerischen Polizei in Kooperation mit anderen Trägern</w:t>
      </w:r>
    </w:p>
    <w:p w:rsidR="0034715F" w:rsidRDefault="0034715F" w:rsidP="00140765">
      <w:pPr>
        <w:pStyle w:val="LTAntwortRessortText"/>
        <w:spacing w:before="120"/>
      </w:pPr>
      <w:r>
        <w:t>Polizeipräsidium Oberfranken:</w:t>
      </w:r>
    </w:p>
    <w:p w:rsidR="0034715F" w:rsidRDefault="0066109F" w:rsidP="00C33543">
      <w:pPr>
        <w:pStyle w:val="LTAntwortRessortText"/>
        <w:spacing w:before="120"/>
        <w:ind w:left="680"/>
      </w:pPr>
      <w:r>
        <w:t>-</w:t>
      </w:r>
      <w:r w:rsidR="0034715F">
        <w:t xml:space="preserve"> Kinderhaus Bayreuth: Kooperationsvertrag zwische</w:t>
      </w:r>
      <w:r>
        <w:t>n dem Polizeipräsidium Oberfran</w:t>
      </w:r>
      <w:r w:rsidR="0034715F">
        <w:t>ken und dem Roten Kreuz für das BR</w:t>
      </w:r>
      <w:r>
        <w:t>K-Kinderhaus Bayreuth mit erwei</w:t>
      </w:r>
      <w:r w:rsidR="0034715F">
        <w:t xml:space="preserve">terten Öffnungszeiten, vorrangig für Bedienstete der </w:t>
      </w:r>
      <w:r>
        <w:t>Polizei im Schicht</w:t>
      </w:r>
      <w:r w:rsidR="0034715F">
        <w:t xml:space="preserve">dienst (Betreuungszeit </w:t>
      </w:r>
      <w:r w:rsidR="000C44BA">
        <w:t>0</w:t>
      </w:r>
      <w:r w:rsidR="0034715F">
        <w:t>5</w:t>
      </w:r>
      <w:r w:rsidR="000C44BA">
        <w:t>.</w:t>
      </w:r>
      <w:r w:rsidR="0034715F">
        <w:t>30 bis 21</w:t>
      </w:r>
      <w:r w:rsidR="000C44BA">
        <w:t>.</w:t>
      </w:r>
      <w:r w:rsidR="0034715F">
        <w:t>00 Uhr). Die Einrichtung wurde im September 2014 eröffnet. Insgesamt stehen dem Polizeipräsidium Ob</w:t>
      </w:r>
      <w:r>
        <w:t>erfranken fünf Plätze zur Verfü</w:t>
      </w:r>
      <w:r w:rsidR="0034715F">
        <w:t>gung.</w:t>
      </w:r>
    </w:p>
    <w:p w:rsidR="0034715F" w:rsidRDefault="0034715F" w:rsidP="00C33543">
      <w:pPr>
        <w:pStyle w:val="LTAntwortRessortText"/>
        <w:ind w:left="680"/>
      </w:pPr>
      <w:r>
        <w:t>- Kinderkrippe Bamberg: Kooperationsvertrag zwische</w:t>
      </w:r>
      <w:r w:rsidR="0066109F">
        <w:t>n dem Polizeipräsidium Oberfran</w:t>
      </w:r>
      <w:r>
        <w:t>ken um dem Kompetenzwerk für Bildung und Soziales (KoBiS) für die Kinderkrippe Bamberg mit erweiterten Öffnungszeiten für Bedienstete der Polizei im Schichtdienst (Betreuungszeit 06</w:t>
      </w:r>
      <w:r w:rsidR="000C44BA">
        <w:t>.</w:t>
      </w:r>
      <w:r>
        <w:t>30 bis 19</w:t>
      </w:r>
      <w:r w:rsidR="000C44BA">
        <w:t>.</w:t>
      </w:r>
      <w:r>
        <w:t>00 Uhr). Die Einrichtung wurde im August 2016 eröffnet. Die Einrichtung bietet 15 Ganztagesplätze, hiervon stehen neun Plätze dem Polizeipräsidium Oberfranken zur Verfügung.</w:t>
      </w:r>
    </w:p>
    <w:p w:rsidR="0034715F" w:rsidRDefault="0034715F" w:rsidP="0034715F">
      <w:pPr>
        <w:pStyle w:val="LTAntwortRessortText"/>
      </w:pPr>
      <w:r>
        <w:t>Polizeipräsidium München:</w:t>
      </w:r>
    </w:p>
    <w:p w:rsidR="0034715F" w:rsidRDefault="0034715F" w:rsidP="00C33543">
      <w:pPr>
        <w:pStyle w:val="LTAntwortRessortText"/>
        <w:spacing w:before="120"/>
        <w:ind w:left="680"/>
      </w:pPr>
      <w:r>
        <w:t>- Großtagespflege Tatu Tata: Kinderbetreuungseinric</w:t>
      </w:r>
      <w:r w:rsidR="0066109F">
        <w:t>htung des Polizeipräsidiums Mün</w:t>
      </w:r>
      <w:r>
        <w:t>chen mit finanzieller Förderung durch die Landeshauptstadt München (insgesamt zehn Ganztagesplätze). Die Einrichtung wurde im Dezemb</w:t>
      </w:r>
      <w:r w:rsidR="0066109F">
        <w:t>er 2012 eröffnet. Vorrangig wer</w:t>
      </w:r>
      <w:r>
        <w:t>den Kinder von Dienstkräften des Polizeipräsidiums</w:t>
      </w:r>
      <w:r w:rsidR="0066109F">
        <w:t xml:space="preserve"> München aufgenommen. Sind da</w:t>
      </w:r>
      <w:r>
        <w:t>nach noch Kapazitäten frei, werden diese Angehörigen anderer Polizeidienststellen und danach Beschäftigten des Freistaates Bayern angeboten.</w:t>
      </w:r>
    </w:p>
    <w:p w:rsidR="0034715F" w:rsidRDefault="0034715F" w:rsidP="00386462">
      <w:pPr>
        <w:pStyle w:val="LTAntwortRessortText"/>
      </w:pPr>
      <w:r>
        <w:t>Ein weiterer Bedarf an polizeieigenen Kinderbetreuungseinrichtungen ist derzeit nicht gegeben, da die Beschäftigten einen wohnortnahen Kinderbetreuungsp</w:t>
      </w:r>
      <w:r w:rsidR="0066109F">
        <w:t>latz bevorzugen. Darunter sind – ohne besondere Vereinbarung –</w:t>
      </w:r>
      <w:r>
        <w:t xml:space="preserve"> auch eine nicht erfasste Zahl von Kinderbetreuungsplätzen, die zugleich auch dienstnah situiert sind.</w:t>
      </w:r>
      <w:bookmarkStart w:id="24" w:name="Frage_Nr_11_Ende"/>
      <w:bookmarkEnd w:id="24"/>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34715F" w:rsidTr="007B0B33">
        <w:tc>
          <w:tcPr>
            <w:tcW w:w="2050" w:type="dxa"/>
          </w:tcPr>
          <w:p w:rsidR="0034715F" w:rsidRDefault="0034715F" w:rsidP="0034715F">
            <w:pPr>
              <w:pStyle w:val="LTAnfrageInitiator"/>
            </w:pPr>
            <w:r>
              <w:lastRenderedPageBreak/>
              <w:t>Abgeordneter</w:t>
            </w:r>
            <w:r>
              <w:rPr>
                <w:b/>
              </w:rPr>
              <w:br/>
              <w:t>Stefan</w:t>
            </w:r>
            <w:r>
              <w:rPr>
                <w:b/>
              </w:rPr>
              <w:br/>
              <w:t>Schuster</w:t>
            </w:r>
            <w:r>
              <w:rPr>
                <w:b/>
              </w:rPr>
              <w:br/>
            </w:r>
            <w:r>
              <w:t>(SPD)</w:t>
            </w:r>
            <w:bookmarkStart w:id="25" w:name="Frage_Nr_12"/>
            <w:bookmarkEnd w:id="25"/>
          </w:p>
        </w:tc>
        <w:tc>
          <w:tcPr>
            <w:tcW w:w="7200" w:type="dxa"/>
          </w:tcPr>
          <w:p w:rsidR="0034715F" w:rsidRPr="007F74C9" w:rsidRDefault="007F74C9" w:rsidP="0034715F">
            <w:pPr>
              <w:pStyle w:val="LTAnfrageText"/>
            </w:pPr>
            <w:r w:rsidRPr="007F74C9">
              <w:rPr>
                <w:szCs w:val="24"/>
              </w:rPr>
              <w:t>Ich frage die Staatsregierung, wer ist zuständig für die Unterbringung Geflüchteter aus der Ukraine, welche vorübergehend privat aufgenommen wurden, wenn eine private Beherbergung nicht mehr aufrecht gehalten werden kann – und welche Arten und Kapazitäten von Unterbringungen sind dafür vorgesehen?</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Grundsätzlich steht den Geflüchteten aus der Ukraine jedwed</w:t>
      </w:r>
      <w:r w:rsidR="00ED2B23">
        <w:t>e Form des privaten Mietverhält</w:t>
      </w:r>
      <w:r>
        <w:t>nisses frei, da für diese keine Wohnverpflichtung in einer Asylunterkunft besteht, und sollte vorrangig angestrebt werden. Diejenigen, die selbständig keine Unterkunft finden, haben als Leistungsberechtigte nach dem Asylbewerberleistungsgeset</w:t>
      </w:r>
      <w:r w:rsidR="00ED2B23">
        <w:t>z einen Anspruch auf Angebot ei</w:t>
      </w:r>
      <w:r>
        <w:t>nes Platzes in einer staatlichen Unterkunft. Die Unterbringu</w:t>
      </w:r>
      <w:r w:rsidR="00ED2B23">
        <w:t>ng erfolgt dann durch die Regie</w:t>
      </w:r>
      <w:r>
        <w:t>rung oder das Landratsamt bzw. die kreisfreie Gemei</w:t>
      </w:r>
      <w:r w:rsidR="00ED2B23">
        <w:t>nde am Ort der Zuweisung gem. § </w:t>
      </w:r>
      <w:r>
        <w:t>24 Abs. 4 des Aufenthaltsgesetzes. Hierfür stehen in den seit 4. März 2022 auf Veranlassung des Staatsministeriums des Innern, für Sport und Integration geschaffenen Unterkünften Kapazitäten zur Verfügung, bei denen es sich aber im Wesentlichen um Unterkünfte handelt, die nur für eine kurz- bis mittelfristige Unterbringung geeignet sind, da sie nur zur Üb</w:t>
      </w:r>
      <w:r w:rsidR="00ED2B23">
        <w:t>erbrückung dienen sol</w:t>
      </w:r>
      <w:r>
        <w:t xml:space="preserve">len, bis eine private Wohnung gefunden wurde. Darüber hinaus können auch freie Kapazitäten in den bereits davor bestehenden Asylunterkünften (ANKER, Gemeinschaftsunterkunft oder dezentralen Unterkunft) genutzt werden, soweit diese nicht </w:t>
      </w:r>
      <w:r w:rsidR="00ED2B23">
        <w:t>zur Unterbringung von Asylbewer</w:t>
      </w:r>
      <w:r>
        <w:t>bern, für die eine Wohnverpflichtung besteht, benötigt werden.</w:t>
      </w:r>
    </w:p>
    <w:p w:rsidR="0034715F" w:rsidRDefault="0034715F">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34715F" w:rsidTr="007B0B33">
        <w:tc>
          <w:tcPr>
            <w:tcW w:w="2050" w:type="dxa"/>
          </w:tcPr>
          <w:p w:rsidR="0034715F" w:rsidRDefault="0034715F" w:rsidP="0034715F">
            <w:pPr>
              <w:pStyle w:val="LTAnfrageInitiator"/>
            </w:pPr>
            <w:r>
              <w:lastRenderedPageBreak/>
              <w:t>Abgeordneter</w:t>
            </w:r>
            <w:r>
              <w:rPr>
                <w:b/>
              </w:rPr>
              <w:br/>
              <w:t>Ulrich</w:t>
            </w:r>
            <w:r>
              <w:rPr>
                <w:b/>
              </w:rPr>
              <w:br/>
              <w:t>Singer</w:t>
            </w:r>
            <w:r>
              <w:rPr>
                <w:b/>
              </w:rPr>
              <w:br/>
            </w:r>
            <w:r>
              <w:t>(AfD)</w:t>
            </w:r>
            <w:bookmarkStart w:id="27" w:name="Frage_Nr_13"/>
            <w:bookmarkEnd w:id="27"/>
          </w:p>
        </w:tc>
        <w:tc>
          <w:tcPr>
            <w:tcW w:w="7200" w:type="dxa"/>
          </w:tcPr>
          <w:p w:rsidR="0034715F" w:rsidRPr="007F74C9" w:rsidRDefault="007F74C9" w:rsidP="0034715F">
            <w:pPr>
              <w:pStyle w:val="LTAnfrageText"/>
            </w:pPr>
            <w:r w:rsidRPr="007F74C9">
              <w:rPr>
                <w:szCs w:val="24"/>
              </w:rPr>
              <w:t>Ich frage die Staatsregierung, ob im Falle der Beantragung von Sozialleistungen (z. B. nach dem Asylbewerberleistungsgesetz) von Seiten ukrainischer Flüchtlinge hierzu momentan eine Bedürftigkeitsprüfung stattfindet, falls ja, wie gestaltet sich die Bedürftigkeitsprüfung im Detail und Ablauf (mündliche/schriftliche Befragung, Abfrage ukrainischer Behörden, Berücksichtigung mitgeführter Wertgegenstände wie Schmuck und Auto oder sonstiger zugänglicher Vermögenswerte, etc.) und wie viele der in Bayern registrierten ukrainischen Flüchtlinge haben bereits einen Antrag auf Sozialleistungen gestellt (Angabe absolut und in Prozent)?</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Die Gewährung von Asylbewerberleistungen an Kriegsflüchtlinge aus der Ukraine erfolgt auf Grundlage der entsprechenden gesetzlichen Vorgaben: Im Anwendungsbereich des A</w:t>
      </w:r>
      <w:r w:rsidR="00B45193">
        <w:t>sylbewer</w:t>
      </w:r>
      <w:r>
        <w:t>berleistungsgesetzes (AsylbLG) gilt der sog. Nachranggrundsatz, d.</w:t>
      </w:r>
      <w:r w:rsidR="00B45193">
        <w:t> </w:t>
      </w:r>
      <w:r>
        <w:t>h. das Einkommen und das Vermögen der Leistungsberechtigten und ihrer Familienangehörigen, die im selben Haushalt leben, ist vor dem Be</w:t>
      </w:r>
      <w:r w:rsidR="00B45193">
        <w:t>zug von Asylbewerberleistungen –</w:t>
      </w:r>
      <w:r>
        <w:t xml:space="preserve"> bis auf besti</w:t>
      </w:r>
      <w:r w:rsidR="00B45193">
        <w:t>mmte Freibeträge – aufzu</w:t>
      </w:r>
      <w:r>
        <w:t>brauchen, soweit darü</w:t>
      </w:r>
      <w:r w:rsidR="00B45193">
        <w:t>ber verfügt werden kann (vgl. § </w:t>
      </w:r>
      <w:r>
        <w:t>7 As</w:t>
      </w:r>
      <w:r w:rsidR="00EC763B">
        <w:t>ylbLG). Die zuständige Leitungs</w:t>
      </w:r>
      <w:r>
        <w:t>behörde kann nach pflichtgemäßen Ermessen auch vorhande</w:t>
      </w:r>
      <w:r w:rsidR="00B45193">
        <w:t>ne Vermögenswerte der Leistungs</w:t>
      </w:r>
      <w:r>
        <w:t>ber</w:t>
      </w:r>
      <w:r w:rsidR="00B45193">
        <w:t>echtigten sicherstellen (vgl. § </w:t>
      </w:r>
      <w:r>
        <w:t>7a AsylbLG). Das nach</w:t>
      </w:r>
      <w:r w:rsidR="00B45193">
        <w:t xml:space="preserve"> § </w:t>
      </w:r>
      <w:r>
        <w:t>7</w:t>
      </w:r>
      <w:r w:rsidR="00B45193">
        <w:t>a Satz 1 AsylbLG eingeräumte Er</w:t>
      </w:r>
      <w:r>
        <w:t>messen ist mit besonderem Blick auf den Einzelfall und die ak</w:t>
      </w:r>
      <w:r w:rsidR="00B45193">
        <w:t>tuelle Situation auszuüben. Ins</w:t>
      </w:r>
      <w:r>
        <w:t>besondere ist nicht auszuschließen, dass es sich bei PKWs</w:t>
      </w:r>
      <w:r w:rsidR="00B45193">
        <w:t xml:space="preserve"> der Kriegsflüchtlinge um Vermö</w:t>
      </w:r>
      <w:r>
        <w:t>gensgegenstände handelt, die zur Aufnahme oder Fortsetzung der Berufsausbildung oder der Erwerbstätig</w:t>
      </w:r>
      <w:r w:rsidR="00B45193">
        <w:t>keit unentbehrlich sind (vgl. § </w:t>
      </w:r>
      <w:r>
        <w:t>7 Abs. 5 Satz 2 AsylbLG), nicht zuletzt vor dem Hintergrund, dass die betreffenden Personen bei Erhalt des A</w:t>
      </w:r>
      <w:r w:rsidR="00B45193">
        <w:t>ufenthaltstitels auch Arbeitser</w:t>
      </w:r>
      <w:r>
        <w:t>laubnisse erhalten we</w:t>
      </w:r>
      <w:r w:rsidR="00B45193">
        <w:t>rden (vgl. § </w:t>
      </w:r>
      <w:r>
        <w:t>24 Abs. 6 Aufenthaltsgesetz (Aufenth</w:t>
      </w:r>
      <w:r w:rsidR="00B45193">
        <w:t>G)). Eine Einsatzpflicht nach § </w:t>
      </w:r>
      <w:r>
        <w:t>7 Abs. 1 Satz 1 AsylbLG würde in diesem Fall nicht bestehen.</w:t>
      </w:r>
    </w:p>
    <w:p w:rsidR="0034715F" w:rsidRDefault="0034715F" w:rsidP="0034715F">
      <w:pPr>
        <w:pStyle w:val="LTAntwortRessortText"/>
      </w:pPr>
      <w:r>
        <w:t xml:space="preserve">Zur Zahl der bereits gewährten Asylbewerberleistungen kann Folgendes mitgeteilt werden: Stand 02.05.2022 haben in </w:t>
      </w:r>
      <w:r w:rsidR="00B45193">
        <w:t>Bayern ca. 118 </w:t>
      </w:r>
      <w:r>
        <w:t>800 Kriegsflücht</w:t>
      </w:r>
      <w:r w:rsidR="00B45193">
        <w:t>linge aus der Ukraine Asylbewer</w:t>
      </w:r>
      <w:r>
        <w:t>b</w:t>
      </w:r>
      <w:r w:rsidR="00B45193">
        <w:t>erleistungen erhalten, davon 32 </w:t>
      </w:r>
      <w:r>
        <w:t>700 eine staatliche Unterkunft.</w:t>
      </w:r>
    </w:p>
    <w:p w:rsidR="0034715F" w:rsidRDefault="0034715F">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34715F" w:rsidTr="007B0B33">
        <w:tc>
          <w:tcPr>
            <w:tcW w:w="2050" w:type="dxa"/>
          </w:tcPr>
          <w:p w:rsidR="0034715F" w:rsidRDefault="0034715F" w:rsidP="0034715F">
            <w:pPr>
              <w:pStyle w:val="LTAnfrageInitiator"/>
            </w:pPr>
            <w:r>
              <w:lastRenderedPageBreak/>
              <w:t>Abgeordneter</w:t>
            </w:r>
            <w:r w:rsidR="00EC763B">
              <w:rPr>
                <w:b/>
              </w:rPr>
              <w:br/>
              <w:t>Arif</w:t>
            </w:r>
            <w:r w:rsidR="00EC763B">
              <w:rPr>
                <w:b/>
              </w:rPr>
              <w:br/>
              <w:t>Ta</w:t>
            </w:r>
            <w:r w:rsidR="00EC763B">
              <w:rPr>
                <w:rFonts w:cs="Arial"/>
                <w:b/>
              </w:rPr>
              <w:t>ş</w:t>
            </w:r>
            <w:r>
              <w:rPr>
                <w:b/>
              </w:rPr>
              <w:t>delen</w:t>
            </w:r>
            <w:r>
              <w:rPr>
                <w:b/>
              </w:rPr>
              <w:br/>
            </w:r>
            <w:r>
              <w:t>(SPD)</w:t>
            </w:r>
            <w:bookmarkStart w:id="29" w:name="Frage_Nr_14"/>
            <w:bookmarkEnd w:id="29"/>
          </w:p>
        </w:tc>
        <w:tc>
          <w:tcPr>
            <w:tcW w:w="7200" w:type="dxa"/>
          </w:tcPr>
          <w:p w:rsidR="0034715F" w:rsidRPr="007F74C9" w:rsidRDefault="007F74C9" w:rsidP="00EC09FF">
            <w:pPr>
              <w:pStyle w:val="LTAnfrageText"/>
            </w:pPr>
            <w:r w:rsidRPr="007F74C9">
              <w:rPr>
                <w:szCs w:val="24"/>
              </w:rPr>
              <w:t>Ich frage die Staatsregierung, worauf beruht die Entscheidung, den früheren Leiter der Münchner Wiesn-Wache nach einer rechtskräftigen Verurteilung zunächst ins Landesamt für Gesundheit und Lebensmittelsicherheit (LGL) und dann zum Vize-Chef der Bereitschaftspolizei in Dachau zu befördern, welchen Stand hat das Disziplinarverfahren gegen ihn und wer hat entschieden, ausgerechnet einen Beamten, gegen den ein Strafverfahren wegen Geheimnisverrats lief, zum Leiter der Unterstützungsgruppe zu machen, die für Maskenkäufe des Freistaates zuständig war?</w:t>
            </w:r>
          </w:p>
        </w:tc>
      </w:tr>
    </w:tbl>
    <w:p w:rsidR="0034715F" w:rsidRDefault="0034715F" w:rsidP="0034715F">
      <w:pPr>
        <w:pStyle w:val="LTUeberschrAntwortRessort"/>
      </w:pPr>
      <w:r>
        <w:t>Antwort des Staatsministeriums des Innern, für Sport und Integration</w:t>
      </w:r>
    </w:p>
    <w:p w:rsidR="0034715F" w:rsidRDefault="0034715F" w:rsidP="0034715F">
      <w:pPr>
        <w:pStyle w:val="LTAntwortRessortText"/>
      </w:pPr>
      <w:r>
        <w:t>Der Beamte wurde aufgrund seiner umfangreichen Erfahrun</w:t>
      </w:r>
      <w:r w:rsidR="00BC0F26">
        <w:t>gen in Stabsarbeit und beim Auf</w:t>
      </w:r>
      <w:r>
        <w:t>bau derartiger Organisationseinheiten Leiter einer polizeilichen Unterstützung</w:t>
      </w:r>
      <w:r w:rsidR="00BC0F26">
        <w:t>sgruppe des Lan</w:t>
      </w:r>
      <w:r>
        <w:t>desamts für Gesundheit und Lebensmittelsicherheit. Diese Tätigkeit nahm er vom 28. März 2020 bis 30. Juni 2020 wahr.</w:t>
      </w:r>
    </w:p>
    <w:p w:rsidR="0034715F" w:rsidRDefault="0034715F" w:rsidP="0034715F">
      <w:pPr>
        <w:pStyle w:val="LTAntwortRessortText"/>
      </w:pPr>
      <w:r>
        <w:t>Der Beamte wurde zum 1. April 2020 befördert, da die reguläre Wartezeit abgelaufen war und nach Einbindung des Polizeipräsidiums München eine Beför</w:t>
      </w:r>
      <w:r w:rsidR="00BC0F26">
        <w:t>derung in die Wege geleitet wer</w:t>
      </w:r>
      <w:r>
        <w:t>den konnte. Näheres kann insbesondere der Antwort des Staatsministeriums des Innern, für Sport und Integration vom 25. Januar 2021 zu Frage 4.2 der</w:t>
      </w:r>
      <w:r w:rsidR="00BC0F26">
        <w:t xml:space="preserve"> Schriftlichen Anfrage der Abge</w:t>
      </w:r>
      <w:r>
        <w:t>ordneten Katharina Sc</w:t>
      </w:r>
      <w:r w:rsidR="00BC0F26">
        <w:t>hulze vom 9. </w:t>
      </w:r>
      <w:r>
        <w:t>Dezember 2020 (Drs. 18/12553 vom 12. März 2021) entnommen werden.</w:t>
      </w:r>
    </w:p>
    <w:p w:rsidR="0034715F" w:rsidRDefault="0034715F" w:rsidP="0034715F">
      <w:pPr>
        <w:pStyle w:val="LTAntwortRessortText"/>
      </w:pPr>
      <w:r>
        <w:t>Mit Wirkung zum 24. November 2020 wurde der Beamte zum Landesamt für Gesundheit und Lebensmittelsicherheit abgeordnet und war dort mit der Koo</w:t>
      </w:r>
      <w:r w:rsidR="00BC0F26">
        <w:t>rdination von Logistikfragen be</w:t>
      </w:r>
      <w:r>
        <w:t>fasst sowie im Rahmen des Aufbaus von Impfzentren eingesetzt.</w:t>
      </w:r>
    </w:p>
    <w:p w:rsidR="0034715F" w:rsidRDefault="0034715F" w:rsidP="0034715F">
      <w:pPr>
        <w:pStyle w:val="LTAntwortRessortText"/>
      </w:pPr>
      <w:r>
        <w:t>Das Disziplinarverfahren gegen den Beamten ist abgeschlossen.</w:t>
      </w:r>
    </w:p>
    <w:p w:rsidR="0034715F" w:rsidRDefault="0034715F" w:rsidP="0034715F">
      <w:pPr>
        <w:pStyle w:val="LTAntwortRessortText"/>
      </w:pPr>
      <w:r>
        <w:t>Seit 1. Oktober 2021 ist der Beamte bei der VI. Abteilung der Bereitschaftspolizei in Dachau als stellvertretender Abteilungsführer tätig. Die Po</w:t>
      </w:r>
      <w:r w:rsidR="00BC0F26">
        <w:t>sition ermöglicht keine Beförde</w:t>
      </w:r>
      <w:r>
        <w:t>rung über die Besoldungsgruppe A 15 hinaus und stellt insofern nur eine neue Verwendung und keine Beförderung für den Beamten dar.</w:t>
      </w:r>
    </w:p>
    <w:p w:rsidR="0034715F" w:rsidRDefault="0034715F">
      <w:bookmarkStart w:id="30" w:name="Frage_Nr_14_Ende"/>
      <w:bookmarkEnd w:id="30"/>
      <w:r>
        <w:br w:type="page"/>
      </w:r>
    </w:p>
    <w:p w:rsidR="0034715F" w:rsidRDefault="0034715F" w:rsidP="0034715F">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715F" w:rsidTr="007B0B33">
        <w:tc>
          <w:tcPr>
            <w:tcW w:w="2050" w:type="dxa"/>
          </w:tcPr>
          <w:p w:rsidR="0034715F" w:rsidRDefault="0034715F" w:rsidP="0034715F">
            <w:pPr>
              <w:pStyle w:val="LTAnfrageInitiator"/>
            </w:pPr>
            <w:r>
              <w:t>Abgeordneter</w:t>
            </w:r>
            <w:r>
              <w:rPr>
                <w:b/>
              </w:rPr>
              <w:br/>
              <w:t>Dr. Markus</w:t>
            </w:r>
            <w:r>
              <w:rPr>
                <w:b/>
              </w:rPr>
              <w:br/>
              <w:t>Büchler</w:t>
            </w:r>
            <w:r>
              <w:rPr>
                <w:b/>
              </w:rPr>
              <w:br/>
            </w:r>
            <w:r>
              <w:t>(BÜNDNIS 90/DIE GRÜNEN)</w:t>
            </w:r>
            <w:bookmarkStart w:id="31" w:name="Frage_Nr_15"/>
            <w:bookmarkEnd w:id="31"/>
          </w:p>
        </w:tc>
        <w:tc>
          <w:tcPr>
            <w:tcW w:w="7200" w:type="dxa"/>
          </w:tcPr>
          <w:p w:rsidR="0034715F" w:rsidRPr="007F74C9" w:rsidRDefault="007F74C9" w:rsidP="0034715F">
            <w:pPr>
              <w:pStyle w:val="LTAnfrageText"/>
            </w:pPr>
            <w:r w:rsidRPr="007F74C9">
              <w:rPr>
                <w:szCs w:val="24"/>
              </w:rPr>
              <w:t>Ich frage die Staatsregierung, wie ist der Stand in Sachen Branchenvereinbarung mit den kommunalen Spitzenverbänden und den Verkehrsunternehmensverbänden, die die Mindestziele für die Beschaffung sauberer Straßenfahrzeuge regeln soll, wie ist der Stand der Überarbeitung der Busförderung des Freistaates, inwieweit wurden 2021 die Vorgaben der Clean Vehicles Directive (CVD) in Bayern eingehalten?</w:t>
            </w:r>
          </w:p>
        </w:tc>
      </w:tr>
    </w:tbl>
    <w:p w:rsidR="0034715F" w:rsidRDefault="0034715F" w:rsidP="0034715F">
      <w:pPr>
        <w:pStyle w:val="LTUeberschrAntwortRessort"/>
      </w:pPr>
      <w:r>
        <w:t>Antwort des Staatsministeriums für Wohnen, Bau und Verkehr</w:t>
      </w:r>
    </w:p>
    <w:p w:rsidR="0034715F" w:rsidRDefault="0034715F" w:rsidP="0034715F">
      <w:pPr>
        <w:pStyle w:val="LTAntwortRessortText"/>
      </w:pPr>
      <w:r>
        <w:t>Ziel ist der Abschluss einer länderübergreifen</w:t>
      </w:r>
      <w:r w:rsidR="0012774B">
        <w:t>den Branchenvereinbarung, hilfs</w:t>
      </w:r>
      <w:r>
        <w:t>weise einer Branchenvereinbarung für den Öffentlichen Personennahverkehr auf Landesebene. Hierzu laufen Gespräche mit a</w:t>
      </w:r>
      <w:r w:rsidR="0012774B">
        <w:t>nderen Ländern innerhalb des Ar</w:t>
      </w:r>
      <w:r>
        <w:t>beitskreises Öffentlicher Personenverkehr de</w:t>
      </w:r>
      <w:r w:rsidR="0012774B">
        <w:t>r Länder-Verkehrsminister-Konfe</w:t>
      </w:r>
      <w:r>
        <w:t>renz, den kommunalen Spitzenverbänden und</w:t>
      </w:r>
      <w:r w:rsidR="0012774B">
        <w:t xml:space="preserve"> den Verkehrsunternehmensverbän</w:t>
      </w:r>
      <w:r>
        <w:t>den.</w:t>
      </w:r>
    </w:p>
    <w:p w:rsidR="0034715F" w:rsidRDefault="0034715F" w:rsidP="0034715F">
      <w:pPr>
        <w:pStyle w:val="LTAntwortRessortText"/>
      </w:pPr>
      <w:r>
        <w:t>Die Busförderung wurde entsprechend der Re</w:t>
      </w:r>
      <w:r w:rsidR="0012774B">
        <w:t>gierungserklärung Klimaland Bay</w:t>
      </w:r>
      <w:r>
        <w:t>ern vom 21. Juli 2021 überarbeitet. Sie sieht eine Priorisierung emissionsarmer und emissionsfreier Busse bei der Förderung vor. Konventionelle Dieselbusse werden nachrangig gefördert, wobei in Abhängi</w:t>
      </w:r>
      <w:r w:rsidR="0012774B">
        <w:t>gkeit von Streckenlänge und Ver</w:t>
      </w:r>
      <w:r>
        <w:t>fügbarkeit von Ladeinfrastruktur eine höhere Priorisierung in Frage kommen kann, um den Belangen des ländlichen Raum</w:t>
      </w:r>
      <w:r w:rsidR="0012774B">
        <w:t>s Rechnung zu tragen. Mit Veröf</w:t>
      </w:r>
      <w:r>
        <w:t>fentlichung des Staatshaushalts 2022 liegen die</w:t>
      </w:r>
      <w:r w:rsidR="0012774B">
        <w:t xml:space="preserve"> Voraussetzungen für die Mittel</w:t>
      </w:r>
      <w:r>
        <w:t>verteilung vor.</w:t>
      </w:r>
    </w:p>
    <w:p w:rsidR="0034715F" w:rsidRDefault="0034715F" w:rsidP="0034715F">
      <w:pPr>
        <w:pStyle w:val="LTAntwortRessortText"/>
      </w:pPr>
      <w:r>
        <w:t>Sowohl die Richtlinie (EU) 2019/1161 des Eur</w:t>
      </w:r>
      <w:r w:rsidR="0012774B">
        <w:t>opäischen Parlaments und des Ra</w:t>
      </w:r>
      <w:r>
        <w:t>tes vom 20. Juni 2019 zur Änderung der Richt</w:t>
      </w:r>
      <w:r w:rsidR="0012774B">
        <w:t>linie 2009/33/EG über die Förde</w:t>
      </w:r>
      <w:r>
        <w:t>rung sauberer und energieeffizienter Straßenfah</w:t>
      </w:r>
      <w:r w:rsidR="0012774B">
        <w:t>rzeuge als auch das vom Bund er</w:t>
      </w:r>
      <w:r>
        <w:t>lassene Gesetz über die Beschaffung sauberer</w:t>
      </w:r>
      <w:r w:rsidR="0012774B">
        <w:t xml:space="preserve"> Straßenfahrzeuge (Saubere Fahrzeuge-Beschaffungs-Gesetz –</w:t>
      </w:r>
      <w:r>
        <w:t xml:space="preserve"> SaubFahrzeugBe</w:t>
      </w:r>
      <w:r w:rsidR="0012774B">
        <w:t>schG) sehen als ersten Referenz</w:t>
      </w:r>
      <w:r>
        <w:t>zeitraum für die Einhaltung der Quote die Zeit vom 2. A</w:t>
      </w:r>
      <w:r w:rsidR="0012774B">
        <w:t>ugust 2021 bis zum 31. Dezember </w:t>
      </w:r>
      <w:r>
        <w:t>2025 vor. Bis zum Ende dieses Refere</w:t>
      </w:r>
      <w:r w:rsidR="0012774B">
        <w:t>nzzeitraums ist die Quote einzu</w:t>
      </w:r>
      <w:r>
        <w:t>halten. Daher kann jetzt noch keine Aussage zur Einhaltung der Quote getroffen werden.</w:t>
      </w:r>
    </w:p>
    <w:p w:rsidR="0034715F" w:rsidRDefault="0034715F">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715F" w:rsidTr="007B0B33">
        <w:tc>
          <w:tcPr>
            <w:tcW w:w="2050" w:type="dxa"/>
          </w:tcPr>
          <w:p w:rsidR="0034715F" w:rsidRDefault="0034715F" w:rsidP="0034715F">
            <w:pPr>
              <w:pStyle w:val="LTAnfrageInitiator"/>
            </w:pPr>
            <w:r>
              <w:lastRenderedPageBreak/>
              <w:t>Abgeordneter</w:t>
            </w:r>
            <w:r>
              <w:rPr>
                <w:b/>
              </w:rPr>
              <w:br/>
              <w:t>Maximilian</w:t>
            </w:r>
            <w:r>
              <w:rPr>
                <w:b/>
              </w:rPr>
              <w:br/>
              <w:t>Deisenhofer</w:t>
            </w:r>
            <w:r>
              <w:rPr>
                <w:b/>
              </w:rPr>
              <w:br/>
            </w:r>
            <w:r>
              <w:t>(BÜNDNIS 90/DIE GRÜNEN)</w:t>
            </w:r>
            <w:bookmarkStart w:id="33" w:name="Frage_Nr_16"/>
            <w:bookmarkEnd w:id="33"/>
          </w:p>
        </w:tc>
        <w:tc>
          <w:tcPr>
            <w:tcW w:w="7200" w:type="dxa"/>
          </w:tcPr>
          <w:p w:rsidR="0034715F" w:rsidRPr="007F74C9" w:rsidRDefault="007F74C9" w:rsidP="00DE2E7E">
            <w:pPr>
              <w:pStyle w:val="LTAnfrageText"/>
            </w:pPr>
            <w:r w:rsidRPr="007F74C9">
              <w:rPr>
                <w:szCs w:val="24"/>
              </w:rPr>
              <w:t>Ich frage die Staatsregierung, an welchen Bahnhöfen bzw. Bahnsteigen in Schwaben ist der barrierefreie Aus- bzw. Umbau nach Kenntnis der Staatsregierung beschlossen (bitte unter Angabe des Baubeginns), wie viele Mittel des Landes bzw. des Bundes werden dafür jeweils bereitgestellt (bitte nach Bahnhalt aufgeschlüsselt) und welche Anstrengungen unternimmt sie, um den personenbedienten Verkauf von Nah- und Fernverkehrs-Fahrkarten am Bahnhof Günzburg, der durch den Ausbau der Bahnlinie Ulm</w:t>
            </w:r>
            <w:r w:rsidR="00DE2E7E">
              <w:rPr>
                <w:szCs w:val="24"/>
              </w:rPr>
              <w:t>–</w:t>
            </w:r>
            <w:r w:rsidRPr="007F74C9">
              <w:rPr>
                <w:szCs w:val="24"/>
              </w:rPr>
              <w:t>Augsburg erwartungsgemäß an Bedeutung gewinnen wird, langfristig zu erhalten?</w:t>
            </w:r>
          </w:p>
        </w:tc>
      </w:tr>
    </w:tbl>
    <w:p w:rsidR="0034715F" w:rsidRDefault="0034715F" w:rsidP="0034715F">
      <w:pPr>
        <w:pStyle w:val="LTUeberschrAntwortRessort"/>
      </w:pPr>
      <w:r>
        <w:t>Antwort des Staatsministeriums für Wohnen, Bau und Verkehr</w:t>
      </w:r>
    </w:p>
    <w:p w:rsidR="0034715F" w:rsidRDefault="0034715F" w:rsidP="0034715F">
      <w:pPr>
        <w:pStyle w:val="LTAntwortRessortText"/>
      </w:pPr>
      <w:r>
        <w:t>Für den Erhalt und Ausbau der Schieneninfrastruktur ist gemäß Grundgesetz der Bund verantwortlich. Dazu gehört auch der bar</w:t>
      </w:r>
      <w:r w:rsidR="00924A4A">
        <w:t>rierefreie Ausbau der DB-Statio</w:t>
      </w:r>
      <w:r>
        <w:t>nen. Bislang ist noch nicht einmal die Hälfte der Stationen in Bayern barrierefrei. Der Freistaat engagiert sich freiwillig mit Landesmittel</w:t>
      </w:r>
      <w:r w:rsidR="00924A4A">
        <w:t>n, um den Ausbau zu be</w:t>
      </w:r>
      <w:r>
        <w:t>schleunigen.</w:t>
      </w:r>
    </w:p>
    <w:p w:rsidR="0034715F" w:rsidRDefault="0034715F" w:rsidP="0034715F">
      <w:pPr>
        <w:pStyle w:val="LTAntwortRessortText"/>
      </w:pPr>
      <w:r>
        <w:t>Nach Kenntnis der Staatsregierung ist aktuell der barrierefreie Um- bzw. Ausbau von 39 Stationen in Schwaben beschlossen (siehe Anlage</w:t>
      </w:r>
      <w:r w:rsidR="00F67A83">
        <w:t xml:space="preserve"> </w:t>
      </w:r>
      <w:r w:rsidR="00F67A83" w:rsidRPr="00F67A83">
        <w:rPr>
          <w:rStyle w:val="LTHyperlinkZchn"/>
          <w:b w:val="0"/>
        </w:rPr>
        <w:t>*)</w:t>
      </w:r>
      <w:r>
        <w:t>).</w:t>
      </w:r>
    </w:p>
    <w:p w:rsidR="0034715F" w:rsidRDefault="0034715F" w:rsidP="0034715F">
      <w:pPr>
        <w:pStyle w:val="LTAntwortRessortText"/>
      </w:pPr>
      <w:r>
        <w:t>Die Finanzierung der investiven Maßnahmen er</w:t>
      </w:r>
      <w:r w:rsidR="00924A4A">
        <w:t>folgt über unterschiedliche Bun</w:t>
      </w:r>
      <w:r>
        <w:t xml:space="preserve">des- bzw. Landesfördermodelle. Maßnahmen </w:t>
      </w:r>
      <w:r w:rsidR="00924A4A">
        <w:t>aus der Leistungs- und Finanzie</w:t>
      </w:r>
      <w:r>
        <w:t>rungsvereinbarung (LuFV), dem Bundesverkehrswegeplan (BVWP) un</w:t>
      </w:r>
      <w:r w:rsidR="00EC763B">
        <w:t>d be</w:t>
      </w:r>
      <w:r>
        <w:t xml:space="preserve">stimmten Sonderprogrammen wie </w:t>
      </w:r>
      <w:r w:rsidR="00190CE9">
        <w:t>z. B.</w:t>
      </w:r>
      <w:r>
        <w:t xml:space="preserve"> Förderinit</w:t>
      </w:r>
      <w:r w:rsidR="00924A4A">
        <w:t>iative zur Attraktivitätssteige</w:t>
      </w:r>
      <w:r>
        <w:t>rung und Barrierefreiheit von Bahnhöfen (FABB)</w:t>
      </w:r>
      <w:r w:rsidR="00924A4A">
        <w:t xml:space="preserve"> 1 werden rein aus Bundesmit</w:t>
      </w:r>
      <w:r>
        <w:t>teln finanziert. Die Maßnahmen aus dem Sonderprogramm FABB 2, worunter der Ausbau des Bahnhofs Kaufbeuren als schwäbische Station fällt, werden vom Freistaat zur Hälfte kofinanziert. Die Projekte des Bayern-Paket II, worunter in Schwaben die Bahnhöfe Donauwörth und Kempten fallen, fördert der Freistaat zu 80</w:t>
      </w:r>
      <w:r w:rsidR="00DE2E7E">
        <w:t> </w:t>
      </w:r>
      <w:r w:rsidR="00190CE9">
        <w:t>Prozent</w:t>
      </w:r>
      <w:r>
        <w:t xml:space="preserve"> mit Landesmitteln.</w:t>
      </w:r>
    </w:p>
    <w:p w:rsidR="0034715F" w:rsidRDefault="0034715F" w:rsidP="0034715F">
      <w:pPr>
        <w:pStyle w:val="LTAntwortRessortText"/>
      </w:pPr>
      <w:r>
        <w:t>Das Gesamtinvestitionsvolumen beim barrierefreien Ausbau in Schwaben liegt im dreistelligen Millionenbereich. Eine detaillierte Aufschlüsselung au</w:t>
      </w:r>
      <w:r w:rsidR="00924A4A">
        <w:t>f die ein</w:t>
      </w:r>
      <w:r>
        <w:t>zelnen Maßnahmen kann in der Kürze der Zeit n</w:t>
      </w:r>
      <w:r w:rsidR="00924A4A">
        <w:t>icht zur Verfügung gestellt wer</w:t>
      </w:r>
      <w:r>
        <w:t>den.</w:t>
      </w:r>
    </w:p>
    <w:p w:rsidR="0034715F" w:rsidRDefault="0034715F" w:rsidP="0034715F">
      <w:pPr>
        <w:pStyle w:val="LTAntwortRessortText"/>
      </w:pPr>
      <w:r>
        <w:t>Am Standort Günzburg fordert und finanziert der Freistaat bei Go Ahead Bayern ein Kundenzentrum, das Tickets für den Schienenpersonennahverkehr (SPNV) verkauft, mit 40 Stunden Wochenöffnungszei</w:t>
      </w:r>
      <w:r w:rsidR="00524C66">
        <w:t>t während der gesamten Vertrags</w:t>
      </w:r>
      <w:r>
        <w:t>laufzeit bis 2033. Die Beauftragung des Verkaufs von Fernverkehrstickets ist nicht die Aufgabe des Freistaates, eine Finanzierung aus Regionalisierungsmitteln ist nicht möglich.</w:t>
      </w:r>
    </w:p>
    <w:p w:rsidR="0034715F" w:rsidRDefault="0034715F" w:rsidP="0034715F">
      <w:pPr>
        <w:pStyle w:val="LTAntwortRessortText"/>
      </w:pPr>
      <w:r>
        <w:t>Eine Beauftragung des Vertriebs von Fernverk</w:t>
      </w:r>
      <w:r w:rsidR="00524C66">
        <w:t>ehrstickets in den Ausschreibun</w:t>
      </w:r>
      <w:r>
        <w:t>gen kann aus juristischen Gründen nicht verbindlich vorgegeben werden. Die Vereinbarung ist nur zwischen dem im Netz t</w:t>
      </w:r>
      <w:r w:rsidR="00524C66">
        <w:t>ätigen SPNV-Eisenbahnverkehrsun</w:t>
      </w:r>
      <w:r>
        <w:t>ternehmen (</w:t>
      </w:r>
      <w:r w:rsidR="00190CE9">
        <w:t>z. B.</w:t>
      </w:r>
      <w:r>
        <w:t xml:space="preserve"> Go Ahead Bayern) und der DB Fernverkehr AG möglich.</w:t>
      </w:r>
    </w:p>
    <w:p w:rsidR="0034715F" w:rsidRDefault="0034715F" w:rsidP="0034715F">
      <w:pPr>
        <w:pStyle w:val="LTAntwortRessortText"/>
      </w:pPr>
    </w:p>
    <w:p w:rsidR="0034715F" w:rsidRDefault="00F67A83" w:rsidP="0034715F">
      <w:pPr>
        <w:pStyle w:val="LTAntwortRessortText"/>
      </w:pPr>
      <w:r w:rsidRPr="00F67A83">
        <w:rPr>
          <w:rStyle w:val="LTHyperlinkZchn"/>
          <w:b w:val="0"/>
        </w:rPr>
        <w:lastRenderedPageBreak/>
        <w:t>*)</w:t>
      </w:r>
      <w:r>
        <w:t xml:space="preserve"> Von einem Abdruck wurde abgesehen. Die Anlage ist als pdf-Dokument </w:t>
      </w:r>
      <w:hyperlink r:id="rId15" w:history="1">
        <w:r w:rsidRPr="00F67A83">
          <w:rPr>
            <w:rStyle w:val="LTHyperlinkZchn"/>
            <w:b w:val="0"/>
          </w:rPr>
          <w:t>hier</w:t>
        </w:r>
      </w:hyperlink>
      <w:r>
        <w:t xml:space="preserve"> einsehbar.</w:t>
      </w:r>
    </w:p>
    <w:p w:rsidR="0034715F" w:rsidRDefault="0034715F">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1"/>
        <w:gridCol w:w="5765"/>
      </w:tblGrid>
      <w:tr w:rsidR="0034715F" w:rsidTr="007B0B33">
        <w:tc>
          <w:tcPr>
            <w:tcW w:w="2050" w:type="dxa"/>
          </w:tcPr>
          <w:p w:rsidR="0034715F" w:rsidRDefault="0034715F" w:rsidP="0034715F">
            <w:pPr>
              <w:pStyle w:val="LTAnfrageInitiator"/>
            </w:pPr>
            <w:r>
              <w:lastRenderedPageBreak/>
              <w:t>Abgeordnete</w:t>
            </w:r>
            <w:r>
              <w:rPr>
                <w:b/>
              </w:rPr>
              <w:br/>
              <w:t>Natascha</w:t>
            </w:r>
            <w:r>
              <w:rPr>
                <w:b/>
              </w:rPr>
              <w:br/>
              <w:t>Kohnen</w:t>
            </w:r>
            <w:r>
              <w:rPr>
                <w:b/>
              </w:rPr>
              <w:br/>
            </w:r>
            <w:r>
              <w:t>(SPD)</w:t>
            </w:r>
            <w:bookmarkStart w:id="35" w:name="Frage_Nr_17"/>
            <w:bookmarkEnd w:id="35"/>
          </w:p>
        </w:tc>
        <w:tc>
          <w:tcPr>
            <w:tcW w:w="7200" w:type="dxa"/>
          </w:tcPr>
          <w:p w:rsidR="0034715F" w:rsidRPr="00FC3E19" w:rsidRDefault="00FC3E19" w:rsidP="0034715F">
            <w:pPr>
              <w:pStyle w:val="LTAnfrageText"/>
            </w:pPr>
            <w:r w:rsidRPr="00FC3E19">
              <w:rPr>
                <w:szCs w:val="24"/>
              </w:rPr>
              <w:t>Ich frage die Staatsregierung, in Bezug auf Wohnraumförderung für inklusive Wohngruppen/ Pflege-WGs, ob sie zukünftig ihre Förderungsbestimmungen so öffnen möchte, dass verschiedene Förderarten (EOF, kommunale Förderung) kombiniert werden können (falls nein, bitte Angabe des Grundes) und ob sie Verbesserungspläne für eine Überarbeitung und Flexibilisierung der Wohnungsbauförderung mit dem Ziel verfolgt, das Dilemma zu beheben, dass künftige Bewohnerinnen bzw. Bewohner zum Zeitpunkt der Antragstellung auf Wohnungsbauförderung noch gar nicht feststehen und Träger die Gruppen zum gegebenen Zeitpunkt rein nach dem Kriterium Einkommen zusammenstellen müssen, ohne dass dabei soziale, menschliche und charakterliche Voraussetzungen für „inklusives“ Wohnen berücksichtigt werden können?</w:t>
            </w:r>
          </w:p>
        </w:tc>
      </w:tr>
    </w:tbl>
    <w:p w:rsidR="0034715F" w:rsidRDefault="0034715F" w:rsidP="0034715F">
      <w:pPr>
        <w:pStyle w:val="LTUeberschrAntwortRessort"/>
      </w:pPr>
      <w:r>
        <w:t>Antwort des Staatsministeriums für Wohnen, Bau und Verkehr</w:t>
      </w:r>
    </w:p>
    <w:p w:rsidR="0034715F" w:rsidRDefault="0034715F" w:rsidP="0034715F">
      <w:pPr>
        <w:pStyle w:val="LTAntwortRessortText"/>
      </w:pPr>
      <w:r>
        <w:t>Eine Kombination von Förderprogrammen i</w:t>
      </w:r>
      <w:r w:rsidR="000E493D">
        <w:t>nsbesondere von Einkommensorien</w:t>
      </w:r>
      <w:r>
        <w:t xml:space="preserve">tierte Förderung (EOF) und Kommunalem Wohnraumförderungsprogramm (KommWFP) ist für Kommunen grundsätzlich </w:t>
      </w:r>
      <w:r w:rsidR="000E493D">
        <w:t>möglich, da diese in beiden Pro</w:t>
      </w:r>
      <w:r>
        <w:t>grammen antragsberechtigt sind. In der Praxis ist dies aber nur sinnvoll, wenn verschiedene Objekte, also Gebäude, Wohnungen bzw. Wohngruppen, jeweils in nur einem Programm gefördert werden. Gru</w:t>
      </w:r>
      <w:r w:rsidR="000E493D">
        <w:t>nd ist die unterschiedliche Pro</w:t>
      </w:r>
      <w:r>
        <w:t>grammgestaltung etwa hinsichtlich der Förderhöhe, der Bindungsdauer oder der Miethöhe.</w:t>
      </w:r>
    </w:p>
    <w:p w:rsidR="0034715F" w:rsidRDefault="0034715F" w:rsidP="0034715F">
      <w:pPr>
        <w:pStyle w:val="LTAntwortRessortText"/>
      </w:pPr>
      <w:r>
        <w:t>Das KommWFP war von Anfang an darauf au</w:t>
      </w:r>
      <w:r w:rsidR="000E493D">
        <w:t>sgerichtet, die Kommunen als zu</w:t>
      </w:r>
      <w:r>
        <w:t>sätzliche Investoren (neben den Wohnungsbaugesellschaften, Genossenschaften</w:t>
      </w:r>
      <w:r w:rsidR="00BB611E">
        <w:t xml:space="preserve"> </w:t>
      </w:r>
      <w:r>
        <w:t>oder sonstigen öffentlichen oder privaten Ba</w:t>
      </w:r>
      <w:r w:rsidR="000E493D">
        <w:t>uherren) zur Schaffung neuen be</w:t>
      </w:r>
      <w:r>
        <w:t xml:space="preserve">zahlbaren Wohnraums zu gewinnen. Das Programm ist daher so ausgestaltet, dass es ein attraktives Angebot an die Kommunen darstellt, das speziell mit auf die Bedürfnisse der Kommunen zugeschnittenen </w:t>
      </w:r>
      <w:r w:rsidR="00190CE9">
        <w:t>„</w:t>
      </w:r>
      <w:r>
        <w:t>Alleinstellungsmerkmalen</w:t>
      </w:r>
      <w:r w:rsidR="00190CE9">
        <w:t>“</w:t>
      </w:r>
      <w:r w:rsidR="000E493D">
        <w:t xml:space="preserve"> ausge</w:t>
      </w:r>
      <w:r>
        <w:t>stattet ist. Das heißt mehr Flexibilität bei Belegung und Einkommensgrenzen. Um diese attraktive Förderung zu e</w:t>
      </w:r>
      <w:r w:rsidR="000E493D">
        <w:t>rmöglichen, wurde das Programm – in enger Ab</w:t>
      </w:r>
      <w:r>
        <w:t>stimmung mit den k</w:t>
      </w:r>
      <w:r w:rsidR="000E493D">
        <w:t>ommunalen Spitzenverbänden –</w:t>
      </w:r>
      <w:r>
        <w:t xml:space="preserve"> so gestaltet, dass es nicht dem EU-Beihilferecht unterliegt. Bei ei</w:t>
      </w:r>
      <w:r w:rsidR="000E493D">
        <w:t>ner Öffnung des KommWFP für Woh</w:t>
      </w:r>
      <w:r>
        <w:t>nungsunternehmen oder -genossenschaften müs</w:t>
      </w:r>
      <w:r w:rsidR="000E493D">
        <w:t>ste eine Anpassung an EU-beihil</w:t>
      </w:r>
      <w:r>
        <w:t>ferechtliche Vorgaben erfolgen, etwa was die Förderhö</w:t>
      </w:r>
      <w:r w:rsidR="000E493D">
        <w:t>he oder Überkompensati</w:t>
      </w:r>
      <w:r>
        <w:t>onsregelungen angeht.</w:t>
      </w:r>
    </w:p>
    <w:p w:rsidR="0034715F" w:rsidRDefault="00B410E0" w:rsidP="0034715F">
      <w:pPr>
        <w:pStyle w:val="LTAntwortRessortText"/>
      </w:pPr>
      <w:r>
        <w:t>Gemäß Art. </w:t>
      </w:r>
      <w:r w:rsidR="0034715F">
        <w:t xml:space="preserve">2 Abs. 1 des Bayerischen Wohnraumförderungsgesetzes (BayWoFG) dient die Mietwohnraumförderung der Unterstützung von Haushalten, die sich am Markt nicht angemessen mit Wohnraum versorgen können. Daher </w:t>
      </w:r>
      <w:r>
        <w:t>ist das wesent</w:t>
      </w:r>
      <w:r w:rsidR="0034715F">
        <w:t>liche Kriterium für den Zugang zu gefördert</w:t>
      </w:r>
      <w:r>
        <w:t>em Wohnraum das Haushaltseinkom</w:t>
      </w:r>
      <w:r w:rsidR="0034715F">
        <w:t>men. In Bayern sind etwa in der EOF versch</w:t>
      </w:r>
      <w:r>
        <w:t>iedene Einkommensstufen vorgese</w:t>
      </w:r>
      <w:r w:rsidR="0034715F">
        <w:t>hen, so dass dadurch eine gewisse soziale Du</w:t>
      </w:r>
      <w:r>
        <w:t>rchmischung der geförderten Woh</w:t>
      </w:r>
      <w:r w:rsidR="0034715F">
        <w:t>nungen möglich und auch gewünscht ist. Als weitere soziale Kriterien können etwa für besondere Wohnformen Belegungsvorbehalte, etwa für Menschen mit Behinderung oder Senioren vorgesehen werden. Weiter ist zu berücksichtigen, dass die Vorlage eines Wohnberechtigungsscheins bzw. einer Benennung einen Vermieter nicht zur Überlassung seiner Wohnung an einen bestimmten Haushalt verpflichtet.</w:t>
      </w:r>
    </w:p>
    <w:p w:rsidR="0034715F" w:rsidRDefault="0034715F" w:rsidP="0034715F">
      <w:pPr>
        <w:pStyle w:val="LTAntwortRessortText"/>
      </w:pPr>
      <w:r>
        <w:lastRenderedPageBreak/>
        <w:t>Für Wohngruppen/ PflegeWGs, die im Rahm</w:t>
      </w:r>
      <w:r w:rsidR="00B410E0">
        <w:t>en der besonderen Wohnformen gemäß Art. </w:t>
      </w:r>
      <w:r>
        <w:t>19 BayWoFG gefördert werden, kann zur Erreichung des Förderzwecks bereits jetzt erheblich von den sonstigen Vorschriften abgewichen werden, mithin sogar von den Einkommensgrenzen. Insofern besteht gerade für solche Vorhaben auch hinsichtlich der Belegung eine sehr große Flexibilität auch für den Fall, dass</w:t>
      </w:r>
      <w:r w:rsidR="00BB611E">
        <w:t xml:space="preserve"> </w:t>
      </w:r>
      <w:r>
        <w:t>künftige Bewohnerinnen und Bewohner zum Zeitpunkt der Antragstellung auf Wohnungsbauförderung noch nicht feststehen.</w:t>
      </w:r>
    </w:p>
    <w:p w:rsidR="0034715F" w:rsidRDefault="0034715F">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tblGrid>
      <w:tr w:rsidR="0034715F" w:rsidTr="007B0B33">
        <w:tc>
          <w:tcPr>
            <w:tcW w:w="2050" w:type="dxa"/>
          </w:tcPr>
          <w:p w:rsidR="0034715F" w:rsidRDefault="0034715F" w:rsidP="0034715F">
            <w:pPr>
              <w:pStyle w:val="LTAnfrageInitiator"/>
            </w:pPr>
            <w:r>
              <w:lastRenderedPageBreak/>
              <w:t>Abgeordnete</w:t>
            </w:r>
            <w:r>
              <w:rPr>
                <w:b/>
              </w:rPr>
              <w:br/>
              <w:t>Susanne</w:t>
            </w:r>
            <w:r>
              <w:rPr>
                <w:b/>
              </w:rPr>
              <w:br/>
              <w:t>Kurz</w:t>
            </w:r>
            <w:r>
              <w:rPr>
                <w:b/>
              </w:rPr>
              <w:br/>
            </w:r>
            <w:r>
              <w:t>(BÜNDNIS 90/DIE GRÜNEN)</w:t>
            </w:r>
            <w:bookmarkStart w:id="37" w:name="Frage_Nr_18"/>
            <w:bookmarkEnd w:id="37"/>
          </w:p>
        </w:tc>
        <w:tc>
          <w:tcPr>
            <w:tcW w:w="7200" w:type="dxa"/>
          </w:tcPr>
          <w:p w:rsidR="0034715F" w:rsidRPr="0032607E" w:rsidRDefault="0032607E" w:rsidP="0034715F">
            <w:pPr>
              <w:pStyle w:val="LTAnfrageText"/>
            </w:pPr>
            <w:r w:rsidRPr="0032607E">
              <w:rPr>
                <w:szCs w:val="24"/>
              </w:rPr>
              <w:t>Ich frage die Staatsregierung, wie bewertet sie aktuell die Anweisung des Gesundheitsamtes an staatliche auch als Passivhaus zertifizierte Gebäude, nach baulicher Möglichkeit statt Umluftlüftung kontinuierlich Frischluft zuzuführen, in Bezug auf die Wirksamkeit für den Infektionsschutz, wie kann die Passivhauszertifizierung ob dieser Anordnung erhalten bleiben, werden hierzu Vorgaben passgenau für die verschiedenen Gebäudetypen erarbeitet, sodass als Passivhaus zertifizierte Gebäude ihre Zertifizierung nicht verlieren?</w:t>
            </w:r>
          </w:p>
        </w:tc>
      </w:tr>
    </w:tbl>
    <w:p w:rsidR="0034715F" w:rsidRDefault="0034715F" w:rsidP="0034715F">
      <w:pPr>
        <w:pStyle w:val="LTUeberschrAntwortRessort"/>
      </w:pPr>
      <w:r>
        <w:t>Antwort des Staatsministeriums für Wohnen, Bau und Verkehr</w:t>
      </w:r>
    </w:p>
    <w:p w:rsidR="0034715F" w:rsidRDefault="0034715F" w:rsidP="0034715F">
      <w:pPr>
        <w:pStyle w:val="LTAntwortRessortText"/>
      </w:pPr>
      <w:r>
        <w:t>Wärmerückgewinnungsanlagen, bei denen eine Übertragung von Abluft an die Zuluft erfolgen kann, werden aus infektiologischer Sicht kritisch gesehen. Eine reine Frischluftversorgung ohne unbeabsichtig</w:t>
      </w:r>
      <w:r w:rsidR="00AC1ABA">
        <w:t>te Umluftanteile ist nur mit be</w:t>
      </w:r>
      <w:r>
        <w:t>stimmten Wärmerückgewinnungs-Systemen möglich. In aller Regel sind im Wohnungsbau aber Systeme im Einsatz, bei de</w:t>
      </w:r>
      <w:r w:rsidR="00AC1ABA">
        <w:t>nen eine diesbezügliche Übertra</w:t>
      </w:r>
      <w:r>
        <w:t>gung nicht völlig ausgeschlossen werden kann</w:t>
      </w:r>
      <w:r w:rsidR="00AC1ABA">
        <w:t>. Der Hinweis des Gesundheitsam</w:t>
      </w:r>
      <w:r>
        <w:t>tes ist daher nachvollziehbar.</w:t>
      </w:r>
    </w:p>
    <w:p w:rsidR="0034715F" w:rsidRDefault="0034715F" w:rsidP="0034715F">
      <w:pPr>
        <w:pStyle w:val="LTAntwortRessortText"/>
      </w:pPr>
      <w:r>
        <w:t>Die eigentliche Passivhauszertifizierung erfolg</w:t>
      </w:r>
      <w:r w:rsidR="00AC1ABA">
        <w:t>t während der Planung eines Pas</w:t>
      </w:r>
      <w:r>
        <w:t>sivhauses und ist unabhängig von den temporären Maßnahmen zur mechanischen Be- und</w:t>
      </w:r>
      <w:r w:rsidR="00AC1ABA">
        <w:t xml:space="preserve"> Entlüftung im Zuge der Coronap</w:t>
      </w:r>
      <w:r>
        <w:t>andemi</w:t>
      </w:r>
      <w:r w:rsidR="00AC1ABA">
        <w:t>e zu betrachten. Die Zertifizie</w:t>
      </w:r>
      <w:r>
        <w:t>rung und grundsätzliche Funktionsweise wird durch den speziellen, temporären B</w:t>
      </w:r>
      <w:r w:rsidR="00AC1ABA">
        <w:t>etriebsfall während der Coronap</w:t>
      </w:r>
      <w:r>
        <w:t>andemie nicht beeinträchtigt. Weitergehende Vorgaben sind daher nicht erforderlich.</w:t>
      </w:r>
    </w:p>
    <w:p w:rsidR="0034715F" w:rsidRDefault="0034715F">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34715F" w:rsidTr="007B0B33">
        <w:tc>
          <w:tcPr>
            <w:tcW w:w="2050" w:type="dxa"/>
          </w:tcPr>
          <w:p w:rsidR="0034715F" w:rsidRDefault="0034715F" w:rsidP="0034715F">
            <w:pPr>
              <w:pStyle w:val="LTAnfrageInitiator"/>
            </w:pPr>
            <w:r>
              <w:lastRenderedPageBreak/>
              <w:t>Abgeordneter</w:t>
            </w:r>
            <w:r>
              <w:rPr>
                <w:b/>
              </w:rPr>
              <w:br/>
              <w:t>Christoph</w:t>
            </w:r>
            <w:r>
              <w:rPr>
                <w:b/>
              </w:rPr>
              <w:br/>
              <w:t>Maier</w:t>
            </w:r>
            <w:r>
              <w:rPr>
                <w:b/>
              </w:rPr>
              <w:br/>
            </w:r>
            <w:r>
              <w:t>(AfD)</w:t>
            </w:r>
            <w:bookmarkStart w:id="39" w:name="Frage_Nr_19"/>
            <w:bookmarkEnd w:id="39"/>
          </w:p>
        </w:tc>
        <w:tc>
          <w:tcPr>
            <w:tcW w:w="7200" w:type="dxa"/>
          </w:tcPr>
          <w:p w:rsidR="0034715F" w:rsidRPr="00F33E1E" w:rsidRDefault="00F33E1E" w:rsidP="0034715F">
            <w:pPr>
              <w:pStyle w:val="LTAnfrageText"/>
            </w:pPr>
            <w:r w:rsidRPr="00F33E1E">
              <w:rPr>
                <w:szCs w:val="24"/>
              </w:rPr>
              <w:t>Vor dem Hintergrund der Tatsache, dass alle Personen, die einen ukrainischen Pass besitzen, gratis und „Flatrate“ alle Züge der Oberlandbahn GmbH &amp; Bayerische Regiobahn GmbH (BRB) und Teile der Züge der Deutschen Bahn nutzen dürfen und nach Informationen des Fragestellers dabei häufig zu beobachten ist, dass Personen afrikanischer und orientalischer Herkunft mit neuen, ukrainischen Pässen rege von diesem Angebot Gebrauch machen, frage ich die Staatsregierung, welche Kosten, etwa durch entgangenen Gewinn, durch dieses „Angebot“ bisher entstanden sind, welche Erkenntnisse sie über Fälschungen ukrainischer Pässe seit Beginn des Ukraine-Krieges hat und inwiefern Asylbewerbern generell Zugfahrkarten bzw. Kosten im Zusammenhang mit „Schwarzfahren“ erstattet werden?</w:t>
            </w:r>
          </w:p>
        </w:tc>
      </w:tr>
    </w:tbl>
    <w:p w:rsidR="0034715F" w:rsidRDefault="0034715F" w:rsidP="0034715F">
      <w:pPr>
        <w:pStyle w:val="LTUeberschrAntwortRessort"/>
      </w:pPr>
      <w:r>
        <w:t>Antwort des Staatsministeriums für Wohnen, Bau und Verkehr</w:t>
      </w:r>
    </w:p>
    <w:p w:rsidR="0034715F" w:rsidRDefault="0034715F" w:rsidP="0034715F">
      <w:pPr>
        <w:pStyle w:val="LTAntwortRessortText"/>
      </w:pPr>
      <w:r>
        <w:t>Die in der Anfrage zum Plenum beschriebe</w:t>
      </w:r>
      <w:r w:rsidR="0096055D">
        <w:t>ne Anerkennung ukrainischer Aus</w:t>
      </w:r>
      <w:r>
        <w:t>weisdokumente als Fahrtberechtigung zur Nu</w:t>
      </w:r>
      <w:r w:rsidR="0096055D">
        <w:t>tzung des Öffentlichen Personen</w:t>
      </w:r>
      <w:r>
        <w:t xml:space="preserve">nahverkehrs (ÖPNV) ist keine alleinige Regelung die Bayerische Regiobahn GmbH (bzw. Teile der DB Regio Bayern) betreffend, sondern kommt seit Anfang März 2022 deutschlandweit </w:t>
      </w:r>
      <w:r w:rsidR="00190CE9">
        <w:t>u. a.</w:t>
      </w:r>
      <w:r>
        <w:t xml:space="preserve"> bei den über </w:t>
      </w:r>
      <w:r w:rsidR="0096055D">
        <w:t>600 Verkehrsunternehmen und Ver</w:t>
      </w:r>
      <w:r>
        <w:t xml:space="preserve">kehrsverbünden zur Anwendung, welche im ÖPNV-Branchenverband Verband Deutscher Verkehrsunternehmen </w:t>
      </w:r>
      <w:r w:rsidR="00190CE9">
        <w:t>e. V.</w:t>
      </w:r>
      <w:r>
        <w:t xml:space="preserve"> organsiert sind. Es kommt hierbei seitens der Verkehrsunternehmen zu keiner Inrechnungstellung der kostenfrei gewährten Fahrten gegenüber dem Freistaat.</w:t>
      </w:r>
    </w:p>
    <w:p w:rsidR="0034715F" w:rsidRDefault="0034715F" w:rsidP="0034715F">
      <w:pPr>
        <w:pStyle w:val="LTAntwortRessortText"/>
      </w:pPr>
      <w:r>
        <w:t>Ein systematischer oder großflächiger Missb</w:t>
      </w:r>
      <w:r w:rsidR="0096055D">
        <w:t>rauch dieser Regelung anhand ge</w:t>
      </w:r>
      <w:r>
        <w:t>fälschter Pässe / Papiere wie in der Anfrage zum Plenum beschrieben ist nach Mitteilung der Eisenbahnverkehrsunterne</w:t>
      </w:r>
      <w:r w:rsidR="0096055D">
        <w:t>hmen DB Regio und Bayerische Re</w:t>
      </w:r>
      <w:r>
        <w:t>giobahn nicht zu beobachten.</w:t>
      </w:r>
    </w:p>
    <w:p w:rsidR="0034715F" w:rsidRDefault="0034715F" w:rsidP="0034715F">
      <w:pPr>
        <w:pStyle w:val="LTAntwortRessortText"/>
      </w:pPr>
      <w:r>
        <w:t>Die beschriebenen Regelungen beschränken sich auf Flüchtlinge aus der Ukraine.</w:t>
      </w:r>
    </w:p>
    <w:p w:rsidR="0034715F" w:rsidRDefault="0034715F">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34715F" w:rsidTr="007B0B33">
        <w:tc>
          <w:tcPr>
            <w:tcW w:w="2050" w:type="dxa"/>
          </w:tcPr>
          <w:p w:rsidR="0034715F" w:rsidRDefault="0034715F" w:rsidP="0034715F">
            <w:pPr>
              <w:pStyle w:val="LTAnfrageInitiator"/>
            </w:pPr>
            <w:r>
              <w:lastRenderedPageBreak/>
              <w:t>Abgeordneter</w:t>
            </w:r>
            <w:r>
              <w:rPr>
                <w:b/>
              </w:rPr>
              <w:br/>
              <w:t>Jürgen</w:t>
            </w:r>
            <w:r>
              <w:rPr>
                <w:b/>
              </w:rPr>
              <w:br/>
              <w:t>Mistol</w:t>
            </w:r>
            <w:r>
              <w:rPr>
                <w:b/>
              </w:rPr>
              <w:br/>
            </w:r>
            <w:r>
              <w:t>(BÜNDNIS 90/DIE GRÜNEN)</w:t>
            </w:r>
            <w:bookmarkStart w:id="41" w:name="Frage_Nr_20"/>
            <w:bookmarkEnd w:id="41"/>
          </w:p>
        </w:tc>
        <w:tc>
          <w:tcPr>
            <w:tcW w:w="7200" w:type="dxa"/>
          </w:tcPr>
          <w:p w:rsidR="0034715F" w:rsidRPr="00EF254A" w:rsidRDefault="00EF254A" w:rsidP="0034715F">
            <w:pPr>
              <w:pStyle w:val="LTAnfrageText"/>
            </w:pPr>
            <w:r w:rsidRPr="00EF254A">
              <w:rPr>
                <w:szCs w:val="24"/>
              </w:rPr>
              <w:t xml:space="preserve">Ich frage die Staatsregierung, wie ist der Sachstand bei der Erarbeitung des in der Pressemitteilung des Staatsministerium für Wohnen, Bau und Verkehr (StMB) vom 29. März 2021 </w:t>
            </w:r>
            <w:r w:rsidRPr="00EF254A">
              <w:rPr>
                <w:rStyle w:val="Funotenzeichen"/>
                <w:szCs w:val="24"/>
              </w:rPr>
              <w:footnoteReference w:id="2"/>
            </w:r>
            <w:r w:rsidRPr="00EF254A">
              <w:rPr>
                <w:szCs w:val="24"/>
              </w:rPr>
              <w:t xml:space="preserve"> erwähnten Konzepts zum Abschied vom Diesel im Schienenpersonennahverkehr bis spätestens zum Jahr 2040, wann schreibt die Eisenbahngesellschaft SPNV-Leistungen auf nicht elektrifizierten Strecken mit batterieelektrisch betriebene Fahrzeugen aus, warum hat die Eisenbahngesellschaft – anders als beispielsweise SPNV-Aufgabenträger in Baden-Württemberg, in Mecklenburg-Vorpommern, in Nordrhein-Westfalen, in Rheinland-Pfalz, im Saarland, in Schleswig-Holstein – bisher noch keine SPNV-Leistungen mit batterieelektrisch betriebene Fahrzeugen ausgeschrieben bzw. vergeben?</w:t>
            </w:r>
          </w:p>
        </w:tc>
      </w:tr>
    </w:tbl>
    <w:p w:rsidR="0034715F" w:rsidRDefault="0034715F" w:rsidP="0034715F">
      <w:pPr>
        <w:pStyle w:val="LTUeberschrAntwortRessort"/>
      </w:pPr>
      <w:r>
        <w:t>Antwort des Staatsministeriums für Wohnen, Bau und Verkehr</w:t>
      </w:r>
    </w:p>
    <w:p w:rsidR="0034715F" w:rsidRDefault="0034715F" w:rsidP="0034715F">
      <w:pPr>
        <w:pStyle w:val="LTAntwortRessortText"/>
      </w:pPr>
      <w:r>
        <w:t xml:space="preserve">Das von der Staatsregierung avisierte Konzept </w:t>
      </w:r>
      <w:r w:rsidR="00DF5676">
        <w:t>zur Umsetzung eines klimaneutra</w:t>
      </w:r>
      <w:r>
        <w:t>len Schienenpersonennahverkehrs im Freistaat wird derzeit erarbeitet. E</w:t>
      </w:r>
      <w:r w:rsidR="00DF5676">
        <w:t>s ist ab</w:t>
      </w:r>
      <w:r>
        <w:t>hängig von einer Vielzahl an Parametern, die weitgehend vom Bund zu vertreten sind. Bei einigen haben sich die Zeitstränge in den letzten Monaten verzögert, bei anderen sind die Aussagen derzeit noch zu unp</w:t>
      </w:r>
      <w:r w:rsidR="00DF5676">
        <w:t>räzise, wodurch die Staatsregie</w:t>
      </w:r>
      <w:r>
        <w:t>rung ihr Konzept derzeit noch nicht finalisier</w:t>
      </w:r>
      <w:r w:rsidR="00DF5676">
        <w:t>en kann. Dazu gehören beispiels</w:t>
      </w:r>
      <w:r>
        <w:t>weise die Neugestaltung der Standardisierte</w:t>
      </w:r>
      <w:r w:rsidR="00DF5676">
        <w:t>n Bewertung für Bundes-GVFG-För</w:t>
      </w:r>
      <w:r>
        <w:t>dermaßnahmen, die ursprünglich bis Ende 2021 vom Bund festgelegt werden sollte und bis dato noch nicht fixiert ist, das noch nicht geklärte weitere Vorgehen bei regionalen Maßnahmen des Deutschlandtakts und die zu vagen Aussagen der</w:t>
      </w:r>
      <w:r w:rsidR="00B00B36">
        <w:t xml:space="preserve"> </w:t>
      </w:r>
      <w:r>
        <w:t xml:space="preserve">neuen Bunderegierung zu einer Erhöhung der </w:t>
      </w:r>
      <w:r w:rsidR="00DF5676">
        <w:t>Regionalisierungsmitteln, die zwin</w:t>
      </w:r>
      <w:r>
        <w:t>gende Voraussetzung für eine Planung der regionalen zusätz</w:t>
      </w:r>
      <w:r w:rsidR="00DF5676">
        <w:t>lichen Infrastruktur</w:t>
      </w:r>
      <w:r>
        <w:t>maßnahmen und den Einsatz von teureren Fahrzeugen mit alternativen Antrieben wie beispielsweise batterie-elektrisch betriebenen Hybridfahrzeugen ist.</w:t>
      </w:r>
    </w:p>
    <w:p w:rsidR="0034715F" w:rsidRDefault="0034715F" w:rsidP="0034715F">
      <w:pPr>
        <w:pStyle w:val="LTAntwortRessortText"/>
      </w:pPr>
      <w:r>
        <w:t>Zudem sollen in das Konzept verschiedene aktuelle Erkenntnisse eingearbeitet werden. Hierzu gehören unter anderem die Erge</w:t>
      </w:r>
      <w:r w:rsidR="00DF5676">
        <w:t>bnisse des Gutachtens zur mögli</w:t>
      </w:r>
      <w:r>
        <w:t>chen Umstellung des Bayerwaldnetzes auf einen</w:t>
      </w:r>
      <w:r w:rsidR="00DF5676">
        <w:t xml:space="preserve"> Akku-Betrieb, das in Kürze vor</w:t>
      </w:r>
      <w:r>
        <w:t>liegen soll, sowie der Verlauf des kürzlich abgeschlossenen Probebetriebs mit Akku-Fahrzeugen zwischen Pleinfeld und Gunzenhausen.</w:t>
      </w:r>
    </w:p>
    <w:p w:rsidR="0034715F" w:rsidRDefault="0034715F" w:rsidP="0034715F">
      <w:pPr>
        <w:pStyle w:val="LTAntwortRessortText"/>
      </w:pPr>
      <w:r>
        <w:t xml:space="preserve">Gerade auch die Erkenntnisse des bisherigen Probebetriebs zeigen, dass es bei diesen neuartigen Zügen noch etliche Schwierigkeiten gibt. Dies bekräftigt den Kurs der Staatsregierung, die Umstellung auf solche Fahrzeuge mit Augenmaß anzugehen. In Bayern stehen Ausschreibungen </w:t>
      </w:r>
      <w:r w:rsidR="00DF5676">
        <w:t>von bisherigen Dieselnetzen der</w:t>
      </w:r>
      <w:r>
        <w:t>zeit nicht an. Ein Fahrzeugwechsel auf batterie-elektrisch betriebene Fahrzeuge während einer Vertragsperiode ist vergaberec</w:t>
      </w:r>
      <w:r w:rsidR="00DF5676">
        <w:t>htlich kaum möglich. Es wäre zu</w:t>
      </w:r>
      <w:r>
        <w:t xml:space="preserve">dem mit unverhältnismäßig hohen Kosten für die öffentliche Hand verbunden und umwelttechnisch kontraproduktiv, wenn </w:t>
      </w:r>
      <w:r w:rsidR="00DF5676">
        <w:t>nahezu neuwertige und emissions</w:t>
      </w:r>
      <w:r>
        <w:t>arme Dieselfahrzeuge ausrangiert werden müssen.</w:t>
      </w:r>
    </w:p>
    <w:p w:rsidR="0034715F" w:rsidRDefault="0034715F">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715F" w:rsidTr="007B0B33">
        <w:tc>
          <w:tcPr>
            <w:tcW w:w="2050" w:type="dxa"/>
          </w:tcPr>
          <w:p w:rsidR="0034715F" w:rsidRDefault="0034715F" w:rsidP="0034715F">
            <w:pPr>
              <w:pStyle w:val="LTAnfrageInitiator"/>
            </w:pPr>
            <w:r>
              <w:lastRenderedPageBreak/>
              <w:t>Abgeordnete</w:t>
            </w:r>
            <w:r>
              <w:rPr>
                <w:b/>
              </w:rPr>
              <w:br/>
              <w:t>Stephanie</w:t>
            </w:r>
            <w:r>
              <w:rPr>
                <w:b/>
              </w:rPr>
              <w:br/>
              <w:t>Schuhknecht</w:t>
            </w:r>
            <w:r>
              <w:rPr>
                <w:b/>
              </w:rPr>
              <w:br/>
            </w:r>
            <w:r>
              <w:t>(BÜNDNIS 90/DIE GRÜNEN)</w:t>
            </w:r>
            <w:bookmarkStart w:id="43" w:name="Frage_Nr_21"/>
            <w:bookmarkEnd w:id="43"/>
          </w:p>
        </w:tc>
        <w:tc>
          <w:tcPr>
            <w:tcW w:w="7200" w:type="dxa"/>
          </w:tcPr>
          <w:p w:rsidR="0034715F" w:rsidRPr="003D6012" w:rsidRDefault="003D6012" w:rsidP="0034715F">
            <w:pPr>
              <w:pStyle w:val="LTAnfrageText"/>
            </w:pPr>
            <w:r w:rsidRPr="003D6012">
              <w:rPr>
                <w:szCs w:val="24"/>
              </w:rPr>
              <w:t>Zum gescheiterten Freihandverkauf des Anwesens Calmbergstraße 2a in Augsburg an den Verein Pa*radieschen e. V., der dort städtische Aufgaben hätte übernehmen wollen, frage ich die Staatsregierung, welche Kriterien im Rahmen der Prüfung durch die Immobilien Freistaat Bayern (IMBY) abgeprüft wurden (bitte aufzählen), an welchem Kriterium bzw. an welchen Kriterien es letztlich gescheitert ist, dass das von Pa*radieschen geplante Projekt nicht den Standards entspricht, die nötig gewesen wären, um als „städtische Aufgabe“ zu gelten (bitte aufzählen und getrennt begründen) und unter welchen Umständen sie bereit wäre, einen Freihandverkauf erneut zu prüfen, wenn ein modifizierter oder neuer Projektantrag in Zusammenarbeit mit der Stadt Augsburg erstellt würde (falls nicht möglich, bitte begründen)?</w:t>
            </w:r>
          </w:p>
        </w:tc>
      </w:tr>
    </w:tbl>
    <w:p w:rsidR="0034715F" w:rsidRDefault="0034715F" w:rsidP="0034715F">
      <w:pPr>
        <w:pStyle w:val="LTUeberschrAntwortRessort"/>
      </w:pPr>
      <w:r>
        <w:t>Antwort des Staatsministeriums für Wohnen, Bau und Verkehr</w:t>
      </w:r>
    </w:p>
    <w:p w:rsidR="0034715F" w:rsidRDefault="0034715F" w:rsidP="0034715F">
      <w:pPr>
        <w:pStyle w:val="LTAntwortRessortText"/>
      </w:pPr>
      <w:r>
        <w:t>Von dem Grundsatz der öffentlichen Ausschrei</w:t>
      </w:r>
      <w:r w:rsidR="000450DB">
        <w:t>bung kann nur innerhalb der Vor</w:t>
      </w:r>
      <w:r>
        <w:t>gaben der Richtlinien für den Verkehr mit st</w:t>
      </w:r>
      <w:r w:rsidR="000450DB">
        <w:t>aatseigenen Grundstücken (Grundstücksverkehrsrichtlinien –</w:t>
      </w:r>
      <w:r>
        <w:t xml:space="preserve"> GrVR) abgewichen werden.</w:t>
      </w:r>
    </w:p>
    <w:p w:rsidR="0034715F" w:rsidRDefault="0034715F" w:rsidP="0034715F">
      <w:pPr>
        <w:pStyle w:val="LTAntwortRessortText"/>
      </w:pPr>
      <w:r>
        <w:t>Ein Freihandverkauf an eine Gemeinde kann demnach stattfinden</w:t>
      </w:r>
    </w:p>
    <w:p w:rsidR="0034715F" w:rsidRDefault="00B00B36" w:rsidP="0034715F">
      <w:pPr>
        <w:pStyle w:val="LTAntwortRessortText"/>
      </w:pPr>
      <w:r>
        <w:t>-</w:t>
      </w:r>
      <w:r>
        <w:tab/>
      </w:r>
      <w:r w:rsidR="0034715F">
        <w:t>wenn das zu veräußernde Grundstück zur Erfüllung eigener Aufgaben der Gemeinde nach der Gemeindeordnung dient oder</w:t>
      </w:r>
    </w:p>
    <w:p w:rsidR="0034715F" w:rsidRDefault="00B00B36" w:rsidP="0034715F">
      <w:pPr>
        <w:pStyle w:val="LTAntwortRessortText"/>
      </w:pPr>
      <w:r>
        <w:t>-</w:t>
      </w:r>
      <w:r>
        <w:tab/>
      </w:r>
      <w:r w:rsidR="0034715F">
        <w:t>dam</w:t>
      </w:r>
      <w:r w:rsidR="000450DB">
        <w:t>it die Gemeinde ein Grundstück –</w:t>
      </w:r>
      <w:r w:rsidR="0034715F">
        <w:t xml:space="preserve"> sof</w:t>
      </w:r>
      <w:r w:rsidR="000450DB">
        <w:t>ern es der örtliche Grundstücks</w:t>
      </w:r>
      <w:r w:rsidR="0034715F">
        <w:t>markt erfordert gegebenenfal</w:t>
      </w:r>
      <w:r w:rsidR="000450DB">
        <w:t>ls auch vor planerischer Reife –</w:t>
      </w:r>
      <w:r w:rsidR="0034715F">
        <w:t xml:space="preserve"> zum Zwecke</w:t>
      </w:r>
      <w:r>
        <w:t xml:space="preserve"> </w:t>
      </w:r>
      <w:r w:rsidR="0034715F">
        <w:t>der Wohnungspolitik zugunsten Ein</w:t>
      </w:r>
      <w:r w:rsidR="000450DB">
        <w:t>kommensschwächerer und Einheimi</w:t>
      </w:r>
      <w:r w:rsidR="0034715F">
        <w:t>scher erwerben kann, um es dann als Bauland zum Selbstkostenpreis an diesen Personenkreis abzugeben.</w:t>
      </w:r>
    </w:p>
    <w:p w:rsidR="0034715F" w:rsidRDefault="0034715F" w:rsidP="0034715F">
      <w:pPr>
        <w:pStyle w:val="LTAntwortRessortText"/>
      </w:pPr>
      <w:r>
        <w:t>Ausnahmsweise kann ein Freihandverkauf u</w:t>
      </w:r>
      <w:r w:rsidR="000450DB">
        <w:t>nmittelbar mit einem Dritten zu</w:t>
      </w:r>
      <w:r>
        <w:t>stande kommen, wenn die Gebietskörperschaf</w:t>
      </w:r>
      <w:r w:rsidR="000450DB">
        <w:t>t zur Vermeidung eines Zwischen</w:t>
      </w:r>
      <w:r>
        <w:t>erwerbs einen konkreten Vertragspartner zu</w:t>
      </w:r>
      <w:r w:rsidR="000450DB">
        <w:t>r Erfüllung eigener Aufgaben be</w:t>
      </w:r>
      <w:r>
        <w:t>nennt.</w:t>
      </w:r>
    </w:p>
    <w:p w:rsidR="0034715F" w:rsidRDefault="0034715F" w:rsidP="0034715F">
      <w:pPr>
        <w:pStyle w:val="LTAntwortRessortText"/>
      </w:pPr>
      <w:r>
        <w:t>Zwischenzeitlich wurde in Ergänzung zu den Regelungen der GrVR noch durch den Haushaltsausschuss die Möglichkeit eröffnet, unter engen Voraussetzungen Grundstücke für den sozialen Wohnungsb</w:t>
      </w:r>
      <w:r w:rsidR="00146402">
        <w:t>au an Gemeinden/ kommunale Wohn</w:t>
      </w:r>
      <w:r>
        <w:t>bauunternehmen als Grundstückseigentümer freihändig zu veräußern.</w:t>
      </w:r>
    </w:p>
    <w:p w:rsidR="0034715F" w:rsidRDefault="0034715F" w:rsidP="0034715F">
      <w:pPr>
        <w:pStyle w:val="LTAntwortRessortText"/>
      </w:pPr>
      <w:r>
        <w:t xml:space="preserve">Durch einen privaten Investor wie Pa*radieschen </w:t>
      </w:r>
      <w:r w:rsidR="00190CE9">
        <w:t>e. V.</w:t>
      </w:r>
      <w:r>
        <w:t xml:space="preserve"> werden diese Kriterien nicht erfüllt.</w:t>
      </w:r>
    </w:p>
    <w:p w:rsidR="0034715F" w:rsidRDefault="0034715F">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715F" w:rsidTr="007B0B33">
        <w:tc>
          <w:tcPr>
            <w:tcW w:w="2050" w:type="dxa"/>
          </w:tcPr>
          <w:p w:rsidR="0034715F" w:rsidRDefault="0034715F" w:rsidP="0034715F">
            <w:pPr>
              <w:pStyle w:val="LTAnfrageInitiator"/>
            </w:pPr>
            <w:r>
              <w:lastRenderedPageBreak/>
              <w:t>Abgeordnete</w:t>
            </w:r>
            <w:r>
              <w:rPr>
                <w:b/>
              </w:rPr>
              <w:br/>
              <w:t>Ursula</w:t>
            </w:r>
            <w:r>
              <w:rPr>
                <w:b/>
              </w:rPr>
              <w:br/>
              <w:t>Sowa</w:t>
            </w:r>
            <w:r>
              <w:rPr>
                <w:b/>
              </w:rPr>
              <w:br/>
            </w:r>
            <w:r>
              <w:t>(BÜNDNIS 90/DIE GRÜNEN)</w:t>
            </w:r>
            <w:bookmarkStart w:id="45" w:name="Frage_Nr_22"/>
            <w:bookmarkEnd w:id="45"/>
          </w:p>
        </w:tc>
        <w:tc>
          <w:tcPr>
            <w:tcW w:w="7200" w:type="dxa"/>
          </w:tcPr>
          <w:p w:rsidR="0034715F" w:rsidRPr="009A2DF1" w:rsidRDefault="009A2DF1" w:rsidP="0034715F">
            <w:pPr>
              <w:pStyle w:val="LTAnfrageText"/>
            </w:pPr>
            <w:r w:rsidRPr="009A2DF1">
              <w:rPr>
                <w:szCs w:val="24"/>
              </w:rPr>
              <w:t>Ich frage die Staatsregierung, welche Maßnahmen übernimmt Bayern neben dem Modellvorhaben „Digitale Planung Bayern-XPlanung“, um die Einführung von XPlanung bis 2023 zu gewährleisten und zu unterstützen?</w:t>
            </w:r>
          </w:p>
        </w:tc>
      </w:tr>
    </w:tbl>
    <w:p w:rsidR="0034715F" w:rsidRDefault="0034715F" w:rsidP="0034715F">
      <w:pPr>
        <w:pStyle w:val="LTUeberschrAntwortRessort"/>
      </w:pPr>
      <w:r>
        <w:t>Antwort des Staatsministeriums für Wohnen, Bau und Verkehr</w:t>
      </w:r>
    </w:p>
    <w:p w:rsidR="0034715F" w:rsidRDefault="0034715F" w:rsidP="0034715F">
      <w:pPr>
        <w:pStyle w:val="LTAntwortRessortText"/>
      </w:pPr>
      <w:r>
        <w:t>Zur Einführung des Datenaustauschstandards X</w:t>
      </w:r>
      <w:r w:rsidR="008869E4">
        <w:t>Planung wurde 2020 eine Arbeits</w:t>
      </w:r>
      <w:r>
        <w:t xml:space="preserve">gruppe eingerichtet. </w:t>
      </w:r>
      <w:r w:rsidR="008869E4">
        <w:t>Diese formulierte Handlungsempfehlungen</w:t>
      </w:r>
      <w:r>
        <w:t xml:space="preserve"> zur Bildung der fachlichen und technischen Rahmenbedingungen des Einführungsprozesses.</w:t>
      </w:r>
    </w:p>
    <w:p w:rsidR="0034715F" w:rsidRDefault="0034715F" w:rsidP="0034715F">
      <w:pPr>
        <w:pStyle w:val="LTAntwortRessortText"/>
      </w:pPr>
      <w:r>
        <w:t xml:space="preserve">Mit dem Fachforum </w:t>
      </w:r>
      <w:r w:rsidR="00190CE9">
        <w:t>„</w:t>
      </w:r>
      <w:r>
        <w:t>Digitale Planung Bayern</w:t>
      </w:r>
      <w:r w:rsidR="00190CE9">
        <w:t>“</w:t>
      </w:r>
      <w:r>
        <w:t xml:space="preserve"> wurde am 26. Oktober 2021 eine erste Informationsveranstaltung durchgeführt. Hier wurden die Interessenten auch über das Modellprojekt </w:t>
      </w:r>
      <w:r w:rsidR="00190CE9">
        <w:t>„</w:t>
      </w:r>
      <w:r w:rsidR="008869E4">
        <w:t>Digitale Planung Bayern –</w:t>
      </w:r>
      <w:r>
        <w:t xml:space="preserve"> XPlanung</w:t>
      </w:r>
      <w:r w:rsidR="00190CE9">
        <w:t>“</w:t>
      </w:r>
      <w:r>
        <w:t xml:space="preserve"> informiert.</w:t>
      </w:r>
    </w:p>
    <w:p w:rsidR="0034715F" w:rsidRDefault="0034715F" w:rsidP="0034715F">
      <w:pPr>
        <w:pStyle w:val="LTAntwortRessortText"/>
      </w:pPr>
      <w:r>
        <w:t xml:space="preserve">Neben dem Modellprojekt wird derzeit gemeinsam mit dem Staatsministerium für Digitales und der Akademie für </w:t>
      </w:r>
      <w:r w:rsidR="008869E4">
        <w:t>Verwaltungs-Management ein Schu</w:t>
      </w:r>
      <w:r>
        <w:t>lungsprogramm für die Städte, Ge</w:t>
      </w:r>
      <w:r w:rsidR="008869E4">
        <w:t>meinden und Landratsämter entwi</w:t>
      </w:r>
      <w:r>
        <w:t>ckelt.</w:t>
      </w:r>
    </w:p>
    <w:p w:rsidR="0034715F" w:rsidRDefault="0034715F" w:rsidP="0034715F">
      <w:pPr>
        <w:pStyle w:val="LTAntwortRessortText"/>
      </w:pPr>
      <w:r>
        <w:t>Zur technischen Unterstützung der Kommunen wird derzeit die Nachnutzung einer sog. EfA-Lösung intensiv geprüft und mit dem Digitalgesetz die Schaffung des entsprechenden Rechtsrah</w:t>
      </w:r>
      <w:r w:rsidR="00D33D79">
        <w:t>mens vorbereitet. Zu</w:t>
      </w:r>
      <w:r>
        <w:t xml:space="preserve">dem wurden für die Schaffung einer zentralen </w:t>
      </w:r>
      <w:r w:rsidR="00D33D79">
        <w:t>Leitstelle Mittel ange</w:t>
      </w:r>
      <w:r>
        <w:t>meldet.</w:t>
      </w:r>
    </w:p>
    <w:p w:rsidR="0034715F" w:rsidRDefault="0034715F">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715F" w:rsidTr="007B0B33">
        <w:tc>
          <w:tcPr>
            <w:tcW w:w="2050" w:type="dxa"/>
          </w:tcPr>
          <w:p w:rsidR="0034715F" w:rsidRDefault="0034715F" w:rsidP="0034715F">
            <w:pPr>
              <w:pStyle w:val="LTAnfrageInitiator"/>
            </w:pPr>
            <w:r>
              <w:lastRenderedPageBreak/>
              <w:t>Abgeordneter</w:t>
            </w:r>
            <w:r>
              <w:rPr>
                <w:b/>
              </w:rPr>
              <w:br/>
              <w:t>Martin</w:t>
            </w:r>
            <w:r>
              <w:rPr>
                <w:b/>
              </w:rPr>
              <w:br/>
              <w:t>Stümpfig</w:t>
            </w:r>
            <w:r>
              <w:rPr>
                <w:b/>
              </w:rPr>
              <w:br/>
            </w:r>
            <w:r>
              <w:t>(BÜNDNIS 90/DIE GRÜNEN)</w:t>
            </w:r>
            <w:bookmarkStart w:id="47" w:name="Frage_Nr_23"/>
            <w:bookmarkEnd w:id="47"/>
          </w:p>
        </w:tc>
        <w:tc>
          <w:tcPr>
            <w:tcW w:w="7200" w:type="dxa"/>
          </w:tcPr>
          <w:p w:rsidR="0034715F" w:rsidRPr="00220A1F" w:rsidRDefault="00220A1F" w:rsidP="0034715F">
            <w:pPr>
              <w:pStyle w:val="LTAnfrageText"/>
            </w:pPr>
            <w:r w:rsidRPr="00220A1F">
              <w:rPr>
                <w:szCs w:val="24"/>
              </w:rPr>
              <w:t>Ich frage die Staatsregierung, wie hoch ist der Gasverbrauch zur Beheizung und Warmwasserbereitung in den staatlichen Liegenschaften jährlich in den letzten zehn Jahren gewesen, wann wird der Gaseinsatz in staatlichen Liegenschaften beendet und welche Laufzeiten haben die entsprechenden Gaslieferverträge durchschnittlich?</w:t>
            </w:r>
          </w:p>
        </w:tc>
      </w:tr>
    </w:tbl>
    <w:p w:rsidR="0034715F" w:rsidRDefault="0034715F" w:rsidP="0034715F">
      <w:pPr>
        <w:pStyle w:val="LTUeberschrAntwortRessort"/>
      </w:pPr>
      <w:r>
        <w:t>Antwort des Staatsministeriums für Wohnen, Bau und Verkehr</w:t>
      </w:r>
    </w:p>
    <w:p w:rsidR="0034715F" w:rsidRDefault="0034715F" w:rsidP="0034715F">
      <w:pPr>
        <w:pStyle w:val="LTAntwortRessortText"/>
      </w:pPr>
      <w:r>
        <w:t xml:space="preserve">Der Gasverbrauch in staatlichen Liegenschaften in Bayern ist trotz deutlichem Kubaturzuwachses in den letzten </w:t>
      </w:r>
      <w:r w:rsidR="00D24AEF">
        <w:t xml:space="preserve">zehn </w:t>
      </w:r>
      <w:r>
        <w:t>Jahren nur g</w:t>
      </w:r>
      <w:r w:rsidR="00B33C5A">
        <w:t>eringfügig von ca. 1,0 Terawatt</w:t>
      </w:r>
      <w:r>
        <w:t>stunde (TWh) im Jahr 2012 auf heute ca. 1,1 TWh jährlich angestie</w:t>
      </w:r>
      <w:r w:rsidR="00B33C5A">
        <w:t>gen. Der Gas</w:t>
      </w:r>
      <w:r>
        <w:t>verbrauch beinhaltet neben den überwiegende</w:t>
      </w:r>
      <w:r w:rsidR="00B33C5A">
        <w:t>n Anteilen für Heizung und Warm</w:t>
      </w:r>
      <w:r>
        <w:t xml:space="preserve">wasser auch die Anteile für die Kraft-Wärme-Kopplung und Prozesswärme. Die Konditionen für den Gasbezug der überwiegenden Anzahl staatlicher Abnahme-stellen werden in einer zentralen Ausschreibung für eine jeweils </w:t>
      </w:r>
      <w:r w:rsidR="00D24AEF">
        <w:t>zwei</w:t>
      </w:r>
      <w:r>
        <w:t>jährige Lieferperio</w:t>
      </w:r>
      <w:r w:rsidR="00B33C5A">
        <w:t>de ermittelt (Vertragslaufzeit zwei</w:t>
      </w:r>
      <w:r>
        <w:t xml:space="preserve"> Jahre).</w:t>
      </w:r>
    </w:p>
    <w:p w:rsidR="0034715F" w:rsidRDefault="0034715F" w:rsidP="0034715F">
      <w:pPr>
        <w:pStyle w:val="LTAntwortRessortText"/>
      </w:pPr>
      <w:r>
        <w:t xml:space="preserve">Die Staatsbauverwaltung strebt seit langem bei </w:t>
      </w:r>
      <w:r w:rsidR="00B33C5A">
        <w:t>den Liegenschaften des Freistaa</w:t>
      </w:r>
      <w:r>
        <w:t xml:space="preserve">tes die Substitution fossiler Energieträger durch erneuerbare Energieformen an. Der Anteil erneuerbarer Energien und der </w:t>
      </w:r>
      <w:r w:rsidR="00B33C5A">
        <w:t>Kraft-Wärme-Kopplung an der Wär</w:t>
      </w:r>
      <w:r>
        <w:t>meversorgung staatlicher Liegenschaften beträgt dadurch bereits rund 50</w:t>
      </w:r>
      <w:r w:rsidR="00D24AEF">
        <w:t> </w:t>
      </w:r>
      <w:r w:rsidR="00190CE9">
        <w:t>Prozent</w:t>
      </w:r>
      <w:r>
        <w:t>. Im Bereich der Wärmeversorgung werden in verm</w:t>
      </w:r>
      <w:r w:rsidR="00B33C5A">
        <w:t>ehrtem Umfang regenerative Ener</w:t>
      </w:r>
      <w:r>
        <w:t>gien wie Biomasse, Solarthermie, oberfläche</w:t>
      </w:r>
      <w:r w:rsidR="00B33C5A">
        <w:t>nnahe Geothermie sowie Technolo</w:t>
      </w:r>
      <w:r>
        <w:t>gien wie die Kraft-Wärme-Kopplung eingesetzt. Außerdem sind oftmals hohe</w:t>
      </w:r>
      <w:r w:rsidR="00CB7B02">
        <w:t xml:space="preserve"> </w:t>
      </w:r>
      <w:r>
        <w:t>Anteile regenerativer Energien bei der Fernwä</w:t>
      </w:r>
      <w:r w:rsidR="00B33C5A">
        <w:t>rmeversorgung und in verschiede</w:t>
      </w:r>
      <w:r>
        <w:t>nen Contracting-Modellen zu verzeichnen.</w:t>
      </w:r>
    </w:p>
    <w:p w:rsidR="0034715F" w:rsidRDefault="0034715F" w:rsidP="0034715F">
      <w:pPr>
        <w:pStyle w:val="LTAntwortRessortText"/>
      </w:pPr>
      <w:r>
        <w:t xml:space="preserve">Die Bauämter wurden mit Schreiben des Staatsministeriums für Wohnen, Bau und Verkehr vom </w:t>
      </w:r>
      <w:r w:rsidR="000D3F50">
        <w:t>0</w:t>
      </w:r>
      <w:r>
        <w:t>8.</w:t>
      </w:r>
      <w:r w:rsidR="000D3F50">
        <w:t>0</w:t>
      </w:r>
      <w:r>
        <w:t>3.2021 explizit aufgefordert, bei künftigen Neubauten oder Sanierungen nur noch Heizungsanlagen einzuset</w:t>
      </w:r>
      <w:r w:rsidR="000D3F50">
        <w:t>zen, die mit regenerativen Ener</w:t>
      </w:r>
      <w:r>
        <w:t xml:space="preserve">gieträgern betrieben werden können, sofern die </w:t>
      </w:r>
      <w:r w:rsidR="000D3F50">
        <w:t>Gegebenheiten dies zulassen. In</w:t>
      </w:r>
      <w:r>
        <w:t xml:space="preserve">nerhalb eines für Heizkessel üblichen Sanierungszyklus von </w:t>
      </w:r>
      <w:r w:rsidR="00D24AEF">
        <w:t xml:space="preserve">zwanzig </w:t>
      </w:r>
      <w:r>
        <w:t xml:space="preserve">Jahren könnten damit bis zum Jahr 2028 rund 80 </w:t>
      </w:r>
      <w:r w:rsidR="00190CE9">
        <w:t>Prozent</w:t>
      </w:r>
      <w:r>
        <w:t xml:space="preserve"> aller Anlag</w:t>
      </w:r>
      <w:r w:rsidR="000D3F50">
        <w:t>en umgestellt werden. In den da</w:t>
      </w:r>
      <w:r>
        <w:t xml:space="preserve">rauffolgenden </w:t>
      </w:r>
      <w:r w:rsidR="00D24AEF">
        <w:t>zehn</w:t>
      </w:r>
      <w:r>
        <w:t xml:space="preserve"> Jahren können voraussichtlich bis auf ca. 50 Großanlagen alle Heizkessel, substituiert werden. Aufgrund tech</w:t>
      </w:r>
      <w:r w:rsidR="000D3F50">
        <w:t>nischer und logistischer Randbe</w:t>
      </w:r>
      <w:r>
        <w:t>dingungen ist es aus heutiger Sicht derzeit und auch mittelfristig aber noch nicht wahrscheinlich, regenerative Energieformen überall einzusetzen. I</w:t>
      </w:r>
      <w:r w:rsidR="000D3F50">
        <w:t>n solchen Fäl</w:t>
      </w:r>
      <w:r>
        <w:t xml:space="preserve">len wird der Energieträger Erdgas (oder andere gasförmige Energieträger wie </w:t>
      </w:r>
      <w:r w:rsidR="00190CE9">
        <w:t>z. B.</w:t>
      </w:r>
      <w:r>
        <w:t xml:space="preserve"> Gase aus Power-to-Gas-Prozessen) weiterhin bedeutsam bleiben. Dies trifft vor allem auf rund 50 Großanlagen der Klinika und Universitätsstandorte zu. Für diese Abnehmer wird erwartet, dass zukünftig in die Gasnetze nicht nur Erdgas, sondern bspw. auch klimaneutrale Brennstoffe</w:t>
      </w:r>
      <w:r w:rsidR="000D3F50">
        <w:t xml:space="preserve"> (Wasserstoffbeimischung und Bi</w:t>
      </w:r>
      <w:r>
        <w:t>ogase) in nennenswerter Menge eingespeist werden.</w:t>
      </w:r>
    </w:p>
    <w:p w:rsidR="0034715F" w:rsidRDefault="0034715F">
      <w:bookmarkStart w:id="48" w:name="Frage_Nr_23_Ende"/>
      <w:bookmarkEnd w:id="48"/>
      <w:r>
        <w:br w:type="page"/>
      </w:r>
    </w:p>
    <w:p w:rsidR="0034715F" w:rsidRDefault="0034715F" w:rsidP="0034715F">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34715F" w:rsidTr="007B0B33">
        <w:tc>
          <w:tcPr>
            <w:tcW w:w="2050" w:type="dxa"/>
          </w:tcPr>
          <w:p w:rsidR="0034715F" w:rsidRDefault="0034715F" w:rsidP="0034715F">
            <w:pPr>
              <w:pStyle w:val="LTAnfrageInitiator"/>
            </w:pPr>
            <w:r>
              <w:t>Abgeordneter</w:t>
            </w:r>
            <w:r>
              <w:rPr>
                <w:b/>
              </w:rPr>
              <w:br/>
              <w:t>Dr. Helmut</w:t>
            </w:r>
            <w:r>
              <w:rPr>
                <w:b/>
              </w:rPr>
              <w:br/>
              <w:t>Kaltenhauser</w:t>
            </w:r>
            <w:r>
              <w:rPr>
                <w:b/>
              </w:rPr>
              <w:br/>
            </w:r>
            <w:r>
              <w:t>(FDP)</w:t>
            </w:r>
            <w:bookmarkStart w:id="49" w:name="Frage_Nr_24"/>
            <w:bookmarkEnd w:id="49"/>
          </w:p>
        </w:tc>
        <w:tc>
          <w:tcPr>
            <w:tcW w:w="7200" w:type="dxa"/>
          </w:tcPr>
          <w:p w:rsidR="0034715F" w:rsidRPr="00714229" w:rsidRDefault="00714229" w:rsidP="0034715F">
            <w:pPr>
              <w:pStyle w:val="LTAnfrageText"/>
            </w:pPr>
            <w:r w:rsidRPr="00714229">
              <w:rPr>
                <w:szCs w:val="24"/>
              </w:rPr>
              <w:t>Ich frage die Staatsregierung, ob es stimmt, dass im Rahmen einer Gerichtsverhandlung Akten verschwunden sind, die im Zusammenhang mit Maskengeschäften stehen, die während der Coronapandemie getätigt wurden, welche(r) Prozess(e) ist/sind hiervon betroffen und um wie viele Akten handelt es sich hierbei?</w:t>
            </w:r>
          </w:p>
        </w:tc>
      </w:tr>
    </w:tbl>
    <w:p w:rsidR="0034715F" w:rsidRDefault="0034715F" w:rsidP="0034715F">
      <w:pPr>
        <w:pStyle w:val="LTUeberschrAntwortRessort"/>
      </w:pPr>
      <w:r>
        <w:t>Antwort des Staatsministeriums der Justiz</w:t>
      </w:r>
    </w:p>
    <w:p w:rsidR="0034715F" w:rsidRDefault="0034715F" w:rsidP="0034715F">
      <w:pPr>
        <w:pStyle w:val="LTAntwortRessortText"/>
      </w:pPr>
      <w:r>
        <w:t>Nach Auskunft der Generalstaatsanwaltschaften ist in den dortigen Bezirken kein entsprechender Sachverhalt bekannt.</w:t>
      </w:r>
    </w:p>
    <w:p w:rsidR="00CB7B02" w:rsidRDefault="00CB7B02" w:rsidP="0034715F">
      <w:pPr>
        <w:pStyle w:val="LTAntwortRessortText"/>
      </w:pPr>
      <w:r w:rsidRPr="00CB7B02">
        <w:t>Eine Abfrage bei sämtlichen Straf- und Zivilgerichten war im Hinblick auf die für die Beantwortung zur Verfügung stehende Zeit nicht möglich.</w:t>
      </w:r>
    </w:p>
    <w:p w:rsidR="0034715F" w:rsidRDefault="0034715F">
      <w:bookmarkStart w:id="50" w:name="Frage_Nr_24_Ende"/>
      <w:bookmarkEnd w:id="50"/>
      <w:r>
        <w:br w:type="page"/>
      </w:r>
    </w:p>
    <w:p w:rsidR="0034715F" w:rsidRDefault="0034715F" w:rsidP="0034715F">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34715F" w:rsidTr="007B0B33">
        <w:tc>
          <w:tcPr>
            <w:tcW w:w="2050" w:type="dxa"/>
          </w:tcPr>
          <w:p w:rsidR="0034715F" w:rsidRDefault="0034715F" w:rsidP="0034715F">
            <w:pPr>
              <w:pStyle w:val="LTAnfrageInitiator"/>
            </w:pPr>
            <w:r>
              <w:t>Abgeordneter</w:t>
            </w:r>
            <w:r>
              <w:rPr>
                <w:b/>
              </w:rPr>
              <w:br/>
              <w:t>Klaus</w:t>
            </w:r>
            <w:r>
              <w:rPr>
                <w:b/>
              </w:rPr>
              <w:br/>
              <w:t>Adelt</w:t>
            </w:r>
            <w:r>
              <w:rPr>
                <w:b/>
              </w:rPr>
              <w:br/>
            </w:r>
            <w:r>
              <w:t>(SPD)</w:t>
            </w:r>
            <w:bookmarkStart w:id="51" w:name="Frage_Nr_25"/>
            <w:bookmarkEnd w:id="51"/>
          </w:p>
        </w:tc>
        <w:tc>
          <w:tcPr>
            <w:tcW w:w="7200" w:type="dxa"/>
          </w:tcPr>
          <w:p w:rsidR="0034715F" w:rsidRPr="00D80397" w:rsidRDefault="00D80397" w:rsidP="0034715F">
            <w:pPr>
              <w:pStyle w:val="LTAnfrageText"/>
            </w:pPr>
            <w:r w:rsidRPr="00D80397">
              <w:rPr>
                <w:szCs w:val="24"/>
              </w:rPr>
              <w:t>Nachdem weit über 50 000 Klassenzimmer in Bayern bisher mit Luftfiltern ausgestattet sind, viele davon bereits seit rund einem Jahr und länger, frage ich die Staatsregierung, gibt es seitens der Staatsregierung erste repräsentative Erkenntnisse, Studien über den Zusammenhang zwischen vorhandenen und funktionierenden Luftfiltern in den Klassenräumen und dem Infektionsgeschehen in den Klassen resp. Schulverbänden, falls ja, zu welchem Schluss kommen diese hinsichtlich der Wirksamkeit der Luftfilter und einem geringeren Ansteckungsrisiko, falls nein, ist eine entsprechende Evaluation in Arbeit bzw. in Planung?</w:t>
            </w:r>
          </w:p>
        </w:tc>
      </w:tr>
    </w:tbl>
    <w:p w:rsidR="0034715F" w:rsidRDefault="0034715F" w:rsidP="0034715F">
      <w:pPr>
        <w:pStyle w:val="LTUeberschrAntwortRessort"/>
      </w:pPr>
      <w:r>
        <w:t>Antwort des Staatsministeriums für Unterricht und Kultus</w:t>
      </w:r>
    </w:p>
    <w:p w:rsidR="0034715F" w:rsidRDefault="0034715F" w:rsidP="0034715F">
      <w:pPr>
        <w:pStyle w:val="LTAntwortRessortText"/>
      </w:pPr>
      <w:r>
        <w:t>Den staatlichen Förderpr</w:t>
      </w:r>
      <w:r w:rsidR="007758B6">
        <w:t>ogrammen liegen wesentlich die –</w:t>
      </w:r>
      <w:r>
        <w:t xml:space="preserve"> nach wie</w:t>
      </w:r>
      <w:r w:rsidR="007758B6">
        <w:t xml:space="preserve"> vor aktuellen –</w:t>
      </w:r>
      <w:r w:rsidR="00324074">
        <w:t xml:space="preserve"> </w:t>
      </w:r>
      <w:r>
        <w:t>Ausführungen des Umweltbundesamts zugrunde, wonach vor allem dort, wo nicht</w:t>
      </w:r>
      <w:r w:rsidR="00324074">
        <w:t xml:space="preserve"> </w:t>
      </w:r>
      <w:r>
        <w:t>ausreichend gelüftet werden kann, kontinuierlich betriebene, einfache Zu- und Abluftanlagen</w:t>
      </w:r>
      <w:r w:rsidR="00324074">
        <w:t xml:space="preserve"> </w:t>
      </w:r>
      <w:r>
        <w:t>oder mobile Luftreiniger helfen, die Virenlast im Raum in einer Größenordnung</w:t>
      </w:r>
      <w:r w:rsidR="00324074">
        <w:t xml:space="preserve"> </w:t>
      </w:r>
      <w:r>
        <w:t>von bis zu 90 Prozent zu reduzieren. Seitens des Staatsministeriums für Unterricht</w:t>
      </w:r>
      <w:r w:rsidR="00324074">
        <w:t xml:space="preserve"> </w:t>
      </w:r>
      <w:r>
        <w:t>und Kultus gibt es daher keine Studien über den Zusammenhang zwischen vorhandenen</w:t>
      </w:r>
      <w:r w:rsidR="00324074">
        <w:t xml:space="preserve"> </w:t>
      </w:r>
      <w:r>
        <w:t>und funktionierenden Luftfiltern in den Klassenräumen und dem Infektionsgeschehen</w:t>
      </w:r>
      <w:r w:rsidR="00324074">
        <w:t xml:space="preserve"> </w:t>
      </w:r>
      <w:r>
        <w:t>in den Klassen resp. Schulverbänden.</w:t>
      </w:r>
    </w:p>
    <w:p w:rsidR="0034715F" w:rsidRDefault="0034715F" w:rsidP="0034715F">
      <w:pPr>
        <w:pStyle w:val="LTAntwortRessortText"/>
      </w:pPr>
      <w:r>
        <w:t>Mobile Luftreinigungsgeräte wurden und werden als wichtiger und effektiver, jedoch</w:t>
      </w:r>
      <w:r w:rsidR="00324074">
        <w:t xml:space="preserve"> </w:t>
      </w:r>
      <w:r>
        <w:t>nicht als einziger Baustein unter den Hygiene- und Schutzmaßnahmen erachtet.</w:t>
      </w:r>
    </w:p>
    <w:p w:rsidR="0034715F" w:rsidRDefault="0034715F">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715F" w:rsidTr="007B0B33">
        <w:tc>
          <w:tcPr>
            <w:tcW w:w="2050" w:type="dxa"/>
          </w:tcPr>
          <w:p w:rsidR="0034715F" w:rsidRDefault="0034715F" w:rsidP="0034715F">
            <w:pPr>
              <w:pStyle w:val="LTAnfrageInitiator"/>
            </w:pPr>
            <w:r>
              <w:lastRenderedPageBreak/>
              <w:t>Abgeordneter</w:t>
            </w:r>
            <w:r>
              <w:rPr>
                <w:b/>
              </w:rPr>
              <w:br/>
              <w:t>Benjamin</w:t>
            </w:r>
            <w:r>
              <w:rPr>
                <w:b/>
              </w:rPr>
              <w:br/>
              <w:t>Adjei</w:t>
            </w:r>
            <w:r>
              <w:rPr>
                <w:b/>
              </w:rPr>
              <w:br/>
            </w:r>
            <w:r>
              <w:t>(BÜNDNIS 90/DIE GRÜNEN)</w:t>
            </w:r>
            <w:bookmarkStart w:id="53" w:name="Frage_Nr_26"/>
            <w:bookmarkEnd w:id="53"/>
          </w:p>
        </w:tc>
        <w:tc>
          <w:tcPr>
            <w:tcW w:w="7200" w:type="dxa"/>
          </w:tcPr>
          <w:p w:rsidR="0034715F" w:rsidRPr="00355B6A" w:rsidRDefault="00355B6A" w:rsidP="0034715F">
            <w:pPr>
              <w:pStyle w:val="LTAnfrageText"/>
            </w:pPr>
            <w:r w:rsidRPr="00355B6A">
              <w:rPr>
                <w:szCs w:val="24"/>
              </w:rPr>
              <w:t>Ich frage die Staatsregierung, welche Gründe haben sie dazu bewogen, Schulen aus dem Anwendungsbereich des Entwurfs des Digitalgesetzes explizit zu streichen, wie bewertet sie die aktuellen regulatorischen Rahmenbedingungen der Digitalisierung an Schulen und mit welchen regulatorischen Maßnahmen plant sie, die Digitalisierung der Schulen zu steuern?</w:t>
            </w:r>
          </w:p>
        </w:tc>
      </w:tr>
    </w:tbl>
    <w:p w:rsidR="0034715F" w:rsidRDefault="0034715F" w:rsidP="0034715F">
      <w:pPr>
        <w:pStyle w:val="LTUeberschrAntwortRessort"/>
      </w:pPr>
      <w:r>
        <w:t>Antwort des Staatsministeriums für Unterricht und Kultus</w:t>
      </w:r>
    </w:p>
    <w:p w:rsidR="0034715F" w:rsidRDefault="0034715F" w:rsidP="0034715F">
      <w:pPr>
        <w:pStyle w:val="LTAntwortRessortText"/>
      </w:pPr>
      <w:r w:rsidRPr="00386462">
        <w:t xml:space="preserve">Zur </w:t>
      </w:r>
      <w:r w:rsidR="004521FF" w:rsidRPr="00386462">
        <w:t xml:space="preserve">ersten </w:t>
      </w:r>
      <w:r w:rsidRPr="00386462">
        <w:t>Teilfrage</w:t>
      </w:r>
      <w:r w:rsidR="004521FF">
        <w:t>:</w:t>
      </w:r>
      <w:r>
        <w:t>Es trifft nicht zu, dass Schulen aus dem Anwendungsbereich des Entwurfs des Digitalgesetzes gestrichen wurden.</w:t>
      </w:r>
    </w:p>
    <w:p w:rsidR="0034715F" w:rsidRDefault="0034715F" w:rsidP="0034715F">
      <w:pPr>
        <w:pStyle w:val="LTAntwortRessortText"/>
      </w:pPr>
      <w:r>
        <w:t>Vielme</w:t>
      </w:r>
      <w:r w:rsidR="00F147A0">
        <w:t>hr ist –</w:t>
      </w:r>
      <w:r>
        <w:t xml:space="preserve"> wie schon im geltenden E-Government-Gesetz</w:t>
      </w:r>
      <w:r w:rsidR="00CD360B">
        <w:t xml:space="preserve"> </w:t>
      </w:r>
      <w:r w:rsidR="00F147A0">
        <w:t>(BayEGovG) –</w:t>
      </w:r>
      <w:r>
        <w:t xml:space="preserve"> eine Ausnahme von Teilen des </w:t>
      </w:r>
      <w:r w:rsidR="00F147A0">
        <w:t>Gesetzes vorgesehen: Gemäß Art. </w:t>
      </w:r>
      <w:r>
        <w:t>1</w:t>
      </w:r>
      <w:r w:rsidR="00CD360B">
        <w:t xml:space="preserve"> </w:t>
      </w:r>
      <w:r w:rsidR="00F147A0">
        <w:t>Abs. 2 Satz 2 Nr. 1 Bayerisches Digitalgesetz (</w:t>
      </w:r>
      <w:r>
        <w:t>BayDiG-E</w:t>
      </w:r>
      <w:r w:rsidR="00F147A0">
        <w:t>)</w:t>
      </w:r>
      <w:r>
        <w:t xml:space="preserve"> sollen Teil 2 und 4 des Gesetzes für die Tätigkeit von</w:t>
      </w:r>
      <w:r w:rsidR="00CD360B">
        <w:t xml:space="preserve"> </w:t>
      </w:r>
      <w:r>
        <w:t xml:space="preserve">Schulen (und verschiedener weiterer im Gesetz genannter Einrichtungen </w:t>
      </w:r>
      <w:r w:rsidR="00F147A0">
        <w:t>–</w:t>
      </w:r>
      <w:r>
        <w:t xml:space="preserve"> insbesondere</w:t>
      </w:r>
      <w:r w:rsidR="00CD360B">
        <w:t xml:space="preserve"> </w:t>
      </w:r>
      <w:r>
        <w:t>Krankenhäuser, Landesamt für Verfassungsschutz und Beliehene) nicht gelten.</w:t>
      </w:r>
    </w:p>
    <w:p w:rsidR="0034715F" w:rsidRDefault="00F147A0" w:rsidP="0034715F">
      <w:pPr>
        <w:pStyle w:val="LTAntwortRessortText"/>
      </w:pPr>
      <w:r>
        <w:t>Aufgrund des in Art. </w:t>
      </w:r>
      <w:r w:rsidR="0034715F">
        <w:t>7 A</w:t>
      </w:r>
      <w:r>
        <w:t>bs. 1 Grundgesetz (GG) und Art. </w:t>
      </w:r>
      <w:r w:rsidR="0034715F">
        <w:t>130 Abs. 1, Art. 131 der</w:t>
      </w:r>
      <w:r w:rsidR="00CD360B">
        <w:t xml:space="preserve"> </w:t>
      </w:r>
      <w:r w:rsidR="0034715F">
        <w:t xml:space="preserve">Verfassung </w:t>
      </w:r>
      <w:r w:rsidR="00EA0990">
        <w:t xml:space="preserve">des Freistaates Bayern </w:t>
      </w:r>
      <w:r w:rsidR="0034715F">
        <w:t>(BV) verankerten staatlichen Bildungs- und Erziehungsauftrags</w:t>
      </w:r>
      <w:r w:rsidR="00CD360B">
        <w:t xml:space="preserve"> </w:t>
      </w:r>
      <w:r w:rsidR="0034715F">
        <w:t>unterscheiden sich die Schulen wesentlich von anderen staatlichen Behörden.</w:t>
      </w:r>
    </w:p>
    <w:p w:rsidR="0034715F" w:rsidRDefault="0034715F" w:rsidP="0034715F">
      <w:pPr>
        <w:pStyle w:val="LTAntwortRessortText"/>
      </w:pPr>
      <w:r>
        <w:t>Die Schulen sind keine Behörden im klassischen Sinne, deren Hauptzweck in der</w:t>
      </w:r>
      <w:r w:rsidR="00CD360B">
        <w:t xml:space="preserve"> </w:t>
      </w:r>
      <w:r>
        <w:t>Verrichtung von Verwaltungstätigkeiten für die Bürgerinnen und Bürger besteht.</w:t>
      </w:r>
    </w:p>
    <w:p w:rsidR="0034715F" w:rsidRDefault="0034715F" w:rsidP="0034715F">
      <w:pPr>
        <w:pStyle w:val="LTAntwortRessortText"/>
      </w:pPr>
      <w:r>
        <w:t>Hauptaufgabe der Schulen ist vielmehr die Erziehung und Bildung ihrer Schülerinnen</w:t>
      </w:r>
      <w:r w:rsidR="00CD360B">
        <w:t xml:space="preserve"> </w:t>
      </w:r>
      <w:r>
        <w:t>und Schüler. Entsprechend ist auch die rein verwaltungstechnische Ausstattung eine</w:t>
      </w:r>
      <w:r w:rsidR="00CD360B">
        <w:t xml:space="preserve"> </w:t>
      </w:r>
      <w:r>
        <w:t>andere als bei Behörden im klassischen Sinn.</w:t>
      </w:r>
    </w:p>
    <w:p w:rsidR="0034715F" w:rsidRDefault="0034715F" w:rsidP="0034715F">
      <w:pPr>
        <w:pStyle w:val="LTAntwortRessortText"/>
      </w:pPr>
      <w:r>
        <w:t>Erschwerend ist zu berücksichtigen, dass jede einzelne Schule eigenverantwortlich</w:t>
      </w:r>
      <w:r w:rsidR="00CD360B">
        <w:t xml:space="preserve"> </w:t>
      </w:r>
      <w:r>
        <w:t>die Verpflichtungen des BayDiG umzusetzen hätte, was einen umfassenden und tausendfachen</w:t>
      </w:r>
      <w:r w:rsidR="00CD360B">
        <w:t xml:space="preserve"> </w:t>
      </w:r>
      <w:r>
        <w:t>Aufwand zur Folge hätte.</w:t>
      </w:r>
    </w:p>
    <w:p w:rsidR="0034715F" w:rsidRDefault="0034715F" w:rsidP="0034715F">
      <w:pPr>
        <w:pStyle w:val="LTAntwortRessortText"/>
      </w:pPr>
      <w:r>
        <w:t>Viele Aufgaben könnten die Schulen zudem gar nicht eigenständig ausführen, weil</w:t>
      </w:r>
      <w:r w:rsidR="00CD360B">
        <w:t xml:space="preserve"> </w:t>
      </w:r>
      <w:r>
        <w:t>ihnen in Abhängigkeit von Schulaufwandträger und Schulaufsicht entsprechende eigenständige</w:t>
      </w:r>
      <w:r w:rsidR="00CD360B">
        <w:t xml:space="preserve"> </w:t>
      </w:r>
      <w:r>
        <w:t>Mittelbewirtschaftungsbefugnisse fehlen.</w:t>
      </w:r>
    </w:p>
    <w:p w:rsidR="0034715F" w:rsidRDefault="0034715F" w:rsidP="0034715F">
      <w:pPr>
        <w:pStyle w:val="LTAntwortRessortText"/>
      </w:pPr>
      <w:r>
        <w:t>Viele Verpflichtungen des BayDiG sind zudem Angebote an die betroffenen Bürger</w:t>
      </w:r>
      <w:r w:rsidR="00CD360B">
        <w:t xml:space="preserve"> </w:t>
      </w:r>
      <w:r>
        <w:t>(</w:t>
      </w:r>
      <w:r w:rsidR="00190CE9">
        <w:t>z. B.</w:t>
      </w:r>
      <w:r>
        <w:t xml:space="preserve"> Nu</w:t>
      </w:r>
      <w:r w:rsidR="00F147A0">
        <w:t>tzung Organisationsportal, Art. </w:t>
      </w:r>
      <w:r>
        <w:t>28 ff BayDiG-E). Diese können wählen, ob</w:t>
      </w:r>
      <w:r w:rsidR="00CD360B">
        <w:t xml:space="preserve"> </w:t>
      </w:r>
      <w:r>
        <w:t>und in welcher Form sie mit der für sie zuständigen Behörde kommunizieren. In</w:t>
      </w:r>
      <w:r w:rsidR="00CD360B">
        <w:t xml:space="preserve"> </w:t>
      </w:r>
      <w:r>
        <w:t>Schulen muss es jedoch eine für alle geltende Kommunikationslinie geben, beispielsweise</w:t>
      </w:r>
      <w:r w:rsidR="00CD360B">
        <w:t xml:space="preserve"> </w:t>
      </w:r>
      <w:r>
        <w:t>auch im Hinblick auf Schulwechsel im Laufe einer Schullaufbahn.</w:t>
      </w:r>
    </w:p>
    <w:p w:rsidR="0034715F" w:rsidRDefault="0034715F" w:rsidP="0034715F">
      <w:pPr>
        <w:pStyle w:val="LTAntwortRessortText"/>
      </w:pPr>
      <w:r>
        <w:t xml:space="preserve">Die </w:t>
      </w:r>
      <w:r w:rsidR="00190CE9">
        <w:t>o. g.</w:t>
      </w:r>
      <w:r>
        <w:t xml:space="preserve"> Ausnahme von Teilen des BayDiG-E gilt im Übrigen nicht für die Schulaufsicht-</w:t>
      </w:r>
      <w:r w:rsidR="00CD360B">
        <w:t xml:space="preserve"> </w:t>
      </w:r>
      <w:r>
        <w:t>bzw. Schulverwaltung. Hier handelt es sich anders als bei den Schulen um Behörden,</w:t>
      </w:r>
      <w:r w:rsidR="00CD360B">
        <w:t xml:space="preserve"> </w:t>
      </w:r>
      <w:r>
        <w:t>die vollumfänglich den Anforderungen des BayDiG-E unterliegen.</w:t>
      </w:r>
    </w:p>
    <w:p w:rsidR="0034715F" w:rsidRPr="00CD360B" w:rsidRDefault="004521FF" w:rsidP="0034715F">
      <w:pPr>
        <w:pStyle w:val="LTAntwortRessortText"/>
        <w:rPr>
          <w:i/>
          <w:u w:val="single"/>
        </w:rPr>
      </w:pPr>
      <w:r>
        <w:rPr>
          <w:u w:val="single"/>
        </w:rPr>
        <w:lastRenderedPageBreak/>
        <w:t>Zur zweiten Teilfrage:</w:t>
      </w:r>
    </w:p>
    <w:p w:rsidR="0034715F" w:rsidRDefault="0034715F" w:rsidP="0034715F">
      <w:pPr>
        <w:pStyle w:val="LTAntwortRessortText"/>
      </w:pPr>
      <w:r>
        <w:t>Die Staatsregierung bewertet die aktuellen regulatorischen Rahmenbedingungen als</w:t>
      </w:r>
      <w:r w:rsidR="00D32492">
        <w:t xml:space="preserve"> </w:t>
      </w:r>
      <w:r>
        <w:t>gute Grundlage für die Digitalisierung an Schulen, die kontinuierlich bedarfsgerecht</w:t>
      </w:r>
      <w:r w:rsidR="00D32492">
        <w:t xml:space="preserve"> </w:t>
      </w:r>
      <w:r>
        <w:t>weiterzuentwickeln ist.</w:t>
      </w:r>
    </w:p>
    <w:p w:rsidR="0034715F" w:rsidRPr="00D32492" w:rsidRDefault="004521FF" w:rsidP="0034715F">
      <w:pPr>
        <w:pStyle w:val="LTAntwortRessortText"/>
        <w:rPr>
          <w:i/>
          <w:u w:val="single"/>
        </w:rPr>
      </w:pPr>
      <w:r>
        <w:rPr>
          <w:u w:val="single"/>
        </w:rPr>
        <w:t>Zur dritten Teilfrage:</w:t>
      </w:r>
    </w:p>
    <w:p w:rsidR="0034715F" w:rsidRDefault="0034715F" w:rsidP="0034715F">
      <w:pPr>
        <w:pStyle w:val="LTAntwortRessortText"/>
      </w:pPr>
      <w:r>
        <w:t>Die Staatsregierung plant, die Digitalisierung mit schulspezifischen regulatorischen</w:t>
      </w:r>
      <w:r w:rsidR="00D32492">
        <w:t xml:space="preserve"> </w:t>
      </w:r>
      <w:r>
        <w:t>Maßnahmen zu steuern.</w:t>
      </w:r>
    </w:p>
    <w:p w:rsidR="0034715F" w:rsidRDefault="0034715F">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34715F" w:rsidTr="007B0B33">
        <w:tc>
          <w:tcPr>
            <w:tcW w:w="2050" w:type="dxa"/>
          </w:tcPr>
          <w:p w:rsidR="0034715F" w:rsidRDefault="0034715F" w:rsidP="0034715F">
            <w:pPr>
              <w:pStyle w:val="LTAnfrageInitiator"/>
            </w:pPr>
            <w:r>
              <w:lastRenderedPageBreak/>
              <w:t>Abgeordnete</w:t>
            </w:r>
            <w:r>
              <w:rPr>
                <w:b/>
              </w:rPr>
              <w:br/>
              <w:t>Claudia</w:t>
            </w:r>
            <w:r>
              <w:rPr>
                <w:b/>
              </w:rPr>
              <w:br/>
              <w:t>Köhler</w:t>
            </w:r>
            <w:r>
              <w:rPr>
                <w:b/>
              </w:rPr>
              <w:br/>
            </w:r>
            <w:r>
              <w:t>(BÜNDNIS 90/DIE GRÜNEN)</w:t>
            </w:r>
            <w:bookmarkStart w:id="55" w:name="Frage_Nr_27"/>
            <w:bookmarkEnd w:id="55"/>
          </w:p>
        </w:tc>
        <w:tc>
          <w:tcPr>
            <w:tcW w:w="7200" w:type="dxa"/>
          </w:tcPr>
          <w:p w:rsidR="0034715F" w:rsidRPr="002D33E5" w:rsidRDefault="002D33E5" w:rsidP="0034715F">
            <w:pPr>
              <w:pStyle w:val="LTAnfrageText"/>
            </w:pPr>
            <w:r w:rsidRPr="002D33E5">
              <w:rPr>
                <w:szCs w:val="24"/>
              </w:rPr>
              <w:t>Ich frage die Staatsregierung, in welcher Höhe wurden staatliche Zuschüsse aus den Titeln 684 06 und 893 04 in Kap. 05 05 des Staatshaushaltes jeweils in den Jahren 2020 und 2021 an die Hanns-Seidel-Stiftung e. V., die Georg-von-Vollmar-Akademie e. V., die Franken-Akademie Schloss Schney e. V., die Gesellschaft für Politische Bildung e. V. – Akademie Frankenwarte Würzburg, das Seminar für Politik e. V., die Thomas-Dehler-Stiftung, an die Petra-Kelly-Stiftung – Bildungswerk für Demokratie und Ökologie in der Heinrich-Böll-Stiftung e. V. und an das Bildungswerk für Kommunalpolitik Bayern e. V. gezahlt?</w:t>
            </w:r>
          </w:p>
        </w:tc>
      </w:tr>
    </w:tbl>
    <w:p w:rsidR="0034715F" w:rsidRDefault="0034715F" w:rsidP="0034715F">
      <w:pPr>
        <w:pStyle w:val="LTUeberschrAntwortRessort"/>
      </w:pPr>
      <w:r>
        <w:t>Antwort des Staatsministeriums für Unterricht und Kultus</w:t>
      </w:r>
    </w:p>
    <w:p w:rsidR="0034715F" w:rsidRDefault="0034715F" w:rsidP="0034715F">
      <w:pPr>
        <w:pStyle w:val="LTAntwortRessortText"/>
      </w:pPr>
      <w:r>
        <w:t xml:space="preserve">Die Antwort auf die Anfrage kann der angefügten Tabelle </w:t>
      </w:r>
      <w:r w:rsidR="00524176" w:rsidRPr="00524176">
        <w:rPr>
          <w:rStyle w:val="LTHyperlinkZchn"/>
          <w:b w:val="0"/>
        </w:rPr>
        <w:t>*)</w:t>
      </w:r>
      <w:r w:rsidR="00524176">
        <w:t xml:space="preserve"> </w:t>
      </w:r>
      <w:r>
        <w:t>entnommen werden. Ergänzend</w:t>
      </w:r>
      <w:r w:rsidR="00B74125">
        <w:t xml:space="preserve"> </w:t>
      </w:r>
      <w:r>
        <w:t>wird auf folgendes hingewiesen:</w:t>
      </w:r>
    </w:p>
    <w:p w:rsidR="0034715F" w:rsidRDefault="0034715F" w:rsidP="0034715F">
      <w:pPr>
        <w:pStyle w:val="LTAntwortRessortText"/>
      </w:pPr>
      <w:r>
        <w:t>Bezüglich Titel 684 06 bemessen sich die Anteile im Verhältnis der prozentualen Verteilung</w:t>
      </w:r>
      <w:r w:rsidR="00B74125">
        <w:t xml:space="preserve"> </w:t>
      </w:r>
      <w:r>
        <w:t>der bei den jeweils letzten vier Wahlen zum Landtag für diese</w:t>
      </w:r>
      <w:r w:rsidR="00B74125">
        <w:t xml:space="preserve"> </w:t>
      </w:r>
      <w:r>
        <w:t>Fraktionen abgegebenen gültigen Gesamtstimmen. Bei dieser Berechnung bleiben</w:t>
      </w:r>
      <w:r w:rsidR="00B74125">
        <w:t xml:space="preserve"> </w:t>
      </w:r>
      <w:r>
        <w:t>Gesamtstimmen, die für Fraktionen abgegeben wurden, die keinem geförderten Zuwendungsempfänger</w:t>
      </w:r>
      <w:r w:rsidR="00B74125">
        <w:t xml:space="preserve"> </w:t>
      </w:r>
      <w:r>
        <w:t>nahestehen, oder für Parteien, die nicht im Landtag in Fraktionsstärke</w:t>
      </w:r>
      <w:r w:rsidR="00B74125">
        <w:t xml:space="preserve"> </w:t>
      </w:r>
      <w:r>
        <w:t>vertreten sind, außer Betracht. Maßgeblich für die Berechnung sind die zu</w:t>
      </w:r>
      <w:r w:rsidR="00B74125">
        <w:t xml:space="preserve"> </w:t>
      </w:r>
      <w:r>
        <w:t>Beginn des jeweiligen Haushaltsjahres vorliegenden Wahlergebnisse.</w:t>
      </w:r>
    </w:p>
    <w:p w:rsidR="0034715F" w:rsidRDefault="0034715F" w:rsidP="0034715F">
      <w:pPr>
        <w:pStyle w:val="LTAntwortRessortText"/>
      </w:pPr>
      <w:r>
        <w:t>Bezüglich Titel 893 04 sind die Mittel zur Förderung notwendiger Investitionsmaßnahmen</w:t>
      </w:r>
      <w:r w:rsidR="00B74125">
        <w:t xml:space="preserve"> </w:t>
      </w:r>
      <w:r>
        <w:t>an Bildungsstätten der parteinahen politischen Stiftungen bestimmt. Gefördert</w:t>
      </w:r>
      <w:r w:rsidR="00B74125">
        <w:t xml:space="preserve"> </w:t>
      </w:r>
      <w:r>
        <w:t>werden Maßnahmen kleineren Umfangs im Rahmen von Umbauten, Sanierung</w:t>
      </w:r>
      <w:r w:rsidR="00B74125">
        <w:t xml:space="preserve"> </w:t>
      </w:r>
      <w:r>
        <w:t>und Modernisierung von Bildungseinrichtungen.</w:t>
      </w:r>
    </w:p>
    <w:p w:rsidR="0034715F" w:rsidRDefault="0034715F" w:rsidP="0034715F">
      <w:pPr>
        <w:pStyle w:val="LTAntwortRessortText"/>
      </w:pPr>
    </w:p>
    <w:p w:rsidR="0034715F" w:rsidRDefault="002E1C45" w:rsidP="0034715F">
      <w:pPr>
        <w:pStyle w:val="LTAntwortRessortText"/>
      </w:pPr>
      <w:r w:rsidRPr="002E1C45">
        <w:rPr>
          <w:rStyle w:val="LTHyperlinkZchn"/>
          <w:b w:val="0"/>
        </w:rPr>
        <w:t>*)</w:t>
      </w:r>
      <w:r>
        <w:t xml:space="preserve"> Von einem Abdruck wurde abgesehen. Die Anlage ist als pdf-Dokument </w:t>
      </w:r>
      <w:hyperlink r:id="rId16" w:history="1">
        <w:r w:rsidRPr="002E1C45">
          <w:rPr>
            <w:rStyle w:val="LTHyperlinkZchn"/>
            <w:b w:val="0"/>
          </w:rPr>
          <w:t>hier</w:t>
        </w:r>
      </w:hyperlink>
      <w:r>
        <w:t xml:space="preserve"> einsehbar.</w:t>
      </w:r>
    </w:p>
    <w:p w:rsidR="0034715F" w:rsidRDefault="0034715F">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5710"/>
      </w:tblGrid>
      <w:tr w:rsidR="0034715F" w:rsidTr="007B0B33">
        <w:tc>
          <w:tcPr>
            <w:tcW w:w="2050" w:type="dxa"/>
          </w:tcPr>
          <w:p w:rsidR="0034715F" w:rsidRDefault="0034715F" w:rsidP="0034715F">
            <w:pPr>
              <w:pStyle w:val="LTAnfrageInitiator"/>
            </w:pPr>
            <w:r>
              <w:lastRenderedPageBreak/>
              <w:t>Abgeordnete</w:t>
            </w:r>
            <w:r>
              <w:rPr>
                <w:b/>
              </w:rPr>
              <w:br/>
              <w:t>Anna</w:t>
            </w:r>
            <w:r>
              <w:rPr>
                <w:b/>
              </w:rPr>
              <w:br/>
              <w:t>Schwamberger</w:t>
            </w:r>
            <w:r>
              <w:rPr>
                <w:b/>
              </w:rPr>
              <w:br/>
            </w:r>
            <w:r>
              <w:t>(BÜNDNIS 90/DIE GRÜNEN)</w:t>
            </w:r>
            <w:bookmarkStart w:id="57" w:name="Frage_Nr_28"/>
            <w:bookmarkEnd w:id="57"/>
          </w:p>
        </w:tc>
        <w:tc>
          <w:tcPr>
            <w:tcW w:w="7200" w:type="dxa"/>
          </w:tcPr>
          <w:p w:rsidR="0034715F" w:rsidRPr="005354B6" w:rsidRDefault="005354B6" w:rsidP="0034715F">
            <w:pPr>
              <w:pStyle w:val="LTAnfrageText"/>
            </w:pPr>
            <w:r w:rsidRPr="005354B6">
              <w:rPr>
                <w:szCs w:val="24"/>
              </w:rPr>
              <w:t>Ich frage die Staatsregierung, wie sich die Verteilung der Lehrkräfte in Bayern in den Altersgruppen 20 bis 35 Jahre, 36 bis 50 Jahre und 51 bis 67 Jahre darstellt (bitte aufgeschlüsselt nach Schulamtsbezirken), welche Maßnahmen ergriffen werden, um einem drohenden Lehrermangel aufgrund der Altersstruktur in einzelnen Bezirken entgegenzuwirken und welche Auswirkungen die Altersstruktur auf Versetzungen der Lehrkräfte in andere Regierungsbezirke hat?</w:t>
            </w:r>
          </w:p>
        </w:tc>
      </w:tr>
    </w:tbl>
    <w:p w:rsidR="0034715F" w:rsidRDefault="0034715F" w:rsidP="0034715F">
      <w:pPr>
        <w:pStyle w:val="LTUeberschrAntwortRessort"/>
      </w:pPr>
      <w:r>
        <w:t>Antwort des Staatsministeriums für Unterricht und Kultus</w:t>
      </w:r>
    </w:p>
    <w:p w:rsidR="0034715F" w:rsidRDefault="0034715F" w:rsidP="0034715F">
      <w:pPr>
        <w:pStyle w:val="LTAntwortRessortText"/>
      </w:pPr>
      <w:r>
        <w:t xml:space="preserve">Der beiliegenden Tabelle </w:t>
      </w:r>
      <w:r w:rsidR="00A655DA" w:rsidRPr="00A655DA">
        <w:rPr>
          <w:rStyle w:val="LTHyperlinkZchn"/>
          <w:b w:val="0"/>
        </w:rPr>
        <w:t>*)</w:t>
      </w:r>
      <w:r w:rsidR="00A655DA">
        <w:t xml:space="preserve"> </w:t>
      </w:r>
      <w:r>
        <w:t>ist die Anzahl der vollzeit- sowie überhälftig teilzeitbeschäftigten</w:t>
      </w:r>
      <w:r w:rsidR="00616EC9">
        <w:t xml:space="preserve"> </w:t>
      </w:r>
      <w:r>
        <w:t>Lehrkräfte an Schulen im Schuljahr 2020/2021 in Aufgliederungen</w:t>
      </w:r>
      <w:r w:rsidR="00616EC9">
        <w:t xml:space="preserve"> </w:t>
      </w:r>
      <w:r>
        <w:t>nach dem Alter der Lehrkräfte sowie nach den 96 Landkreisen und kreisfreien Städten</w:t>
      </w:r>
      <w:r w:rsidR="00616EC9">
        <w:t xml:space="preserve"> </w:t>
      </w:r>
      <w:r>
        <w:t>zu entnehmen. Eine Darstellung nach Schulamtsbezirken erfolgt nicht, da diese Verwaltungsstruktur</w:t>
      </w:r>
      <w:r w:rsidR="00616EC9">
        <w:t xml:space="preserve"> </w:t>
      </w:r>
      <w:r>
        <w:t>ausschließlich im Bereich der Grund- und Mittelschulen besteht. Verfahrensbedingt</w:t>
      </w:r>
      <w:r w:rsidR="00616EC9">
        <w:t xml:space="preserve"> </w:t>
      </w:r>
      <w:r>
        <w:t>ist eine Darstellung in den erbetenen Altersgruppen nicht möglich, weshalb</w:t>
      </w:r>
      <w:r w:rsidR="00616EC9">
        <w:t xml:space="preserve"> </w:t>
      </w:r>
      <w:r>
        <w:t>ersatzweise eine Einteilung in die Altersgruppen bis unter 35 Jahren, von 35 bis</w:t>
      </w:r>
      <w:r w:rsidR="00616EC9">
        <w:t xml:space="preserve"> </w:t>
      </w:r>
      <w:r>
        <w:t>unter 50 Jahren sowie von 50 Jahren oder mehr erfolgt. Amtliche Daten zum Schuljahr</w:t>
      </w:r>
      <w:r w:rsidR="00616EC9">
        <w:t xml:space="preserve"> </w:t>
      </w:r>
      <w:r>
        <w:t>2021/2022 liegen noch nicht für alle Schularten vor. Aus diesem Grund wird für die</w:t>
      </w:r>
      <w:r w:rsidR="00616EC9">
        <w:t xml:space="preserve"> </w:t>
      </w:r>
      <w:r>
        <w:t>Beantwortung der Frage auf die Daten des Schuljahres 2020/2021 zurückgegriffen.</w:t>
      </w:r>
      <w:r w:rsidR="00616EC9">
        <w:t xml:space="preserve"> </w:t>
      </w:r>
      <w:r>
        <w:t>Verfahrensbedingt liegen die entsprechenden Angaben zu den Lehrkräften an Berufsfachschulen</w:t>
      </w:r>
      <w:r w:rsidR="00616EC9">
        <w:t xml:space="preserve"> </w:t>
      </w:r>
      <w:r>
        <w:t>des Gesundheitswesens nicht vor.</w:t>
      </w:r>
    </w:p>
    <w:p w:rsidR="0034715F" w:rsidRDefault="0034715F" w:rsidP="0034715F">
      <w:pPr>
        <w:pStyle w:val="LTAntwortRessortText"/>
      </w:pPr>
      <w:r>
        <w:t>Eine wesentliche Aufgabe der staatlichen Schulverwaltung ist es, für eine möglichst</w:t>
      </w:r>
      <w:r w:rsidR="00616EC9">
        <w:t xml:space="preserve"> </w:t>
      </w:r>
      <w:r>
        <w:t>gleichmäßige und gerechte Verteilung der Lehrkräfte an den staatlichen Schulen in</w:t>
      </w:r>
      <w:r w:rsidR="00616EC9">
        <w:t xml:space="preserve"> </w:t>
      </w:r>
      <w:r>
        <w:t>ganz Bayern zu sorgen. Neben der Entwicklung der Schülerzahlen in den jeweiligen</w:t>
      </w:r>
      <w:r w:rsidR="00616EC9">
        <w:t xml:space="preserve"> </w:t>
      </w:r>
      <w:r>
        <w:t>Bezirken bzw. Kreisen hängt der Bedarf auch von Änderungen im Personalstand ab.</w:t>
      </w:r>
    </w:p>
    <w:p w:rsidR="0034715F" w:rsidRDefault="0034715F" w:rsidP="0034715F">
      <w:pPr>
        <w:pStyle w:val="LTAntwortRessortText"/>
      </w:pPr>
      <w:r>
        <w:t>Die Altersstruktur der im Dienst befindlichen Lehrkräfte hat direkten Einfluss auf einstellungsrelevante</w:t>
      </w:r>
      <w:r w:rsidR="00616EC9">
        <w:t xml:space="preserve"> </w:t>
      </w:r>
      <w:r>
        <w:t>Ersatzbedarfe, beispielsweise bedingt durch Ruhestandsversetzungen</w:t>
      </w:r>
      <w:r w:rsidR="00616EC9">
        <w:t xml:space="preserve"> </w:t>
      </w:r>
      <w:r>
        <w:t>oder Lehrkräfte, die den Schuldienst vorübergehend aufgrund von Elternzeit</w:t>
      </w:r>
      <w:r w:rsidR="00616EC9">
        <w:t xml:space="preserve"> </w:t>
      </w:r>
      <w:r>
        <w:t>verlassen.</w:t>
      </w:r>
    </w:p>
    <w:p w:rsidR="0034715F" w:rsidRDefault="0034715F" w:rsidP="0034715F">
      <w:pPr>
        <w:pStyle w:val="LTAntwortRessortText"/>
      </w:pPr>
      <w:r>
        <w:t>Das staatliche Einstellungs- und Versetzungsverfahren erfolgt deshalb im Sinne der</w:t>
      </w:r>
      <w:r w:rsidR="00616EC9">
        <w:t xml:space="preserve"> </w:t>
      </w:r>
      <w:r>
        <w:t>zu unterrichtenden Schülerinnen und Schüler und des Bedarfs sowie unter Berücksichtigung</w:t>
      </w:r>
      <w:r w:rsidR="00616EC9">
        <w:t xml:space="preserve"> </w:t>
      </w:r>
      <w:r>
        <w:t>von Fluktuationen im Gesamtbestand des Lehrpersonals, um für eine flächendeckend</w:t>
      </w:r>
      <w:r w:rsidR="00616EC9">
        <w:t xml:space="preserve"> </w:t>
      </w:r>
      <w:r>
        <w:t>gleichmäßige Unterrichtsversorgung zu sorgen. Soziale Kriterien</w:t>
      </w:r>
      <w:r w:rsidR="00616EC9">
        <w:t xml:space="preserve"> </w:t>
      </w:r>
      <w:r>
        <w:t>werden dabei gemäß strengen Vorgaben des Landtags vorrangig berücksichtigt,</w:t>
      </w:r>
      <w:r w:rsidR="00616EC9">
        <w:t xml:space="preserve"> </w:t>
      </w:r>
      <w:r>
        <w:t>um die Notwendigkeiten der Personalversorgung bestmöglich mit den individuellen</w:t>
      </w:r>
      <w:r w:rsidR="00616EC9">
        <w:t xml:space="preserve"> </w:t>
      </w:r>
      <w:r>
        <w:t>Einsatzwünschen der Lehrkräfte in Einklang zu bringen.</w:t>
      </w:r>
    </w:p>
    <w:p w:rsidR="0034715F" w:rsidRDefault="0034715F" w:rsidP="0034715F">
      <w:pPr>
        <w:pStyle w:val="LTAntwortRessortText"/>
      </w:pPr>
    </w:p>
    <w:p w:rsidR="0034715F" w:rsidRDefault="00A655DA" w:rsidP="0034715F">
      <w:pPr>
        <w:pStyle w:val="LTAntwortRessortText"/>
      </w:pPr>
      <w:r w:rsidRPr="00A655DA">
        <w:rPr>
          <w:rStyle w:val="LTHyperlinkZchn"/>
          <w:b w:val="0"/>
        </w:rPr>
        <w:t>*)</w:t>
      </w:r>
      <w:r>
        <w:t xml:space="preserve"> Von einem Abdruck wurde abgesehen. Die Anlage ist als pdf-Dokument </w:t>
      </w:r>
      <w:hyperlink r:id="rId17" w:history="1">
        <w:r w:rsidRPr="00A655DA">
          <w:rPr>
            <w:rStyle w:val="LTHyperlinkZchn"/>
            <w:b w:val="0"/>
          </w:rPr>
          <w:t>hier</w:t>
        </w:r>
      </w:hyperlink>
      <w:r>
        <w:t xml:space="preserve"> einsehbar.</w:t>
      </w:r>
    </w:p>
    <w:p w:rsidR="0034715F" w:rsidRDefault="0034715F">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715F" w:rsidTr="007B0B33">
        <w:tc>
          <w:tcPr>
            <w:tcW w:w="2050" w:type="dxa"/>
          </w:tcPr>
          <w:p w:rsidR="0034715F" w:rsidRDefault="0034715F" w:rsidP="0034715F">
            <w:pPr>
              <w:pStyle w:val="LTAnfrageInitiator"/>
            </w:pPr>
            <w:r>
              <w:lastRenderedPageBreak/>
              <w:t>Abgeordnete</w:t>
            </w:r>
            <w:r>
              <w:rPr>
                <w:b/>
              </w:rPr>
              <w:br/>
              <w:t>Gabriele</w:t>
            </w:r>
            <w:r>
              <w:rPr>
                <w:b/>
              </w:rPr>
              <w:br/>
              <w:t>Triebel</w:t>
            </w:r>
            <w:r>
              <w:rPr>
                <w:b/>
              </w:rPr>
              <w:br/>
            </w:r>
            <w:r>
              <w:t>(BÜNDNIS 90/DIE GRÜNEN)</w:t>
            </w:r>
            <w:bookmarkStart w:id="59" w:name="Frage_Nr_29"/>
            <w:bookmarkEnd w:id="59"/>
          </w:p>
        </w:tc>
        <w:tc>
          <w:tcPr>
            <w:tcW w:w="7200" w:type="dxa"/>
          </w:tcPr>
          <w:p w:rsidR="0034715F" w:rsidRPr="00527DB4" w:rsidRDefault="00527DB4" w:rsidP="0034715F">
            <w:pPr>
              <w:pStyle w:val="LTAnfrageText"/>
            </w:pPr>
            <w:r w:rsidRPr="00527DB4">
              <w:rPr>
                <w:szCs w:val="24"/>
              </w:rPr>
              <w:t>Da die Schulen die Zahl der Tests fortlaufend und nach Ende der Testpflicht auch abschließend noch melden müssen, allerdings noch Testkits an die Schulen geliefert wurden, frage ich die Staatsregierung, warum dürfen diese, auch nicht auf freiwilliger Basis z. B. vor Exkursionen und Klassenfahrten eingesetzt werden, wie viele Testkits lagern noch insgesamt an den Schulen und wie hoch belaufen sich die Kosten dafür?</w:t>
            </w:r>
          </w:p>
        </w:tc>
      </w:tr>
    </w:tbl>
    <w:p w:rsidR="0034715F" w:rsidRDefault="0034715F" w:rsidP="0034715F">
      <w:pPr>
        <w:pStyle w:val="LTUeberschrAntwortRessort"/>
      </w:pPr>
      <w:r>
        <w:t>Antwort des Staatsministeriums für Unterricht und Kultus</w:t>
      </w:r>
    </w:p>
    <w:p w:rsidR="0034715F" w:rsidRDefault="0034715F" w:rsidP="0034715F">
      <w:pPr>
        <w:pStyle w:val="LTAntwortRessortText"/>
      </w:pPr>
      <w:r>
        <w:t>Das Staatsministerium für Unterricht und Kultus nimmt in Abstimmung mit dem</w:t>
      </w:r>
      <w:r w:rsidR="00B062BF">
        <w:t xml:space="preserve"> </w:t>
      </w:r>
      <w:r>
        <w:t>Staatsministerium für Gesundheit und Pflege wie folgt Stellung:</w:t>
      </w:r>
    </w:p>
    <w:p w:rsidR="0034715F" w:rsidRDefault="0034715F" w:rsidP="0034715F">
      <w:pPr>
        <w:pStyle w:val="LTAntwortRessortText"/>
      </w:pPr>
      <w:r>
        <w:t>Unter Berücksichtigung des Infektionsgeschehens liefen am 30. April 2022 die Testungen</w:t>
      </w:r>
      <w:r w:rsidR="00B062BF">
        <w:t xml:space="preserve"> </w:t>
      </w:r>
      <w:r>
        <w:t>an den Schulen aus. Damit müssen Schülerinnen und Schüler für die Teilnahme</w:t>
      </w:r>
      <w:r w:rsidR="00B062BF">
        <w:t xml:space="preserve"> </w:t>
      </w:r>
      <w:r>
        <w:t>am Präsenzunterricht, an sonstigen Schulveranstaltungen sowie an der Mittagsbetreuung</w:t>
      </w:r>
      <w:r w:rsidR="00B062BF">
        <w:t xml:space="preserve"> </w:t>
      </w:r>
      <w:r>
        <w:t>ab 1. Mai 2022 keinen negativen Testnachweis mehr erbringen. Auch</w:t>
      </w:r>
      <w:r w:rsidR="00B062BF">
        <w:t xml:space="preserve"> </w:t>
      </w:r>
      <w:r>
        <w:t>eine freiwillige Selbsttestung der Schülerinnen und Schüler an den Schulen ist infektiologisch</w:t>
      </w:r>
      <w:r w:rsidR="00B062BF">
        <w:t xml:space="preserve"> </w:t>
      </w:r>
      <w:r>
        <w:t>nicht mehr erforderlich. Vielmehr liegt es künftig in der Eigenverantwortung</w:t>
      </w:r>
      <w:r w:rsidR="00B062BF">
        <w:t xml:space="preserve"> </w:t>
      </w:r>
      <w:r>
        <w:t>jeder und jedes Einzelnen, zu einem der aktuellen Infektionslage angemessenen</w:t>
      </w:r>
      <w:r w:rsidR="00B062BF">
        <w:t xml:space="preserve"> </w:t>
      </w:r>
      <w:r>
        <w:t>Schutzniveau beizutragen, etwa durch die Nutzung weiterhin bestehender externer</w:t>
      </w:r>
      <w:r w:rsidR="00B062BF">
        <w:t xml:space="preserve"> </w:t>
      </w:r>
      <w:r>
        <w:t>Testmöglichkeiten (</w:t>
      </w:r>
      <w:r w:rsidR="00190CE9">
        <w:t>z. B.</w:t>
      </w:r>
      <w:r>
        <w:t xml:space="preserve"> in Testzentren oder Apotheken). Die an den Schulen noch</w:t>
      </w:r>
      <w:r w:rsidR="00B062BF">
        <w:t xml:space="preserve"> </w:t>
      </w:r>
      <w:r>
        <w:t>vorhandenen Testmaterialien werden an den Schulen zunächst eingelagert, sodass</w:t>
      </w:r>
      <w:r w:rsidR="00B062BF">
        <w:t xml:space="preserve"> </w:t>
      </w:r>
      <w:r>
        <w:t>diese bei einer möglichen Wiederaufnahme der Testungen kurzfristig zur Verfügung</w:t>
      </w:r>
      <w:r w:rsidR="00B062BF">
        <w:t xml:space="preserve"> </w:t>
      </w:r>
      <w:r>
        <w:t>stünden.</w:t>
      </w:r>
    </w:p>
    <w:p w:rsidR="0034715F" w:rsidRDefault="0034715F" w:rsidP="0034715F">
      <w:pPr>
        <w:pStyle w:val="LTAntwortRessortText"/>
      </w:pPr>
      <w:r>
        <w:t>Mit Stand 10. Mai 2022 (08</w:t>
      </w:r>
      <w:r w:rsidR="0019563B">
        <w:t>.</w:t>
      </w:r>
      <w:r>
        <w:t>20 Uhr) werden ca. 27,2 Millionen Selbsttests an den</w:t>
      </w:r>
      <w:r w:rsidR="00B062BF">
        <w:t xml:space="preserve"> </w:t>
      </w:r>
      <w:r>
        <w:t>Schulen eingelagert.</w:t>
      </w:r>
    </w:p>
    <w:p w:rsidR="0034715F" w:rsidRDefault="0034715F" w:rsidP="0034715F">
      <w:pPr>
        <w:pStyle w:val="LTAntwortRessortText"/>
      </w:pPr>
      <w:r>
        <w:t>Kosten für die Einlagerung der Selbsttests an den Schulen entstehen nicht.</w:t>
      </w:r>
    </w:p>
    <w:p w:rsidR="0034715F" w:rsidRDefault="0034715F">
      <w:bookmarkStart w:id="60" w:name="Frage_Nr_29_Ende"/>
      <w:bookmarkEnd w:id="60"/>
      <w:r>
        <w:br w:type="page"/>
      </w:r>
    </w:p>
    <w:p w:rsidR="0034715F" w:rsidRDefault="0034715F" w:rsidP="0034715F">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34715F" w:rsidTr="007B0B33">
        <w:tc>
          <w:tcPr>
            <w:tcW w:w="2050" w:type="dxa"/>
          </w:tcPr>
          <w:p w:rsidR="0034715F" w:rsidRDefault="0034715F" w:rsidP="0034715F">
            <w:pPr>
              <w:pStyle w:val="LTAnfrageInitiator"/>
            </w:pPr>
            <w:r>
              <w:t>Abgeordneter</w:t>
            </w:r>
            <w:r>
              <w:rPr>
                <w:b/>
              </w:rPr>
              <w:br/>
              <w:t>Patrick</w:t>
            </w:r>
            <w:r>
              <w:rPr>
                <w:b/>
              </w:rPr>
              <w:br/>
              <w:t>Friedl</w:t>
            </w:r>
            <w:r>
              <w:rPr>
                <w:b/>
              </w:rPr>
              <w:br/>
            </w:r>
            <w:r>
              <w:t>(BÜNDNIS 90/DIE GRÜNEN)</w:t>
            </w:r>
            <w:bookmarkStart w:id="61" w:name="Frage_Nr_30"/>
            <w:bookmarkEnd w:id="61"/>
          </w:p>
        </w:tc>
        <w:tc>
          <w:tcPr>
            <w:tcW w:w="7200" w:type="dxa"/>
          </w:tcPr>
          <w:p w:rsidR="0034715F" w:rsidRPr="005614AE" w:rsidRDefault="005614AE" w:rsidP="0034715F">
            <w:pPr>
              <w:pStyle w:val="LTAnfrageText"/>
            </w:pPr>
            <w:r w:rsidRPr="005614AE">
              <w:rPr>
                <w:szCs w:val="24"/>
              </w:rPr>
              <w:t>Anlässlich der Initiative und Übergabe eines offenen Briefes der Studierendenvertretungen aller Fakultäten der Julius-Maximilians-Universität Würzburg zur „Klimaneutralität bis 2030“ an die Hochschulleitung der Universität Würzburg am 6. Mai 2022 (siehe Pressemitteilung der Universität Würzburg „Gemeinsam zur Klimaneutralität“ vom 6. Mai 2022) frage ich die Staatsregierung, welchen Stellenwert werden Nachhaltigkeit, Klimaneutralität und Klimaanpassung der Universitäten und Hochschulen für Angewandte Wissenschaften in den jeweiligen aktuell neu zu verhandelnden Rahmenzielvereinbarungen des Freistaates Bayern mit den Hochschulen (z. B. durch Unterstützung von Initiativen wie des wegweisenden Nachhaltigkeitslaboratoriums an der Universität Würzburg – WueLAB) erhalten, inwieweit ist beabsichtigt, die Erreichung dieser Ziele (insbesondere die klimaneutrale Hochschule bis 2030 bzw. 2028 entsprechend der Vorbildfunktion des Staates nach Art. 3 Bayerisches Klimaschutzgesetz) mit zusätzlichen Haushaltsmitteln ab 2023 zu hinterlegen und wie will sie die Studierenden durch Zusammenarbeit in gemeinsame Prozesse einbinden, um die Akzeptanz für die notwendige Transformation zur Dekarbonisierung an den Hochschulen und in der Gesellschaft zu verankern?</w:t>
            </w:r>
          </w:p>
        </w:tc>
      </w:tr>
    </w:tbl>
    <w:p w:rsidR="0034715F" w:rsidRDefault="0034715F" w:rsidP="0034715F">
      <w:pPr>
        <w:pStyle w:val="LTUeberschrAntwortRessort"/>
      </w:pPr>
      <w:r>
        <w:t>Antwort des Staatsministeriums für Wissenschaft und Kunst</w:t>
      </w:r>
    </w:p>
    <w:p w:rsidR="0034715F" w:rsidRDefault="0034715F" w:rsidP="0034715F">
      <w:pPr>
        <w:pStyle w:val="LTAntwortRessortText"/>
      </w:pPr>
      <w:r>
        <w:t>Die Verpflichtung zum Erhalt der natürlichen Lebensgrundlagen, der Biodiversität, dem Klimaschutz sowie der Bildung für nachhaltig</w:t>
      </w:r>
      <w:r w:rsidR="00791D2A">
        <w:t>e Entwicklung gehört gemäß Art. </w:t>
      </w:r>
      <w:r>
        <w:t>2 Abs. 7 Satz 1 des geplanten Hochschulinn</w:t>
      </w:r>
      <w:r w:rsidR="00791D2A">
        <w:t>ovationsgesetzes (</w:t>
      </w:r>
      <w:r>
        <w:t>BayHIG-E), dessen Entwurf der Ministerrat am 03.05.2022 beschlossen hat, zu den allgemeinen Aufgaben der Hochs</w:t>
      </w:r>
      <w:r w:rsidR="00791D2A">
        <w:t>chulen. Eine Abstimmung zu Hoch</w:t>
      </w:r>
      <w:r>
        <w:t>schulleistungen und hochschulübergreifenden Schwerpunkten findet künftig in der in der Anfrage angesprochene</w:t>
      </w:r>
      <w:r w:rsidR="00791D2A">
        <w:t>n Rahmenvereinbarung gemäß Art. </w:t>
      </w:r>
      <w:r>
        <w:t xml:space="preserve">8 Abs. 1 BayHIG-E statt. Vorbehaltlich der Verabschiedung des BayHIG-E durch den </w:t>
      </w:r>
      <w:r w:rsidR="00791D2A">
        <w:t>Land</w:t>
      </w:r>
      <w:r>
        <w:t>tag sieht das Staatsministerium das Thema Nachhaltigkeit für die Aufnahme in die Rahmenvereinbarung fest vor und wird dies in dem Abstimmungsprozess mit den Hochschulen entsprechend verfolgen. Darauf aufbauend kann eine Konkretisierung von individuellen Maßnahmen sowie ggf. die finanzielle Dotierung nachgelagert in den Hochschulverträgen mit den e</w:t>
      </w:r>
      <w:r w:rsidR="00791D2A">
        <w:t>inzelnen Hochschulen gemäß Art. </w:t>
      </w:r>
      <w:r>
        <w:t>8 Abs. 2 BayHIG-E erfolgen.</w:t>
      </w:r>
    </w:p>
    <w:p w:rsidR="0034715F" w:rsidRDefault="0034715F">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34715F" w:rsidTr="007B0B33">
        <w:tc>
          <w:tcPr>
            <w:tcW w:w="2050" w:type="dxa"/>
          </w:tcPr>
          <w:p w:rsidR="0034715F" w:rsidRDefault="0034715F" w:rsidP="0034715F">
            <w:pPr>
              <w:pStyle w:val="LTAnfrageInitiator"/>
            </w:pPr>
            <w:r>
              <w:lastRenderedPageBreak/>
              <w:t>Abgeordnete</w:t>
            </w:r>
            <w:r>
              <w:rPr>
                <w:b/>
              </w:rPr>
              <w:br/>
              <w:t>Christina</w:t>
            </w:r>
            <w:r>
              <w:rPr>
                <w:b/>
              </w:rPr>
              <w:br/>
              <w:t>Haubrich</w:t>
            </w:r>
            <w:r>
              <w:rPr>
                <w:b/>
              </w:rPr>
              <w:br/>
            </w:r>
            <w:r>
              <w:t>(BÜNDNIS 90/DIE GRÜNEN)</w:t>
            </w:r>
            <w:bookmarkStart w:id="63" w:name="Frage_Nr_31"/>
            <w:bookmarkEnd w:id="63"/>
          </w:p>
        </w:tc>
        <w:tc>
          <w:tcPr>
            <w:tcW w:w="7200" w:type="dxa"/>
          </w:tcPr>
          <w:p w:rsidR="0034715F" w:rsidRPr="00BC242C" w:rsidRDefault="00BC242C" w:rsidP="0034715F">
            <w:pPr>
              <w:pStyle w:val="LTAnfrageText"/>
            </w:pPr>
            <w:r w:rsidRPr="00BC242C">
              <w:rPr>
                <w:szCs w:val="24"/>
              </w:rPr>
              <w:t>Ich frage die Staatsregierung, welche Kriterien waren für die Entscheidung für eine Sanierung und gegen einen Neubau der Uniklinik Augsburg ausschlaggebend, welche Rolle spielte dabei die Green Hospital Plus Initiative inkl. der damit verbundenen Nachhaltigkeitskriterien und inwieweit wird die soziokulturelle und funktionale Qualität des Gebäudes bei den Planungsprozessen berücksichtigt?</w:t>
            </w:r>
          </w:p>
        </w:tc>
      </w:tr>
    </w:tbl>
    <w:p w:rsidR="0034715F" w:rsidRDefault="0034715F" w:rsidP="0034715F">
      <w:pPr>
        <w:pStyle w:val="LTUeberschrAntwortRessort"/>
      </w:pPr>
      <w:r>
        <w:t>Antwort des Staatsministeriums für Wissenschaft und Kunst</w:t>
      </w:r>
    </w:p>
    <w:p w:rsidR="0034715F" w:rsidRDefault="0034715F" w:rsidP="0034715F">
      <w:pPr>
        <w:pStyle w:val="LTAntwortRessortText"/>
      </w:pPr>
      <w:r>
        <w:t xml:space="preserve">Für die im Oktober 2020 getroffene Entscheidung, die bereits von den </w:t>
      </w:r>
      <w:r w:rsidR="0017422A">
        <w:t>früheren kom</w:t>
      </w:r>
      <w:r>
        <w:t>munalen Trägern angestoßene Generalsanierung</w:t>
      </w:r>
      <w:r w:rsidR="0017422A">
        <w:t xml:space="preserve"> des Universitätsklinikums Augs</w:t>
      </w:r>
      <w:r>
        <w:t>burg fortzusetzen, war eine ausführliche Prüfung, Abwägung und Beratung mit allen am Projekt Beteiligten maßgeblich. Die Möglichkei</w:t>
      </w:r>
      <w:r w:rsidR="0017422A">
        <w:t>t eines Neubaus wurde dabei ein</w:t>
      </w:r>
      <w:r>
        <w:t>gehend geprüft.</w:t>
      </w:r>
    </w:p>
    <w:p w:rsidR="0034715F" w:rsidRDefault="0034715F" w:rsidP="0034715F">
      <w:pPr>
        <w:pStyle w:val="LTAntwortRessortText"/>
      </w:pPr>
      <w:r>
        <w:t>Neben den Kosten und der Frage, ob beide Alternativen in gleicher Weise geeignet sind, den Belangen der Universitätsmedizin in Augsburg umfassend Rechnung zu tragen, waren auch Gesichtspunkte des Haushalts</w:t>
      </w:r>
      <w:r w:rsidR="0017422A">
        <w:t xml:space="preserve"> sowie die rechtlichen Rahmenbe</w:t>
      </w:r>
      <w:r>
        <w:t>dingungen zu berücksichtigen. Nachdem bei beiden Alternativen von Kosten in etwa gleicher Höhe auszugehen ist, war zu berücksichtigen, dass auch bei einem Neubau innerhalb der nächsten Jahre dringend notwe</w:t>
      </w:r>
      <w:r w:rsidR="0017422A">
        <w:t>ndige Sanierungsmaßnahmen im Be</w:t>
      </w:r>
      <w:r>
        <w:t>standsgebäude ergriffen werden müssen. Es würd</w:t>
      </w:r>
      <w:r w:rsidR="0017422A">
        <w:t>en somit verlorene Kosten in er</w:t>
      </w:r>
      <w:r>
        <w:t>heblicher Höhe entstehen, wenn das Bestandsg</w:t>
      </w:r>
      <w:r w:rsidR="0017422A">
        <w:t>ebäude nach diesen zwingend not</w:t>
      </w:r>
      <w:r>
        <w:t>wendigen Erhaltungsinvestitionen abgerissen würde,</w:t>
      </w:r>
      <w:r w:rsidR="0017422A">
        <w:t xml:space="preserve"> zusätzlich zu den bereits abge</w:t>
      </w:r>
      <w:r>
        <w:t xml:space="preserve">schlossenen notwendigen Maßnahmen im Bestandsgebäude in Höhe von rund 100 Mio. </w:t>
      </w:r>
      <w:r w:rsidR="00190CE9">
        <w:t>Euro</w:t>
      </w:r>
      <w:r>
        <w:t>.</w:t>
      </w:r>
    </w:p>
    <w:p w:rsidR="0034715F" w:rsidRDefault="0034715F" w:rsidP="002452D1">
      <w:pPr>
        <w:pStyle w:val="LTAntwortRessortText"/>
      </w:pPr>
      <w:r>
        <w:t>Ferner wurde der Weg der Generalsanierung bereits vor Übernahme des Klinikums Augsburg durch den Freistaat Bayern noch vom</w:t>
      </w:r>
      <w:r w:rsidR="0017422A">
        <w:t xml:space="preserve"> damaligen kommunalen Träger an</w:t>
      </w:r>
      <w:r>
        <w:t>gestoßen. Die Fortführung der Sanierung war und ist Geschäftsgr</w:t>
      </w:r>
      <w:r w:rsidR="0017422A">
        <w:t>undlage der Ver</w:t>
      </w:r>
      <w:r>
        <w:t>einbarungen mit dem früheren Träger des Klinikum</w:t>
      </w:r>
      <w:r w:rsidR="002452D1">
        <w:t>s Augsburg, mit der Folge, dass</w:t>
      </w:r>
      <w:r w:rsidR="0017422A">
        <w:t xml:space="preserve"> </w:t>
      </w:r>
      <w:r>
        <w:t>daran weitreichende Mittelzusagen geknüpft wurden</w:t>
      </w:r>
      <w:r w:rsidR="0017422A">
        <w:t>. Diese Zusagen dürfen nicht ge</w:t>
      </w:r>
      <w:r>
        <w:t>fährdet werden.</w:t>
      </w:r>
    </w:p>
    <w:p w:rsidR="0034715F" w:rsidRDefault="0034715F" w:rsidP="0034715F">
      <w:pPr>
        <w:pStyle w:val="LTAntwortRessortText"/>
      </w:pPr>
      <w:r>
        <w:t>Für die vergleichende Betrachtung der beiden Alternativen waren Aspekte der Green Hospital Plus Initiative des Staatsministeriums für Ge</w:t>
      </w:r>
      <w:r w:rsidR="0017422A">
        <w:t>sundheit und Pflege nicht zu be</w:t>
      </w:r>
      <w:r>
        <w:t>rücksichtigen, da sich dieses Förderprogramm an Kommunen und an die von ihnen betriebenen Krankenhäuser und nicht an die staatlichen Universitätskliniken richtet. Darüber hinaus sind die Aspekte, die im Rahmen der Green Hospital Plus Initiative relevant sind (Arbeitsabläufe etc.), erst zu einem späteren Zeitpunkt der Planung zu berücksichtigen.</w:t>
      </w:r>
    </w:p>
    <w:p w:rsidR="0034715F" w:rsidRDefault="0034715F" w:rsidP="0034715F">
      <w:pPr>
        <w:pStyle w:val="LTAntwortRessortText"/>
      </w:pPr>
      <w:r>
        <w:t>Gleichwohl wird den für den Sanierungsprozess relevanten ökol</w:t>
      </w:r>
      <w:r w:rsidR="0017422A">
        <w:t>ogischen und nach</w:t>
      </w:r>
      <w:r>
        <w:t>haltigen Belangen vollumfänglich Rechnung getragen. Der Freistaat Bayern hat sich bereits seit mehreren Jahren im Rahmen einer Sel</w:t>
      </w:r>
      <w:r w:rsidR="0017422A">
        <w:t>bstverpflichtung dafür entschie</w:t>
      </w:r>
      <w:r>
        <w:t>den, nachhaltiger und ökologischer zu bauen, als dies aufgrund der derzeit gültigen Normen gefordert wird. Dies wird sich beispielweise bei den Entscheidungen zur Energieversorgung (</w:t>
      </w:r>
      <w:r w:rsidR="00190CE9">
        <w:t>z. B.</w:t>
      </w:r>
      <w:r>
        <w:t xml:space="preserve"> Photovoltaik), der Energiebilanz (</w:t>
      </w:r>
      <w:r w:rsidR="00190CE9">
        <w:t>z. B.</w:t>
      </w:r>
      <w:r>
        <w:t xml:space="preserve"> hoher Standard bei </w:t>
      </w:r>
      <w:r>
        <w:lastRenderedPageBreak/>
        <w:t>sanierter Außenhülle, Begrünung von Dächern) u</w:t>
      </w:r>
      <w:r w:rsidR="0017422A">
        <w:t>nd der Bereitstellung von Elekt</w:t>
      </w:r>
      <w:r>
        <w:t>rotankstellen auswirken. Im Rahmen der Nachhaltigkei</w:t>
      </w:r>
      <w:r w:rsidR="0017422A">
        <w:t>tskriterien ist bei der Betrach</w:t>
      </w:r>
      <w:r>
        <w:t xml:space="preserve">tung der beiden Alternativen davon auszugehen, </w:t>
      </w:r>
      <w:r w:rsidR="0017422A">
        <w:t>dass die geplante Sanierung Vor</w:t>
      </w:r>
      <w:r>
        <w:t>teile gegenüber einem Neubau bietet (Stichwort Graue Energie).</w:t>
      </w:r>
    </w:p>
    <w:p w:rsidR="0034715F" w:rsidRDefault="0034715F" w:rsidP="0034715F">
      <w:pPr>
        <w:pStyle w:val="LTAntwortRessortText"/>
      </w:pPr>
      <w:r>
        <w:t>Für die Entscheidung hinsichtlich der beiden Alternativen war die soziokulturelle und funktionale Qualität des künftigen Gebäudes insofern maßgeblich, als verglichen wurde, welche Alternative den Belangen der Universitätsmedizin in Augsburg künftig besser Rechnung tragen wird. Die vergleichende</w:t>
      </w:r>
      <w:r w:rsidR="0017422A">
        <w:t xml:space="preserve"> Prüfung ist zu dem Ergebnis ge</w:t>
      </w:r>
      <w:r>
        <w:t>kommen, dass beide Alternativen gleichwertig sind und die Anforderungen an eine moderne Universitätsmedizin umfassend erfüllen.</w:t>
      </w:r>
    </w:p>
    <w:p w:rsidR="0034715F" w:rsidRDefault="0034715F" w:rsidP="0034715F">
      <w:pPr>
        <w:pStyle w:val="LTAntwortRessortText"/>
      </w:pPr>
      <w:r>
        <w:t>Auf Basis der im Oktober 2020 getroffenen Entscheidung für eine Generalsanierung des Universitätsklinikums Augsburg wurden zw</w:t>
      </w:r>
      <w:r w:rsidR="0017422A">
        <w:t>ischenzeitlich weitere Planungs</w:t>
      </w:r>
      <w:r>
        <w:t>schritte unternommen, sodass nunmehr fraglich ist, ob zum jetzigen Zeitpunkt eine Abweichung von der bisher getroffenen Entscheidung noch sinnvoll sein kann. Dies hängt unter anderem davon ab, welche zeitlichen und finanziellen Konsequenzen eine Umsteuerung angesichts des bereits erreichten Verfahrensstands (Planungsstand, bereits eingeleitete Vorabmaßnahmen, laufende Bedarfsermittlung) mit sich brächte. Zeitliche Verzögerungen im Ablauf sollten</w:t>
      </w:r>
      <w:r w:rsidR="0017422A">
        <w:t xml:space="preserve"> im Sinne einer frühest</w:t>
      </w:r>
      <w:r>
        <w:t>möglichen Modernisierung der Universitätsmedizin in Augsburg vermieden werden.</w:t>
      </w:r>
    </w:p>
    <w:p w:rsidR="0034715F" w:rsidRDefault="0034715F">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34715F" w:rsidTr="007B0B33">
        <w:tc>
          <w:tcPr>
            <w:tcW w:w="2050" w:type="dxa"/>
          </w:tcPr>
          <w:p w:rsidR="0034715F" w:rsidRDefault="0034715F" w:rsidP="0034715F">
            <w:pPr>
              <w:pStyle w:val="LTAnfrageInitiator"/>
            </w:pPr>
            <w:r>
              <w:lastRenderedPageBreak/>
              <w:t>Abgeordneter</w:t>
            </w:r>
            <w:r>
              <w:rPr>
                <w:b/>
              </w:rPr>
              <w:br/>
              <w:t>Dr. Wolfgang</w:t>
            </w:r>
            <w:r>
              <w:rPr>
                <w:b/>
              </w:rPr>
              <w:br/>
              <w:t>Heubisch</w:t>
            </w:r>
            <w:r>
              <w:rPr>
                <w:b/>
              </w:rPr>
              <w:br/>
            </w:r>
            <w:r>
              <w:t>(FDP)</w:t>
            </w:r>
            <w:bookmarkStart w:id="65" w:name="Frage_Nr_32"/>
            <w:bookmarkEnd w:id="65"/>
          </w:p>
        </w:tc>
        <w:tc>
          <w:tcPr>
            <w:tcW w:w="7200" w:type="dxa"/>
          </w:tcPr>
          <w:p w:rsidR="0034715F" w:rsidRPr="0071621D" w:rsidRDefault="0071621D" w:rsidP="0034715F">
            <w:pPr>
              <w:pStyle w:val="LTAnfrageText"/>
            </w:pPr>
            <w:r w:rsidRPr="0071621D">
              <w:rPr>
                <w:szCs w:val="24"/>
              </w:rPr>
              <w:t>Angesichts des Plagiatsverdachts bei dem Abgeordneten Dr. Martin Huber frage ich die Staatsregierung, was sie in der Vergangenheit unternommen hat, damit die staatlichen Universitäten frühzeitig etwaige Plagiate bei Dissertationen lückenlos ausfindig machen können, bei wie vielen Dissertationen, die an den staatlichen Universitäten in den letzten 20 Jahren eingereicht wurden, Plagiate nachgewiesen wurden (bitte tabellarische Auflistung, in absoluten Zahlen sowie in Relation zu den abgeschlossenen Dissertationen insgesamt, gegliedert jeweils nach Universitäten, Fakultäten und Jahren)?</w:t>
            </w:r>
          </w:p>
        </w:tc>
      </w:tr>
    </w:tbl>
    <w:p w:rsidR="0034715F" w:rsidRDefault="0034715F" w:rsidP="0034715F">
      <w:pPr>
        <w:pStyle w:val="LTUeberschrAntwortRessort"/>
      </w:pPr>
      <w:r>
        <w:t>Antwort des Staatsministeriums für Wissenschaft und Kunst</w:t>
      </w:r>
    </w:p>
    <w:p w:rsidR="0034715F" w:rsidRDefault="007A53DB" w:rsidP="0034715F">
      <w:pPr>
        <w:pStyle w:val="LTAntwortRessortText"/>
      </w:pPr>
      <w:r>
        <w:t>Gemäß Art. </w:t>
      </w:r>
      <w:r w:rsidR="0034715F">
        <w:t>64 Abs. 1 Satz 5 Bayerisches Hochschulgesetz regeln die Universitäten die Promotion in einer vom Senat der Hochschule als Satzung zu beschließenden Promotionsordnung. Zuständig für den Vollzug der Promo</w:t>
      </w:r>
      <w:r>
        <w:t>tionsordnung ist der jewei</w:t>
      </w:r>
      <w:r w:rsidR="0034715F">
        <w:t>lige Promotionsausschuss. Zu den in der Anfrage genannten Fragen liegen dem Staatsministerium für Wissenschaft und Kunst, de</w:t>
      </w:r>
      <w:r>
        <w:t>m in diesem Bereich die Fachauf</w:t>
      </w:r>
      <w:r w:rsidR="0034715F">
        <w:t>sicht nicht obliegt, keine Informationen vor.</w:t>
      </w:r>
    </w:p>
    <w:p w:rsidR="0034715F" w:rsidRDefault="0034715F">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786"/>
      </w:tblGrid>
      <w:tr w:rsidR="0034715F" w:rsidTr="007B0B33">
        <w:tc>
          <w:tcPr>
            <w:tcW w:w="2050" w:type="dxa"/>
          </w:tcPr>
          <w:p w:rsidR="0034715F" w:rsidRDefault="0034715F" w:rsidP="0034715F">
            <w:pPr>
              <w:pStyle w:val="LTAnfrageInitiator"/>
            </w:pPr>
            <w:r>
              <w:lastRenderedPageBreak/>
              <w:t>Abgeordneter</w:t>
            </w:r>
            <w:r>
              <w:rPr>
                <w:b/>
              </w:rPr>
              <w:br/>
              <w:t>Dr. Dominik</w:t>
            </w:r>
            <w:r>
              <w:rPr>
                <w:b/>
              </w:rPr>
              <w:br/>
              <w:t>Spitzer</w:t>
            </w:r>
            <w:r>
              <w:rPr>
                <w:b/>
              </w:rPr>
              <w:br/>
            </w:r>
            <w:r>
              <w:t>(FDP)</w:t>
            </w:r>
            <w:bookmarkStart w:id="67" w:name="Frage_Nr_33"/>
            <w:bookmarkEnd w:id="67"/>
          </w:p>
        </w:tc>
        <w:tc>
          <w:tcPr>
            <w:tcW w:w="7200" w:type="dxa"/>
          </w:tcPr>
          <w:p w:rsidR="0034715F" w:rsidRPr="00947B4E" w:rsidRDefault="00947B4E" w:rsidP="0034715F">
            <w:pPr>
              <w:pStyle w:val="LTAnfrageText"/>
            </w:pPr>
            <w:r w:rsidRPr="00947B4E">
              <w:rPr>
                <w:szCs w:val="24"/>
              </w:rPr>
              <w:t>Ich frage die Staatsregierung, wie viele Forschungsprojekte wurden in den letzten zehn Jahren mit Fördersummen durch sie zur Unterleibserkrankung Endometriose durchgeführt (bitte aufgeschlüsselt nach Projekt, Förderzeitraum und Fördersumme), welche Anträge gab es zu Forschungsprojekten (bitte aufgeschlüsselt nach bewilligten und abgelehnten Anträgen), wie bewertet sie die medizinische Versorgungslage zu dieser Erkrankung, da nach RKI-Angaben im Durchschnitt sieben Jahre vergehen bis die Diagnose Endometriose gestellt wird?</w:t>
            </w:r>
          </w:p>
        </w:tc>
      </w:tr>
    </w:tbl>
    <w:p w:rsidR="0034715F" w:rsidRDefault="0034715F" w:rsidP="0034715F">
      <w:pPr>
        <w:pStyle w:val="LTUeberschrAntwortRessort"/>
      </w:pPr>
      <w:r>
        <w:t>Antwort des Staatsministeriums für Wissenschaft und Kunst</w:t>
      </w:r>
    </w:p>
    <w:p w:rsidR="0034715F" w:rsidRDefault="0034715F" w:rsidP="0034715F">
      <w:pPr>
        <w:pStyle w:val="LTAntwortRessortText"/>
      </w:pPr>
      <w:r>
        <w:t>Dem Staatsministerium für Wissenschaft und Kunst stehen grundsätzlich keine Mittel zur Verfügung, um Einzelprojekte finanziell zu fördern. Die für Forschung und Lehre vorhandenen Haushaltsmittel werden zur Gänze an</w:t>
      </w:r>
      <w:r w:rsidR="000F29A9">
        <w:t xml:space="preserve"> die Universitäten und Universi</w:t>
      </w:r>
      <w:r>
        <w:t>tätsklinika ausgereicht, die dann im Rahmen ihr</w:t>
      </w:r>
      <w:r w:rsidR="000F29A9">
        <w:t>er verfassungsrechtlich in Art. </w:t>
      </w:r>
      <w:r>
        <w:t xml:space="preserve">5 Abs. 3 </w:t>
      </w:r>
      <w:r w:rsidR="000F29A9">
        <w:t>des Grundgesetzes (</w:t>
      </w:r>
      <w:r>
        <w:t>GG</w:t>
      </w:r>
      <w:r w:rsidR="000F29A9">
        <w:t>) und Art. </w:t>
      </w:r>
      <w:r>
        <w:t xml:space="preserve">108 </w:t>
      </w:r>
      <w:r w:rsidR="000F29A9">
        <w:t>der Bayerischen Verfassung (</w:t>
      </w:r>
      <w:r>
        <w:t>BV</w:t>
      </w:r>
      <w:r w:rsidR="000F29A9">
        <w:t>)</w:t>
      </w:r>
      <w:r>
        <w:t xml:space="preserve"> garantierten Wissenschaftsfreiheit selbst ü</w:t>
      </w:r>
      <w:r w:rsidR="000F29A9">
        <w:t>ber Inhalt und Ge</w:t>
      </w:r>
      <w:r>
        <w:t>genstände ihrer Forschung entscheiden. Die Stud</w:t>
      </w:r>
      <w:r w:rsidR="000F29A9">
        <w:t>ienergebnisse werden nach Durch</w:t>
      </w:r>
      <w:r>
        <w:t>laufen eines Qualitätssicherungsprozesses (Peer</w:t>
      </w:r>
      <w:r w:rsidR="000F29A9">
        <w:t xml:space="preserve"> Review) von den Wissenschaftle</w:t>
      </w:r>
      <w:r>
        <w:t>rinnen und Wissenschaftlern über die einschlägigen Kanäle veröffentlicht (Fachze</w:t>
      </w:r>
      <w:r w:rsidR="000F29A9">
        <w:t>it</w:t>
      </w:r>
      <w:r>
        <w:t xml:space="preserve">schriften, Kongresse etc.). Eine Meldung an das Staatsministerium für Wissenschaft und Kunst erfolgt in aller Regel nicht. Vor diesem </w:t>
      </w:r>
      <w:r w:rsidR="000F29A9">
        <w:t>Hintergrund liegen dem Staatsmi</w:t>
      </w:r>
      <w:r>
        <w:t>nisterium für Wissenschaft und Kunst keine Unterlagen vor, um in der zur Verfügung stehenden Zeit die gewünschten Angaben zu k</w:t>
      </w:r>
      <w:r w:rsidR="000F29A9">
        <w:t>onkreten Forschungsprojekten ma</w:t>
      </w:r>
      <w:r>
        <w:t>chen zu können.</w:t>
      </w:r>
    </w:p>
    <w:p w:rsidR="0034715F" w:rsidRDefault="0034715F" w:rsidP="002452D1">
      <w:pPr>
        <w:pStyle w:val="LTAntwortRessortText"/>
      </w:pPr>
      <w:r>
        <w:t>Die akutstationäre Behandlung von Frauen mit Endometriose in Bayern ist aus Sicht des Staatsministeriums für Gesundheit und Pflege flächendeckend gesichert. Die ambulante Behandlung von Endometriose wurd</w:t>
      </w:r>
      <w:r w:rsidR="00797D60">
        <w:t>e im Quartal 4/2021 bei rund 30 000 Patienten durch rund 10 </w:t>
      </w:r>
      <w:r>
        <w:t>000 niedergelassene Ve</w:t>
      </w:r>
      <w:r w:rsidR="00797D60">
        <w:t>rtragsärzte in Bayern flächende</w:t>
      </w:r>
      <w:r>
        <w:t>ckend sichergestellt. Die überwiegend behandelnden Arztgruppen sind laut Angaben der Kassenärztlichen Verein</w:t>
      </w:r>
      <w:r w:rsidR="00797D60">
        <w:t>igung Bayerns Hausärzte (6 800) und Gynäkologen (1 </w:t>
      </w:r>
      <w:r>
        <w:t>600). Dem Staatsministerium für Gesundheit und Pflege liegen keine Daten zu Zeiträumen zwischen Erkrankung und Diagnosestellu</w:t>
      </w:r>
      <w:r w:rsidR="002452D1">
        <w:t xml:space="preserve">ng vor. Im Übrigen wird auf die </w:t>
      </w:r>
      <w:r>
        <w:t>Antwort der Staatsregierung zur Schriftlichen Anfrage der Abgeordneten Claudia Stamm (fraktionslos) vom 09.01.2018 (Drs. 17/21709) verwiesen.</w:t>
      </w:r>
    </w:p>
    <w:p w:rsidR="0034715F" w:rsidRDefault="0034715F">
      <w:bookmarkStart w:id="68" w:name="Frage_Nr_33_Ende"/>
      <w:bookmarkEnd w:id="68"/>
      <w:r>
        <w:br w:type="page"/>
      </w:r>
    </w:p>
    <w:p w:rsidR="0034715F" w:rsidRDefault="0034715F" w:rsidP="0034715F">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34715F" w:rsidTr="007B0B33">
        <w:tc>
          <w:tcPr>
            <w:tcW w:w="2050" w:type="dxa"/>
          </w:tcPr>
          <w:p w:rsidR="0034715F" w:rsidRDefault="0034715F" w:rsidP="0034715F">
            <w:pPr>
              <w:pStyle w:val="LTAnfrageInitiator"/>
            </w:pPr>
            <w:r>
              <w:t>Abgeordnete</w:t>
            </w:r>
            <w:r>
              <w:rPr>
                <w:b/>
              </w:rPr>
              <w:br/>
              <w:t>Dr. Sabine</w:t>
            </w:r>
            <w:r>
              <w:rPr>
                <w:b/>
              </w:rPr>
              <w:br/>
              <w:t>Weigand</w:t>
            </w:r>
            <w:r>
              <w:rPr>
                <w:b/>
              </w:rPr>
              <w:br/>
            </w:r>
            <w:r>
              <w:t>(BÜNDNIS 90/DIE GRÜNEN)</w:t>
            </w:r>
            <w:bookmarkStart w:id="69" w:name="Frage_Nr_34"/>
            <w:bookmarkEnd w:id="69"/>
          </w:p>
        </w:tc>
        <w:tc>
          <w:tcPr>
            <w:tcW w:w="7200" w:type="dxa"/>
          </w:tcPr>
          <w:p w:rsidR="0034715F" w:rsidRPr="00947B4E" w:rsidRDefault="00947B4E" w:rsidP="0034715F">
            <w:pPr>
              <w:pStyle w:val="LTAnfrageText"/>
            </w:pPr>
            <w:r w:rsidRPr="00947B4E">
              <w:rPr>
                <w:szCs w:val="24"/>
              </w:rPr>
              <w:t>Vor dem Hintergrund, dass der Mitteldeutsche Rundfunk Sachsen am 18. April 2022 auf seiner Homepage schrieb, dass die dortige Schlösserverwaltung an Lösungen für mehr nachhaltige Energien (PV, Kraft-Wärme-Kopplung, usw.) arbeitet, frage ich die Staatsregierung, ob es eine ähnliche Initiative der Schlösserverwaltung gibt, wie viele bestehende Solaranlagen gibt es aktuell in ihrem Zuständigkeitsbereich (Standort, Daten, Errichtungsdatum) und hat die Schlösserverwaltung Pläne, die Menge an Anlagen zu erhöhen, um positive, denkmalverträgliche Beispiele für andere Denkmalbesitzerinnen bzw. Denkmalbesitzer zu generieren (bspw. durch rote Module, PV auf Nebengebäuden, integrierte Anlagen)?</w:t>
            </w:r>
          </w:p>
        </w:tc>
      </w:tr>
    </w:tbl>
    <w:p w:rsidR="0034715F" w:rsidRDefault="0034715F" w:rsidP="0034715F">
      <w:pPr>
        <w:pStyle w:val="LTUeberschrAntwortRessort"/>
      </w:pPr>
      <w:r>
        <w:t>Antwort des Staatsministeriums der Finanzen und für Heimat</w:t>
      </w:r>
    </w:p>
    <w:p w:rsidR="0034715F" w:rsidRDefault="0034715F" w:rsidP="0034715F">
      <w:pPr>
        <w:pStyle w:val="LTAntwortRessortText"/>
      </w:pPr>
      <w:r>
        <w:t>Die Verwaltung der staatlichen Schlösser, Gärten und Seen (Schlösserverwaltung) verfolgt verschiedene Wege, den Verbrauch fossiler Energien zu reduzieren.</w:t>
      </w:r>
    </w:p>
    <w:p w:rsidR="0034715F" w:rsidRDefault="0034715F" w:rsidP="0034715F">
      <w:pPr>
        <w:pStyle w:val="LTAntwortRessortText"/>
      </w:pPr>
      <w:r>
        <w:t>Ein einfacher Weg ist der der Energieeins</w:t>
      </w:r>
      <w:r w:rsidR="003E1CD7">
        <w:t>parung, etwa durch geringere Be</w:t>
      </w:r>
      <w:r>
        <w:t>heizung der zahlreichen Schauräume in d</w:t>
      </w:r>
      <w:r w:rsidR="003E1CD7">
        <w:t>en Schlossmuseen. Bei allen Bau</w:t>
      </w:r>
      <w:r>
        <w:t>maßnahmen der Schlösserverwaltung wird aber stets auch der Einsatz nachhaltiger Energieträger in Betracht gezogen.</w:t>
      </w:r>
    </w:p>
    <w:p w:rsidR="0034715F" w:rsidRDefault="0034715F" w:rsidP="0034715F">
      <w:pPr>
        <w:pStyle w:val="LTAntwortRessortText"/>
      </w:pPr>
      <w:r>
        <w:t>So werden beispielsweise bereits Hacksch</w:t>
      </w:r>
      <w:r w:rsidR="003E1CD7">
        <w:t>nitzelheizungen auf Herrenchiem</w:t>
      </w:r>
      <w:r>
        <w:t>see, in Linderhof und in der Verwaltung des Englischen Gartens in München überwiegend mit eigenem Holzschnitt be</w:t>
      </w:r>
      <w:r w:rsidR="003E1CD7">
        <w:t>trieben. Im Bereich des Schloss</w:t>
      </w:r>
      <w:r>
        <w:t>parks Nymphenburg ist derzeit eine weiter</w:t>
      </w:r>
      <w:r w:rsidR="003E1CD7">
        <w:t>e Anlage in Planung. Auf Herren</w:t>
      </w:r>
      <w:r>
        <w:t>chiemsee wird ferner eine Wärmepumpe mit Erdwärmenutzung und eine weitere mit Seewassernutzung, in Nymphenburg eine Wärmepumpe mit Grundwassernutzung und auf der Rosenin</w:t>
      </w:r>
      <w:r w:rsidR="003E1CD7">
        <w:t>sel im Starnberger See eine Wär</w:t>
      </w:r>
      <w:r>
        <w:t>mepumpe mit Erdwärmenutzung betrieben. Auch Pelletheizungen sowie BHKW / Kraftwärmekopplung sind im Be</w:t>
      </w:r>
      <w:r w:rsidR="003E1CD7">
        <w:t>reich der Schlossanlage Nymphen</w:t>
      </w:r>
      <w:r>
        <w:t>burg in Betrieb bzw. auf Herrenchiemsee in Planung.</w:t>
      </w:r>
    </w:p>
    <w:p w:rsidR="0034715F" w:rsidRDefault="0034715F" w:rsidP="00134416">
      <w:pPr>
        <w:pStyle w:val="LTAntwortRessortText"/>
      </w:pPr>
      <w:r>
        <w:t>Einem Einbau von Photovoltaik(PV)-Anla</w:t>
      </w:r>
      <w:r w:rsidR="003E1CD7">
        <w:t>gen bei den Objekten der Schlös</w:t>
      </w:r>
      <w:r>
        <w:t xml:space="preserve">serverwaltung stehen häufig Belange des Denkmalschutzes entgegen. Hier sind stets Einzelfallentscheidungen unter </w:t>
      </w:r>
      <w:r w:rsidR="003E1CD7">
        <w:t>Berücksichtigung der Gegebenhei</w:t>
      </w:r>
      <w:r>
        <w:t>ten des jeweiligen Denkmals zu treffen, wobei eine Nutzung</w:t>
      </w:r>
      <w:r w:rsidR="003E1CD7">
        <w:t xml:space="preserve"> eher für Neben</w:t>
      </w:r>
      <w:r>
        <w:t>gebäude in Betracht kommt. Eine PV-Anlage mit Stromspeicher wurde etwa bereits vor einigen Jahren auf dem Dac</w:t>
      </w:r>
      <w:r w:rsidR="003E1CD7">
        <w:t>h des als Neubau errichteten Betriebshofs in Coburg –</w:t>
      </w:r>
      <w:r>
        <w:t xml:space="preserve"> Rosenau errichtet, d</w:t>
      </w:r>
      <w:r w:rsidR="00134416">
        <w:t>a diese dort keine störende Wir</w:t>
      </w:r>
      <w:r>
        <w:t>kung auf das Denkmal entfaltet. Eine weite</w:t>
      </w:r>
      <w:r w:rsidR="003E1CD7">
        <w:t>re PV-Anlage für eine neu zu er</w:t>
      </w:r>
      <w:r>
        <w:t>richtende Lager- und Betriebshalle auf Herrenchiemsee befindet sich derzeit in Planung (geplanter Baubeginn im H</w:t>
      </w:r>
      <w:r w:rsidR="003E1CD7">
        <w:t>erbst 2022). Auf diesem Nebenge</w:t>
      </w:r>
      <w:r>
        <w:t>bäude sollen rote Module in die Dachfläche integriert werden, wodurch keine zusätzliche Dachdeckung erforderlich sein wird. Weitere geeignete Standorte sind im Bereich der Schlossanlage Nymphenburg und im Schlossgarten Dachau ebenfalls auf Nebengebäuden vorgesehen. Im Zuge anstehender Baumaßnahmen werden sukzessive weitere Standorte folgen.</w:t>
      </w:r>
    </w:p>
    <w:p w:rsidR="0034715F" w:rsidRDefault="0034715F">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34715F" w:rsidTr="007B0B33">
        <w:tc>
          <w:tcPr>
            <w:tcW w:w="2050" w:type="dxa"/>
          </w:tcPr>
          <w:p w:rsidR="0034715F" w:rsidRDefault="0034715F" w:rsidP="0034715F">
            <w:pPr>
              <w:pStyle w:val="LTAnfrageInitiator"/>
            </w:pPr>
            <w:r>
              <w:lastRenderedPageBreak/>
              <w:t>Abgeordneter</w:t>
            </w:r>
            <w:r>
              <w:rPr>
                <w:b/>
              </w:rPr>
              <w:br/>
              <w:t>Christian</w:t>
            </w:r>
            <w:r>
              <w:rPr>
                <w:b/>
              </w:rPr>
              <w:br/>
              <w:t>Zwanziger</w:t>
            </w:r>
            <w:r>
              <w:rPr>
                <w:b/>
              </w:rPr>
              <w:br/>
            </w:r>
            <w:r>
              <w:t>(BÜNDNIS 90/DIE GRÜNEN)</w:t>
            </w:r>
            <w:bookmarkStart w:id="71" w:name="Frage_Nr_35"/>
            <w:bookmarkEnd w:id="71"/>
          </w:p>
        </w:tc>
        <w:tc>
          <w:tcPr>
            <w:tcW w:w="7200" w:type="dxa"/>
          </w:tcPr>
          <w:p w:rsidR="0034715F" w:rsidRPr="00085A8F" w:rsidRDefault="00085A8F" w:rsidP="0034715F">
            <w:pPr>
              <w:pStyle w:val="LTAnfrageText"/>
            </w:pPr>
            <w:r w:rsidRPr="00085A8F">
              <w:rPr>
                <w:szCs w:val="24"/>
              </w:rPr>
              <w:t>Ich frage die Staatsregierung, in welchem Umfang wurden in Mittelfranken seit 2010 Mittel zur Förderung kommunaler Hochbauten nach Art. 10 Bayerisches Finanzausgleichsgesetz (BayFAG) bewilligt bzw. abgerufen jeweils für Neubaumaßnahmen, Umbaumaßnahmen und Sanierungsmaßnahmen (bitte möglichst regionalisiert aufschlüsseln und bei Neubaumaßnahmen neue Flächen, die dafür in Anspruch genommen wurden, aufschlüsseln), wie oft wurde in den letzten zehn Jahren in Mittelfranken der Erwerb eines Gebäudes für die Nutzung als Schule, Kindertageseinrichtung oder sonstigen öffentlichen Einrichtungen gefördert und wie stellt sie auch durch ihre Förderpolitik sicher, dass beim Staatlichen Hochbau der Fokus auf Gebäudebestand bzw. auf bereits genutzte Grundstücke und deren Sanierung gesetzt wird, statt neue Flächen insbesondere im Außenbereich zu nutzen?</w:t>
            </w:r>
          </w:p>
        </w:tc>
      </w:tr>
    </w:tbl>
    <w:p w:rsidR="0034715F" w:rsidRDefault="0034715F" w:rsidP="0034715F">
      <w:pPr>
        <w:pStyle w:val="LTUeberschrAntwortRessort"/>
      </w:pPr>
      <w:r>
        <w:t>Antwort des Staatsministeriums der Finanzen und für Heimat</w:t>
      </w:r>
    </w:p>
    <w:p w:rsidR="0034715F" w:rsidRDefault="0034715F" w:rsidP="0034715F">
      <w:pPr>
        <w:pStyle w:val="LTAntwortRessortText"/>
      </w:pPr>
      <w:r>
        <w:t xml:space="preserve">Die Kommunen entscheiden selbst über Art und Umfang von kommunalen Baumaßnahmen, </w:t>
      </w:r>
      <w:r w:rsidR="00190CE9">
        <w:t>z. B.</w:t>
      </w:r>
      <w:r>
        <w:t xml:space="preserve"> an ihren Schulen und Kindertageseinrichtungen. Der Freistaat Bayern hat, da die jeweilige Komm</w:t>
      </w:r>
      <w:r w:rsidR="000750F6">
        <w:t>une und nicht der Freistaat Bau</w:t>
      </w:r>
      <w:r>
        <w:t>herr ist, auf diese Entscheidung grundsätzlich keinen Einfluss.</w:t>
      </w:r>
    </w:p>
    <w:p w:rsidR="0034715F" w:rsidRDefault="0034715F" w:rsidP="0034715F">
      <w:pPr>
        <w:pStyle w:val="LTAntwortRessortText"/>
      </w:pPr>
      <w:r>
        <w:t>Im Rahmen des kommunalen Finanzausgleic</w:t>
      </w:r>
      <w:r w:rsidR="000750F6">
        <w:t>hs fördert der Freistaat kom</w:t>
      </w:r>
      <w:r>
        <w:t>munale Hochbaumaßnahmen an öffentlic</w:t>
      </w:r>
      <w:r w:rsidR="000750F6">
        <w:t>hen Schulen, Kindertageseinrich</w:t>
      </w:r>
      <w:r>
        <w:t>tungen und professionellen kommunalen The</w:t>
      </w:r>
      <w:r w:rsidR="000750F6">
        <w:t>atern mit Zuweisungen nach Art. </w:t>
      </w:r>
      <w:r>
        <w:t>10 des Bayerischen Finanzausgleichsgesetzes (BayFAG). Förderfähig sind in diesem Zusammenhang die zuweisungsfähigen Ausgaben für Neu-, Um- und Erweiterungsbauten sowie Genera</w:t>
      </w:r>
      <w:r w:rsidR="000750F6">
        <w:t>l- und Teilsanierungen. Die För</w:t>
      </w:r>
      <w:r>
        <w:t>derung erfolgt ausschließlich im Umfang des schulaufsichtlich genehmigten Raumbedarfs bzw. bei Kindertageseinrichtungen im Umfang des fe</w:t>
      </w:r>
      <w:r w:rsidR="000750F6">
        <w:t>stgestell</w:t>
      </w:r>
      <w:r>
        <w:t>ten Betreuungsbedarfs.</w:t>
      </w:r>
    </w:p>
    <w:p w:rsidR="0034715F" w:rsidRDefault="0034715F" w:rsidP="0034715F">
      <w:pPr>
        <w:pStyle w:val="LTAntwortRessortText"/>
      </w:pPr>
      <w:r>
        <w:t>General- und Teilsanierungen entsprechen den raumordnungspolitischen Zielen, einer Flächenneuinanspruchnahme entgegenzuwirken, und können regelmäßig gefördert werden. Die Grundsätze von Wirtschaftlichkeit und Sparsamkeit sind bei Planung und Durchführung eines Bauvorhabens von den kommunalen Zuweisungsempfängern eigenverantwortlich zu beachten und gegenüber der Regierung entsprechend darzulegen.</w:t>
      </w:r>
    </w:p>
    <w:p w:rsidR="0034715F" w:rsidRDefault="0034715F" w:rsidP="0034715F">
      <w:pPr>
        <w:pStyle w:val="LTAntwortRessortText"/>
      </w:pPr>
      <w:r>
        <w:t>Die alternative Förderung eines Ersatzneubaus kommt nur dann in Betracht, wenn dieser im Vergleich zur Generalsanierung nicht unwirtschaftlicher ist. Dies ist regelmäßig nur dann gegeben, w</w:t>
      </w:r>
      <w:r w:rsidR="000750F6">
        <w:t>enn die zuweisungsfähigen Ausga</w:t>
      </w:r>
      <w:r>
        <w:t xml:space="preserve">ben der Generalsanierung 80 </w:t>
      </w:r>
      <w:r w:rsidR="00190CE9">
        <w:t>Prozent</w:t>
      </w:r>
      <w:r>
        <w:t xml:space="preserve"> der fiktiv</w:t>
      </w:r>
      <w:r w:rsidR="000750F6">
        <w:t>en Neubaukosten einer vergleich</w:t>
      </w:r>
      <w:r>
        <w:t>baren Neubaumaßnahme erreichen würden.</w:t>
      </w:r>
    </w:p>
    <w:p w:rsidR="0034715F" w:rsidRDefault="0034715F" w:rsidP="0034715F">
      <w:pPr>
        <w:pStyle w:val="LTAntwortRessortText"/>
      </w:pPr>
      <w:r>
        <w:t xml:space="preserve">Dem Staatsministerium der Finanzen und </w:t>
      </w:r>
      <w:r w:rsidR="005C160F">
        <w:t>für Heimat liegen keine Erkennt</w:t>
      </w:r>
      <w:r>
        <w:t>nisse vor, welche neuen Flächen bei Neubauten in Anspruch genommen werden.</w:t>
      </w:r>
    </w:p>
    <w:p w:rsidR="0034715F" w:rsidRDefault="0034715F" w:rsidP="0034715F">
      <w:pPr>
        <w:pStyle w:val="LTAntwortRessortText"/>
      </w:pPr>
      <w:r>
        <w:lastRenderedPageBreak/>
        <w:t>Für die Förderung von Neu- und Umbauten</w:t>
      </w:r>
      <w:r w:rsidR="00075CF6">
        <w:t xml:space="preserve"> sowie Sanierungen von öffentli</w:t>
      </w:r>
      <w:r>
        <w:t>chen Schulen, Kindertageseinrichtungen und professionellen kommunalen Theatern wurden im Zeitraum 2010 bis</w:t>
      </w:r>
      <w:r w:rsidR="00075CF6">
        <w:t xml:space="preserve"> 2021 in Mittelfranken Zuweisungen nach Art. 10 </w:t>
      </w:r>
      <w:r>
        <w:t xml:space="preserve">BayFAG in Höhe von rd. 798,2 Mio. </w:t>
      </w:r>
      <w:r w:rsidR="00190CE9">
        <w:t>Euro</w:t>
      </w:r>
      <w:r>
        <w:t xml:space="preserve"> bewilligt.</w:t>
      </w:r>
    </w:p>
    <w:p w:rsidR="0034715F" w:rsidRDefault="0034715F" w:rsidP="0034715F">
      <w:pPr>
        <w:pStyle w:val="LTAntwortRessortText"/>
      </w:pPr>
      <w:r>
        <w:t>Gesamt</w:t>
      </w:r>
      <w:r w:rsidR="00075CF6">
        <w:t>bewilligungen im Zeitraum 2010 bis</w:t>
      </w:r>
      <w:r>
        <w:t xml:space="preserve"> 2021</w:t>
      </w:r>
    </w:p>
    <w:p w:rsidR="0034715F" w:rsidRDefault="0034715F" w:rsidP="0034715F">
      <w:pPr>
        <w:pStyle w:val="LTAntwortRessortText"/>
      </w:pPr>
    </w:p>
    <w:tbl>
      <w:tblPr>
        <w:tblStyle w:val="TableNormal"/>
        <w:tblW w:w="823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1560"/>
        <w:gridCol w:w="1559"/>
        <w:gridCol w:w="1701"/>
        <w:gridCol w:w="1843"/>
      </w:tblGrid>
      <w:tr w:rsidR="00441469" w:rsidRPr="007A0426" w:rsidTr="007A0426">
        <w:trPr>
          <w:trHeight w:val="508"/>
        </w:trPr>
        <w:tc>
          <w:tcPr>
            <w:tcW w:w="1568" w:type="dxa"/>
            <w:vAlign w:val="center"/>
          </w:tcPr>
          <w:p w:rsidR="00441469" w:rsidRPr="007A0426" w:rsidRDefault="00441469" w:rsidP="007A0426">
            <w:pPr>
              <w:pStyle w:val="TableParagraph"/>
              <w:rPr>
                <w:rFonts w:ascii="Arial" w:hAnsi="Arial" w:cs="Arial"/>
                <w:b/>
                <w:sz w:val="18"/>
                <w:szCs w:val="18"/>
              </w:rPr>
            </w:pPr>
            <w:r w:rsidRPr="007A0426">
              <w:rPr>
                <w:rFonts w:ascii="Arial" w:hAnsi="Arial" w:cs="Arial"/>
                <w:b/>
                <w:sz w:val="18"/>
                <w:szCs w:val="18"/>
              </w:rPr>
              <w:t>kreisfreie Städte</w:t>
            </w:r>
          </w:p>
        </w:tc>
        <w:tc>
          <w:tcPr>
            <w:tcW w:w="1560" w:type="dxa"/>
            <w:vAlign w:val="center"/>
          </w:tcPr>
          <w:p w:rsidR="00441469" w:rsidRPr="007A0426" w:rsidRDefault="00441469" w:rsidP="007A0426">
            <w:pPr>
              <w:pStyle w:val="TableParagraph"/>
              <w:jc w:val="center"/>
              <w:rPr>
                <w:rFonts w:ascii="Arial" w:hAnsi="Arial" w:cs="Arial"/>
                <w:b/>
                <w:sz w:val="18"/>
                <w:szCs w:val="18"/>
              </w:rPr>
            </w:pPr>
            <w:r w:rsidRPr="007A0426">
              <w:rPr>
                <w:rFonts w:ascii="Arial" w:hAnsi="Arial" w:cs="Arial"/>
                <w:b/>
                <w:sz w:val="18"/>
                <w:szCs w:val="18"/>
              </w:rPr>
              <w:t>Neubau</w:t>
            </w:r>
          </w:p>
        </w:tc>
        <w:tc>
          <w:tcPr>
            <w:tcW w:w="1559" w:type="dxa"/>
            <w:vAlign w:val="center"/>
          </w:tcPr>
          <w:p w:rsidR="00441469" w:rsidRPr="007A0426" w:rsidRDefault="00441469" w:rsidP="007A0426">
            <w:pPr>
              <w:pStyle w:val="TableParagraph"/>
              <w:jc w:val="center"/>
              <w:rPr>
                <w:rFonts w:ascii="Arial" w:hAnsi="Arial" w:cs="Arial"/>
                <w:b/>
                <w:sz w:val="18"/>
                <w:szCs w:val="18"/>
              </w:rPr>
            </w:pPr>
            <w:r w:rsidRPr="007A0426">
              <w:rPr>
                <w:rFonts w:ascii="Arial" w:hAnsi="Arial" w:cs="Arial"/>
                <w:b/>
                <w:sz w:val="18"/>
                <w:szCs w:val="18"/>
              </w:rPr>
              <w:t>Umbau</w:t>
            </w:r>
          </w:p>
        </w:tc>
        <w:tc>
          <w:tcPr>
            <w:tcW w:w="1701" w:type="dxa"/>
            <w:vAlign w:val="center"/>
          </w:tcPr>
          <w:p w:rsidR="00441469" w:rsidRPr="007A0426" w:rsidRDefault="00441469" w:rsidP="007A0426">
            <w:pPr>
              <w:pStyle w:val="TableParagraph"/>
              <w:jc w:val="center"/>
              <w:rPr>
                <w:rFonts w:ascii="Arial" w:hAnsi="Arial" w:cs="Arial"/>
                <w:b/>
                <w:sz w:val="18"/>
                <w:szCs w:val="18"/>
              </w:rPr>
            </w:pPr>
            <w:r w:rsidRPr="007A0426">
              <w:rPr>
                <w:rFonts w:ascii="Arial" w:hAnsi="Arial" w:cs="Arial"/>
                <w:b/>
                <w:sz w:val="18"/>
                <w:szCs w:val="18"/>
              </w:rPr>
              <w:t>Sanierung</w:t>
            </w:r>
          </w:p>
        </w:tc>
        <w:tc>
          <w:tcPr>
            <w:tcW w:w="1843" w:type="dxa"/>
            <w:vAlign w:val="center"/>
          </w:tcPr>
          <w:p w:rsidR="00441469" w:rsidRPr="007A0426" w:rsidRDefault="00441469" w:rsidP="007A0426">
            <w:pPr>
              <w:pStyle w:val="TableParagraph"/>
              <w:spacing w:line="252" w:lineRule="exact"/>
              <w:ind w:hanging="154"/>
              <w:jc w:val="center"/>
              <w:rPr>
                <w:rFonts w:ascii="Arial" w:hAnsi="Arial" w:cs="Arial"/>
                <w:b/>
                <w:sz w:val="18"/>
                <w:szCs w:val="18"/>
              </w:rPr>
            </w:pPr>
            <w:r w:rsidRPr="007A0426">
              <w:rPr>
                <w:rFonts w:ascii="Arial" w:hAnsi="Arial" w:cs="Arial"/>
                <w:b/>
                <w:sz w:val="18"/>
                <w:szCs w:val="18"/>
              </w:rPr>
              <w:t>Erwerb eines Gebäudes</w:t>
            </w:r>
          </w:p>
        </w:tc>
      </w:tr>
      <w:tr w:rsidR="00441469" w:rsidRPr="007A0426" w:rsidTr="007A0426">
        <w:trPr>
          <w:trHeight w:val="336"/>
        </w:trPr>
        <w:tc>
          <w:tcPr>
            <w:tcW w:w="1568" w:type="dxa"/>
            <w:vAlign w:val="center"/>
          </w:tcPr>
          <w:p w:rsidR="00441469" w:rsidRPr="007A0426" w:rsidRDefault="00441469" w:rsidP="007A0426">
            <w:pPr>
              <w:pStyle w:val="TableParagraph"/>
              <w:rPr>
                <w:rFonts w:ascii="Arial" w:hAnsi="Arial" w:cs="Arial"/>
                <w:sz w:val="18"/>
                <w:szCs w:val="18"/>
              </w:rPr>
            </w:pPr>
            <w:r w:rsidRPr="007A0426">
              <w:rPr>
                <w:rFonts w:ascii="Arial" w:hAnsi="Arial" w:cs="Arial"/>
                <w:sz w:val="18"/>
                <w:szCs w:val="18"/>
              </w:rPr>
              <w:t>Ansbach</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8.922.000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1.442.000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12.547.000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w:t>
            </w:r>
          </w:p>
        </w:tc>
      </w:tr>
      <w:tr w:rsidR="00441469" w:rsidRPr="007A0426" w:rsidTr="007A0426">
        <w:trPr>
          <w:trHeight w:val="338"/>
        </w:trPr>
        <w:tc>
          <w:tcPr>
            <w:tcW w:w="1568" w:type="dxa"/>
            <w:vAlign w:val="center"/>
          </w:tcPr>
          <w:p w:rsidR="00441469" w:rsidRPr="007A0426" w:rsidRDefault="00441469" w:rsidP="007A0426">
            <w:pPr>
              <w:pStyle w:val="TableParagraph"/>
              <w:rPr>
                <w:rFonts w:ascii="Arial" w:hAnsi="Arial" w:cs="Arial"/>
                <w:sz w:val="18"/>
                <w:szCs w:val="18"/>
              </w:rPr>
            </w:pPr>
            <w:r w:rsidRPr="007A0426">
              <w:rPr>
                <w:rFonts w:ascii="Arial" w:hAnsi="Arial" w:cs="Arial"/>
                <w:sz w:val="18"/>
                <w:szCs w:val="18"/>
              </w:rPr>
              <w:t>Erlangen</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14.507.000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5.934.000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30.240.000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w:t>
            </w:r>
          </w:p>
        </w:tc>
      </w:tr>
      <w:tr w:rsidR="00441469" w:rsidRPr="007A0426" w:rsidTr="007A0426">
        <w:trPr>
          <w:trHeight w:val="335"/>
        </w:trPr>
        <w:tc>
          <w:tcPr>
            <w:tcW w:w="1568" w:type="dxa"/>
            <w:vAlign w:val="center"/>
          </w:tcPr>
          <w:p w:rsidR="00441469" w:rsidRPr="007A0426" w:rsidRDefault="00441469" w:rsidP="007A0426">
            <w:pPr>
              <w:pStyle w:val="TableParagraph"/>
              <w:rPr>
                <w:rFonts w:ascii="Arial" w:hAnsi="Arial" w:cs="Arial"/>
                <w:sz w:val="18"/>
                <w:szCs w:val="18"/>
              </w:rPr>
            </w:pPr>
            <w:r w:rsidRPr="007A0426">
              <w:rPr>
                <w:rFonts w:ascii="Arial" w:hAnsi="Arial" w:cs="Arial"/>
                <w:sz w:val="18"/>
                <w:szCs w:val="18"/>
              </w:rPr>
              <w:t>Fürth</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18.854.000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13.224.058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15.440.000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1.013.000 </w:t>
            </w:r>
            <w:r w:rsidR="00190CE9" w:rsidRPr="007A0426">
              <w:rPr>
                <w:rFonts w:ascii="Arial" w:hAnsi="Arial" w:cs="Arial"/>
                <w:sz w:val="18"/>
                <w:szCs w:val="18"/>
              </w:rPr>
              <w:t>Euro</w:t>
            </w:r>
          </w:p>
        </w:tc>
      </w:tr>
      <w:tr w:rsidR="00441469" w:rsidRPr="007A0426" w:rsidTr="007A0426">
        <w:trPr>
          <w:trHeight w:val="337"/>
        </w:trPr>
        <w:tc>
          <w:tcPr>
            <w:tcW w:w="1568" w:type="dxa"/>
            <w:vAlign w:val="center"/>
          </w:tcPr>
          <w:p w:rsidR="00441469" w:rsidRPr="007A0426" w:rsidRDefault="00441469" w:rsidP="007A0426">
            <w:pPr>
              <w:pStyle w:val="TableParagraph"/>
              <w:rPr>
                <w:rFonts w:ascii="Arial" w:hAnsi="Arial" w:cs="Arial"/>
                <w:sz w:val="18"/>
                <w:szCs w:val="18"/>
              </w:rPr>
            </w:pPr>
            <w:r w:rsidRPr="007A0426">
              <w:rPr>
                <w:rFonts w:ascii="Arial" w:hAnsi="Arial" w:cs="Arial"/>
                <w:sz w:val="18"/>
                <w:szCs w:val="18"/>
              </w:rPr>
              <w:t>Nürnberg</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130.666.939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31.403.441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20.758.359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2.153.000 </w:t>
            </w:r>
            <w:r w:rsidR="00190CE9" w:rsidRPr="007A0426">
              <w:rPr>
                <w:rFonts w:ascii="Arial" w:hAnsi="Arial" w:cs="Arial"/>
                <w:sz w:val="18"/>
                <w:szCs w:val="18"/>
              </w:rPr>
              <w:t>Euro</w:t>
            </w:r>
          </w:p>
        </w:tc>
      </w:tr>
      <w:tr w:rsidR="00441469" w:rsidRPr="007A0426" w:rsidTr="007A0426">
        <w:trPr>
          <w:trHeight w:val="337"/>
        </w:trPr>
        <w:tc>
          <w:tcPr>
            <w:tcW w:w="1568" w:type="dxa"/>
            <w:vAlign w:val="center"/>
          </w:tcPr>
          <w:p w:rsidR="00441469" w:rsidRPr="007A0426" w:rsidRDefault="00441469" w:rsidP="007A0426">
            <w:pPr>
              <w:pStyle w:val="TableParagraph"/>
              <w:rPr>
                <w:rFonts w:ascii="Arial" w:hAnsi="Arial" w:cs="Arial"/>
                <w:sz w:val="18"/>
                <w:szCs w:val="18"/>
              </w:rPr>
            </w:pPr>
            <w:r w:rsidRPr="007A0426">
              <w:rPr>
                <w:rFonts w:ascii="Arial" w:hAnsi="Arial" w:cs="Arial"/>
                <w:sz w:val="18"/>
                <w:szCs w:val="18"/>
              </w:rPr>
              <w:t>Schwabach</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5.802.000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8.243.000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5.463.000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297.000 </w:t>
            </w:r>
            <w:r w:rsidR="00190CE9" w:rsidRPr="007A0426">
              <w:rPr>
                <w:rFonts w:ascii="Arial" w:hAnsi="Arial" w:cs="Arial"/>
                <w:sz w:val="18"/>
                <w:szCs w:val="18"/>
              </w:rPr>
              <w:t>Euro</w:t>
            </w:r>
          </w:p>
        </w:tc>
      </w:tr>
      <w:tr w:rsidR="00441469" w:rsidRPr="007A0426" w:rsidTr="007A0426">
        <w:trPr>
          <w:trHeight w:val="539"/>
        </w:trPr>
        <w:tc>
          <w:tcPr>
            <w:tcW w:w="8231" w:type="dxa"/>
            <w:gridSpan w:val="5"/>
            <w:tcBorders>
              <w:left w:val="nil"/>
              <w:right w:val="nil"/>
            </w:tcBorders>
            <w:vAlign w:val="center"/>
          </w:tcPr>
          <w:p w:rsidR="00441469" w:rsidRPr="007A0426" w:rsidRDefault="00441469" w:rsidP="007A0426">
            <w:pPr>
              <w:pStyle w:val="TableParagraph"/>
              <w:jc w:val="center"/>
              <w:rPr>
                <w:rFonts w:ascii="Arial" w:hAnsi="Arial" w:cs="Arial"/>
                <w:sz w:val="18"/>
                <w:szCs w:val="18"/>
              </w:rPr>
            </w:pPr>
          </w:p>
        </w:tc>
      </w:tr>
      <w:tr w:rsidR="00441469" w:rsidRPr="007A0426" w:rsidTr="007A0426">
        <w:trPr>
          <w:trHeight w:val="760"/>
        </w:trPr>
        <w:tc>
          <w:tcPr>
            <w:tcW w:w="1568" w:type="dxa"/>
            <w:vAlign w:val="center"/>
          </w:tcPr>
          <w:p w:rsidR="00441469" w:rsidRPr="007A0426" w:rsidRDefault="00441469" w:rsidP="007A0426">
            <w:pPr>
              <w:pStyle w:val="TableParagraph"/>
              <w:spacing w:line="248" w:lineRule="exact"/>
              <w:rPr>
                <w:rFonts w:ascii="Arial" w:hAnsi="Arial" w:cs="Arial"/>
                <w:b/>
                <w:sz w:val="18"/>
                <w:szCs w:val="18"/>
              </w:rPr>
            </w:pPr>
            <w:r w:rsidRPr="007A0426">
              <w:rPr>
                <w:rFonts w:ascii="Arial" w:hAnsi="Arial" w:cs="Arial"/>
                <w:b/>
                <w:sz w:val="18"/>
                <w:szCs w:val="18"/>
              </w:rPr>
              <w:t>Landkreise und</w:t>
            </w:r>
          </w:p>
          <w:p w:rsidR="00441469" w:rsidRPr="007A0426" w:rsidRDefault="00441469" w:rsidP="007A0426">
            <w:pPr>
              <w:pStyle w:val="TableParagraph"/>
              <w:spacing w:line="252" w:lineRule="exact"/>
              <w:rPr>
                <w:rFonts w:ascii="Arial" w:hAnsi="Arial" w:cs="Arial"/>
                <w:b/>
                <w:sz w:val="18"/>
                <w:szCs w:val="18"/>
              </w:rPr>
            </w:pPr>
            <w:r w:rsidRPr="007A0426">
              <w:rPr>
                <w:rFonts w:ascii="Arial" w:hAnsi="Arial" w:cs="Arial"/>
                <w:b/>
                <w:sz w:val="18"/>
                <w:szCs w:val="18"/>
              </w:rPr>
              <w:t>kreisangehörige Gemeinden</w:t>
            </w:r>
          </w:p>
        </w:tc>
        <w:tc>
          <w:tcPr>
            <w:tcW w:w="1560" w:type="dxa"/>
            <w:vAlign w:val="center"/>
          </w:tcPr>
          <w:p w:rsidR="00441469" w:rsidRPr="007A0426" w:rsidRDefault="00441469" w:rsidP="007A0426">
            <w:pPr>
              <w:pStyle w:val="TableParagraph"/>
              <w:jc w:val="center"/>
              <w:rPr>
                <w:rFonts w:ascii="Arial" w:hAnsi="Arial" w:cs="Arial"/>
                <w:b/>
                <w:sz w:val="18"/>
                <w:szCs w:val="18"/>
              </w:rPr>
            </w:pPr>
            <w:r w:rsidRPr="007A0426">
              <w:rPr>
                <w:rFonts w:ascii="Arial" w:hAnsi="Arial" w:cs="Arial"/>
                <w:b/>
                <w:sz w:val="18"/>
                <w:szCs w:val="18"/>
              </w:rPr>
              <w:t>Neubau</w:t>
            </w:r>
          </w:p>
        </w:tc>
        <w:tc>
          <w:tcPr>
            <w:tcW w:w="1559" w:type="dxa"/>
            <w:vAlign w:val="center"/>
          </w:tcPr>
          <w:p w:rsidR="00441469" w:rsidRPr="007A0426" w:rsidRDefault="00441469" w:rsidP="007A0426">
            <w:pPr>
              <w:pStyle w:val="TableParagraph"/>
              <w:jc w:val="center"/>
              <w:rPr>
                <w:rFonts w:ascii="Arial" w:hAnsi="Arial" w:cs="Arial"/>
                <w:b/>
                <w:sz w:val="18"/>
                <w:szCs w:val="18"/>
              </w:rPr>
            </w:pPr>
            <w:r w:rsidRPr="007A0426">
              <w:rPr>
                <w:rFonts w:ascii="Arial" w:hAnsi="Arial" w:cs="Arial"/>
                <w:b/>
                <w:sz w:val="18"/>
                <w:szCs w:val="18"/>
              </w:rPr>
              <w:t>Umbau</w:t>
            </w:r>
          </w:p>
        </w:tc>
        <w:tc>
          <w:tcPr>
            <w:tcW w:w="1701" w:type="dxa"/>
            <w:vAlign w:val="center"/>
          </w:tcPr>
          <w:p w:rsidR="00441469" w:rsidRPr="007A0426" w:rsidRDefault="00441469" w:rsidP="007A0426">
            <w:pPr>
              <w:pStyle w:val="TableParagraph"/>
              <w:jc w:val="center"/>
              <w:rPr>
                <w:rFonts w:ascii="Arial" w:hAnsi="Arial" w:cs="Arial"/>
                <w:b/>
                <w:sz w:val="18"/>
                <w:szCs w:val="18"/>
              </w:rPr>
            </w:pPr>
            <w:r w:rsidRPr="007A0426">
              <w:rPr>
                <w:rFonts w:ascii="Arial" w:hAnsi="Arial" w:cs="Arial"/>
                <w:b/>
                <w:sz w:val="18"/>
                <w:szCs w:val="18"/>
              </w:rPr>
              <w:t>Sanierung</w:t>
            </w:r>
          </w:p>
        </w:tc>
        <w:tc>
          <w:tcPr>
            <w:tcW w:w="1843" w:type="dxa"/>
            <w:vAlign w:val="center"/>
          </w:tcPr>
          <w:p w:rsidR="00441469" w:rsidRPr="007A0426" w:rsidRDefault="00441469" w:rsidP="007A0426">
            <w:pPr>
              <w:pStyle w:val="TableParagraph"/>
              <w:ind w:hanging="154"/>
              <w:jc w:val="center"/>
              <w:rPr>
                <w:rFonts w:ascii="Arial" w:hAnsi="Arial" w:cs="Arial"/>
                <w:b/>
                <w:sz w:val="18"/>
                <w:szCs w:val="18"/>
              </w:rPr>
            </w:pPr>
            <w:r w:rsidRPr="007A0426">
              <w:rPr>
                <w:rFonts w:ascii="Arial" w:hAnsi="Arial" w:cs="Arial"/>
                <w:b/>
                <w:sz w:val="18"/>
                <w:szCs w:val="18"/>
              </w:rPr>
              <w:t>Erwerb eines Gebäudes</w:t>
            </w:r>
          </w:p>
        </w:tc>
      </w:tr>
      <w:tr w:rsidR="00441469" w:rsidRPr="007A0426" w:rsidTr="007A0426">
        <w:trPr>
          <w:trHeight w:val="336"/>
        </w:trPr>
        <w:tc>
          <w:tcPr>
            <w:tcW w:w="1568" w:type="dxa"/>
            <w:vAlign w:val="center"/>
          </w:tcPr>
          <w:p w:rsidR="00441469" w:rsidRPr="007A0426" w:rsidRDefault="00441469" w:rsidP="007A0426">
            <w:pPr>
              <w:pStyle w:val="TableParagraph"/>
              <w:rPr>
                <w:rFonts w:ascii="Arial" w:hAnsi="Arial" w:cs="Arial"/>
                <w:sz w:val="18"/>
                <w:szCs w:val="18"/>
              </w:rPr>
            </w:pPr>
            <w:r w:rsidRPr="007A0426">
              <w:rPr>
                <w:rFonts w:ascii="Arial" w:hAnsi="Arial" w:cs="Arial"/>
                <w:sz w:val="18"/>
                <w:szCs w:val="18"/>
              </w:rPr>
              <w:t>Ansbach</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37.100.697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21.511.381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46.389.000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w:t>
            </w:r>
          </w:p>
        </w:tc>
      </w:tr>
      <w:tr w:rsidR="00441469" w:rsidRPr="007A0426" w:rsidTr="007A0426">
        <w:trPr>
          <w:trHeight w:val="338"/>
        </w:trPr>
        <w:tc>
          <w:tcPr>
            <w:tcW w:w="1568" w:type="dxa"/>
            <w:vAlign w:val="center"/>
          </w:tcPr>
          <w:p w:rsidR="00441469" w:rsidRPr="007A0426" w:rsidRDefault="00441469" w:rsidP="007A0426">
            <w:pPr>
              <w:pStyle w:val="TableParagraph"/>
              <w:rPr>
                <w:rFonts w:ascii="Arial" w:hAnsi="Arial" w:cs="Arial"/>
                <w:sz w:val="18"/>
                <w:szCs w:val="18"/>
              </w:rPr>
            </w:pPr>
            <w:r w:rsidRPr="007A0426">
              <w:rPr>
                <w:rFonts w:ascii="Arial" w:hAnsi="Arial" w:cs="Arial"/>
                <w:sz w:val="18"/>
                <w:szCs w:val="18"/>
              </w:rPr>
              <w:t>Erlangen-Höchstadt</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19.981.000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9.084.089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22.994.911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w:t>
            </w:r>
          </w:p>
        </w:tc>
      </w:tr>
      <w:tr w:rsidR="00441469" w:rsidRPr="007A0426" w:rsidTr="007A0426">
        <w:trPr>
          <w:trHeight w:val="335"/>
        </w:trPr>
        <w:tc>
          <w:tcPr>
            <w:tcW w:w="1568" w:type="dxa"/>
            <w:vAlign w:val="center"/>
          </w:tcPr>
          <w:p w:rsidR="00441469" w:rsidRPr="007A0426" w:rsidRDefault="00441469" w:rsidP="007A0426">
            <w:pPr>
              <w:pStyle w:val="TableParagraph"/>
              <w:rPr>
                <w:rFonts w:ascii="Arial" w:hAnsi="Arial" w:cs="Arial"/>
                <w:sz w:val="18"/>
                <w:szCs w:val="18"/>
              </w:rPr>
            </w:pPr>
            <w:r w:rsidRPr="007A0426">
              <w:rPr>
                <w:rFonts w:ascii="Arial" w:hAnsi="Arial" w:cs="Arial"/>
                <w:sz w:val="18"/>
                <w:szCs w:val="18"/>
              </w:rPr>
              <w:t>Fürth</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26.119.000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7.635.000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23.835.500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928.000 </w:t>
            </w:r>
            <w:r w:rsidR="00190CE9" w:rsidRPr="007A0426">
              <w:rPr>
                <w:rFonts w:ascii="Arial" w:hAnsi="Arial" w:cs="Arial"/>
                <w:sz w:val="18"/>
                <w:szCs w:val="18"/>
              </w:rPr>
              <w:t>Euro</w:t>
            </w:r>
          </w:p>
        </w:tc>
      </w:tr>
      <w:tr w:rsidR="00441469" w:rsidRPr="007A0426" w:rsidTr="007A0426">
        <w:trPr>
          <w:trHeight w:val="505"/>
        </w:trPr>
        <w:tc>
          <w:tcPr>
            <w:tcW w:w="1568" w:type="dxa"/>
            <w:vAlign w:val="center"/>
          </w:tcPr>
          <w:p w:rsidR="00441469" w:rsidRPr="007A0426" w:rsidRDefault="007A0426" w:rsidP="007A0426">
            <w:pPr>
              <w:pStyle w:val="TableParagraph"/>
              <w:spacing w:line="252" w:lineRule="exact"/>
              <w:rPr>
                <w:rFonts w:ascii="Arial" w:hAnsi="Arial" w:cs="Arial"/>
                <w:sz w:val="18"/>
                <w:szCs w:val="18"/>
              </w:rPr>
            </w:pPr>
            <w:r>
              <w:rPr>
                <w:rFonts w:ascii="Arial" w:hAnsi="Arial" w:cs="Arial"/>
                <w:sz w:val="18"/>
                <w:szCs w:val="18"/>
              </w:rPr>
              <w:t>Neustadt a. d. </w:t>
            </w:r>
            <w:r w:rsidR="00441469" w:rsidRPr="007A0426">
              <w:rPr>
                <w:rFonts w:ascii="Arial" w:hAnsi="Arial" w:cs="Arial"/>
                <w:sz w:val="18"/>
                <w:szCs w:val="18"/>
              </w:rPr>
              <w:t>A.- Bad Windsheim</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18.929.550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3.467.450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22.761.040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w:t>
            </w:r>
          </w:p>
        </w:tc>
      </w:tr>
      <w:tr w:rsidR="00441469" w:rsidRPr="007A0426" w:rsidTr="007A0426">
        <w:trPr>
          <w:trHeight w:val="335"/>
        </w:trPr>
        <w:tc>
          <w:tcPr>
            <w:tcW w:w="1568" w:type="dxa"/>
            <w:vAlign w:val="center"/>
          </w:tcPr>
          <w:p w:rsidR="00441469" w:rsidRPr="007A0426" w:rsidRDefault="00441469" w:rsidP="007A0426">
            <w:pPr>
              <w:pStyle w:val="TableParagraph"/>
              <w:rPr>
                <w:rFonts w:ascii="Arial" w:hAnsi="Arial" w:cs="Arial"/>
                <w:sz w:val="18"/>
                <w:szCs w:val="18"/>
              </w:rPr>
            </w:pPr>
            <w:r w:rsidRPr="007A0426">
              <w:rPr>
                <w:rFonts w:ascii="Arial" w:hAnsi="Arial" w:cs="Arial"/>
                <w:sz w:val="18"/>
                <w:szCs w:val="18"/>
              </w:rPr>
              <w:t>Nürnberger Land</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33.649.096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11.462.723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38.638.000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w:t>
            </w:r>
          </w:p>
        </w:tc>
      </w:tr>
      <w:tr w:rsidR="00441469" w:rsidRPr="007A0426" w:rsidTr="007A0426">
        <w:trPr>
          <w:trHeight w:val="337"/>
        </w:trPr>
        <w:tc>
          <w:tcPr>
            <w:tcW w:w="1568" w:type="dxa"/>
            <w:vAlign w:val="center"/>
          </w:tcPr>
          <w:p w:rsidR="00441469" w:rsidRPr="007A0426" w:rsidRDefault="00441469" w:rsidP="007A0426">
            <w:pPr>
              <w:pStyle w:val="TableParagraph"/>
              <w:rPr>
                <w:rFonts w:ascii="Arial" w:hAnsi="Arial" w:cs="Arial"/>
                <w:sz w:val="18"/>
                <w:szCs w:val="18"/>
              </w:rPr>
            </w:pPr>
            <w:r w:rsidRPr="007A0426">
              <w:rPr>
                <w:rFonts w:ascii="Arial" w:hAnsi="Arial" w:cs="Arial"/>
                <w:sz w:val="18"/>
                <w:szCs w:val="18"/>
              </w:rPr>
              <w:t>Roth</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39.278.000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8.323.000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20.425.724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w:t>
            </w:r>
          </w:p>
        </w:tc>
      </w:tr>
      <w:tr w:rsidR="00441469" w:rsidRPr="007A0426" w:rsidTr="007A0426">
        <w:trPr>
          <w:trHeight w:val="505"/>
        </w:trPr>
        <w:tc>
          <w:tcPr>
            <w:tcW w:w="1568" w:type="dxa"/>
            <w:vAlign w:val="center"/>
          </w:tcPr>
          <w:p w:rsidR="00441469" w:rsidRPr="007A0426" w:rsidRDefault="00441469" w:rsidP="007A0426">
            <w:pPr>
              <w:pStyle w:val="TableParagraph"/>
              <w:spacing w:line="252" w:lineRule="exact"/>
              <w:rPr>
                <w:rFonts w:ascii="Arial" w:hAnsi="Arial" w:cs="Arial"/>
                <w:sz w:val="18"/>
                <w:szCs w:val="18"/>
              </w:rPr>
            </w:pPr>
            <w:r w:rsidRPr="007A0426">
              <w:rPr>
                <w:rFonts w:ascii="Arial" w:hAnsi="Arial" w:cs="Arial"/>
                <w:sz w:val="18"/>
                <w:szCs w:val="18"/>
              </w:rPr>
              <w:t>Weißenburg- Gunzenhausen</w:t>
            </w:r>
          </w:p>
        </w:tc>
        <w:tc>
          <w:tcPr>
            <w:tcW w:w="1560"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34.480.000 </w:t>
            </w:r>
            <w:r w:rsidR="00190CE9" w:rsidRPr="007A0426">
              <w:rPr>
                <w:rFonts w:ascii="Arial" w:hAnsi="Arial" w:cs="Arial"/>
                <w:sz w:val="18"/>
                <w:szCs w:val="18"/>
              </w:rPr>
              <w:t>Euro</w:t>
            </w:r>
          </w:p>
        </w:tc>
        <w:tc>
          <w:tcPr>
            <w:tcW w:w="1559"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9.632.113 </w:t>
            </w:r>
            <w:r w:rsidR="00190CE9" w:rsidRPr="007A0426">
              <w:rPr>
                <w:rFonts w:ascii="Arial" w:hAnsi="Arial" w:cs="Arial"/>
                <w:sz w:val="18"/>
                <w:szCs w:val="18"/>
              </w:rPr>
              <w:t>Euro</w:t>
            </w:r>
          </w:p>
        </w:tc>
        <w:tc>
          <w:tcPr>
            <w:tcW w:w="1701"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 xml:space="preserve">14.686.000 </w:t>
            </w:r>
            <w:r w:rsidR="00190CE9" w:rsidRPr="007A0426">
              <w:rPr>
                <w:rFonts w:ascii="Arial" w:hAnsi="Arial" w:cs="Arial"/>
                <w:sz w:val="18"/>
                <w:szCs w:val="18"/>
              </w:rPr>
              <w:t>Euro</w:t>
            </w:r>
          </w:p>
        </w:tc>
        <w:tc>
          <w:tcPr>
            <w:tcW w:w="1843" w:type="dxa"/>
            <w:vAlign w:val="center"/>
          </w:tcPr>
          <w:p w:rsidR="00441469" w:rsidRPr="007A0426" w:rsidRDefault="00441469" w:rsidP="007A0426">
            <w:pPr>
              <w:pStyle w:val="TableParagraph"/>
              <w:jc w:val="center"/>
              <w:rPr>
                <w:rFonts w:ascii="Arial" w:hAnsi="Arial" w:cs="Arial"/>
                <w:sz w:val="18"/>
                <w:szCs w:val="18"/>
              </w:rPr>
            </w:pPr>
            <w:r w:rsidRPr="007A0426">
              <w:rPr>
                <w:rFonts w:ascii="Arial" w:hAnsi="Arial" w:cs="Arial"/>
                <w:sz w:val="18"/>
                <w:szCs w:val="18"/>
              </w:rPr>
              <w:t>---</w:t>
            </w:r>
          </w:p>
        </w:tc>
      </w:tr>
    </w:tbl>
    <w:p w:rsidR="0034715F" w:rsidRDefault="0034715F" w:rsidP="0034715F">
      <w:pPr>
        <w:pStyle w:val="LTAntwortRessortText"/>
      </w:pPr>
    </w:p>
    <w:p w:rsidR="0034715F" w:rsidRDefault="0034715F">
      <w:bookmarkStart w:id="72" w:name="Frage_Nr_35_Ende"/>
      <w:bookmarkEnd w:id="72"/>
      <w:r>
        <w:br w:type="page"/>
      </w:r>
    </w:p>
    <w:p w:rsidR="0034715F" w:rsidRDefault="0034715F" w:rsidP="0034715F">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34715F" w:rsidTr="007B0B33">
        <w:tc>
          <w:tcPr>
            <w:tcW w:w="2050" w:type="dxa"/>
          </w:tcPr>
          <w:p w:rsidR="0034715F" w:rsidRDefault="0034715F" w:rsidP="0034715F">
            <w:pPr>
              <w:pStyle w:val="LTAnfrageInitiator"/>
            </w:pPr>
            <w:r>
              <w:t>Abgeordneter</w:t>
            </w:r>
            <w:r>
              <w:rPr>
                <w:b/>
              </w:rPr>
              <w:br/>
              <w:t>Horst</w:t>
            </w:r>
            <w:r>
              <w:rPr>
                <w:b/>
              </w:rPr>
              <w:br/>
              <w:t>Arnold</w:t>
            </w:r>
            <w:r>
              <w:rPr>
                <w:b/>
              </w:rPr>
              <w:br/>
            </w:r>
            <w:r>
              <w:t>(SPD)</w:t>
            </w:r>
            <w:bookmarkStart w:id="73" w:name="Frage_Nr_36"/>
            <w:bookmarkEnd w:id="73"/>
          </w:p>
        </w:tc>
        <w:tc>
          <w:tcPr>
            <w:tcW w:w="7200" w:type="dxa"/>
          </w:tcPr>
          <w:p w:rsidR="0034715F" w:rsidRPr="00B8085E" w:rsidRDefault="00B8085E" w:rsidP="0034715F">
            <w:pPr>
              <w:pStyle w:val="LTAnfrageText"/>
            </w:pPr>
            <w:r w:rsidRPr="00B8085E">
              <w:rPr>
                <w:szCs w:val="24"/>
              </w:rPr>
              <w:t>Ich frage die Staatsregierung, wie viele militärisch rüstungsrelevante Betriebe – mit Firmenbezeichnung – gibt es derzeit (bitte unter Angabe der einzelnen Standorte) und mit wie vielen Beschäftigten und welchen Umsätzen, bzw. Anteil am Bruttoinlandsprodukt?</w:t>
            </w:r>
          </w:p>
        </w:tc>
      </w:tr>
    </w:tbl>
    <w:p w:rsidR="0034715F" w:rsidRDefault="0034715F" w:rsidP="0034715F">
      <w:pPr>
        <w:pStyle w:val="LTUeberschrAntwortRessort"/>
      </w:pPr>
      <w:r>
        <w:t>Antwort des Staatsministeriums für Wirtschaft, Landesentwicklung und Energie</w:t>
      </w:r>
    </w:p>
    <w:p w:rsidR="0034715F" w:rsidRDefault="0034715F" w:rsidP="0034715F">
      <w:pPr>
        <w:pStyle w:val="LTAntwortRessortText"/>
      </w:pPr>
      <w:r>
        <w:t>Im Rahmen der Statistiken des Verarbeitenden Gewerbes wird die Sicherheits- und Verteidigungsindustrie (SVI) vom Landesamt für Statistik grundsätzlich nicht erfasst. Dies entspricht einer Verfahrensrichtlinie des Bundesministeriums für Wirtschaft und Klimaschutz (BMWK) zu Besonderhei</w:t>
      </w:r>
      <w:r w:rsidR="00D01EC2">
        <w:t>ten bei der statistischen Erfas</w:t>
      </w:r>
      <w:r>
        <w:t>sung von Wehrgütern. Angaben über Beschäftigte, Umsätze oder Auftragseingänge werden vom Landesamt für Statistik daher für die Wehrgüterproduktion nicht erhoben und liegen der Staatsregierung nicht vor.</w:t>
      </w:r>
    </w:p>
    <w:p w:rsidR="0034715F" w:rsidRDefault="0034715F" w:rsidP="0034715F">
      <w:pPr>
        <w:pStyle w:val="LTAntwortRessortText"/>
      </w:pPr>
      <w:r>
        <w:t>Nach groben Schätzungen ist rund ein Drittel der deutschen wehrtechnischen Industrie in Bayern angesiedelt und es gibt ca. 70 Unternehmen, die direkt oder indirekt (</w:t>
      </w:r>
      <w:r w:rsidR="00190CE9">
        <w:t>z. B.</w:t>
      </w:r>
      <w:r>
        <w:t xml:space="preserve"> als Zulieferer) im Bereich Wehrtechnik tätig sind. </w:t>
      </w:r>
      <w:r w:rsidR="00D01EC2">
        <w:t>Der Schwerpunkt der Branche, so</w:t>
      </w:r>
      <w:r>
        <w:t>wohl im technologischen wie auch im Bereich der Beschäftigten, liegt nach den hier vorliegenden Erkenntnissen regional betrachtet in Oberbayern, Mittelfranken und Schwaben. Der Staatsregierung liegen jedoch keine detaillierten und abschließenden Informationen über die Unternehmen von Rüstungsgütern in Bayern vor.</w:t>
      </w:r>
    </w:p>
    <w:p w:rsidR="0034715F" w:rsidRDefault="0034715F">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34715F" w:rsidTr="007B0B33">
        <w:tc>
          <w:tcPr>
            <w:tcW w:w="2050" w:type="dxa"/>
          </w:tcPr>
          <w:p w:rsidR="0034715F" w:rsidRDefault="0034715F" w:rsidP="0034715F">
            <w:pPr>
              <w:pStyle w:val="LTAnfrageInitiator"/>
            </w:pPr>
            <w:r>
              <w:lastRenderedPageBreak/>
              <w:t>Abgeordneter</w:t>
            </w:r>
            <w:r>
              <w:rPr>
                <w:b/>
              </w:rPr>
              <w:br/>
              <w:t>Albert</w:t>
            </w:r>
            <w:r>
              <w:rPr>
                <w:b/>
              </w:rPr>
              <w:br/>
              <w:t>Duin</w:t>
            </w:r>
            <w:r>
              <w:rPr>
                <w:b/>
              </w:rPr>
              <w:br/>
            </w:r>
            <w:r>
              <w:t>(FDP)</w:t>
            </w:r>
            <w:bookmarkStart w:id="75" w:name="Frage_Nr_37"/>
            <w:bookmarkEnd w:id="75"/>
          </w:p>
        </w:tc>
        <w:tc>
          <w:tcPr>
            <w:tcW w:w="7200" w:type="dxa"/>
          </w:tcPr>
          <w:p w:rsidR="0034715F" w:rsidRPr="00AB3F52" w:rsidRDefault="00AB3F52" w:rsidP="0034715F">
            <w:pPr>
              <w:pStyle w:val="LTAnfrageText"/>
            </w:pPr>
            <w:r w:rsidRPr="00AB3F52">
              <w:rPr>
                <w:szCs w:val="24"/>
              </w:rPr>
              <w:t>Ich frage die Staatsregierung, erhalten Unternehmen in wirtschaftlichen Schwierigkeiten, die unter den Carbon-Leakage-Schutz fallen, eine Antragsmöglichkeit bei der CO</w:t>
            </w:r>
            <w:r w:rsidRPr="00AB3F52">
              <w:rPr>
                <w:szCs w:val="24"/>
                <w:vertAlign w:val="subscript"/>
              </w:rPr>
              <w:t>2</w:t>
            </w:r>
            <w:r w:rsidRPr="00AB3F52">
              <w:rPr>
                <w:szCs w:val="24"/>
              </w:rPr>
              <w:t>-Rückerstattung (Rückfluss der gezahlten BEHG-Abgaben „CO</w:t>
            </w:r>
            <w:r w:rsidRPr="00AB3F52">
              <w:rPr>
                <w:szCs w:val="24"/>
                <w:vertAlign w:val="subscript"/>
              </w:rPr>
              <w:t>2</w:t>
            </w:r>
            <w:r w:rsidRPr="00AB3F52">
              <w:rPr>
                <w:szCs w:val="24"/>
              </w:rPr>
              <w:t>-Bepreisung“ ab 01.01.2021 analog „Temporary Crisis Framework der Europäischen Kommission für Beihilfemaßnahmen zur Unterstützung der Wirtschaft im Zuge des Ukraine-Kriegs“ vom 23. März), können Unternehmen aufgrund einer Reduktion oder eines Wegfalls der Erdgaslieferungen Kurzarbeitergeld beantragen und zählt die Reduktion oder der Wegfall der Erdgaslieferungen als unabwendbares Ereignis bei der Beantragung von Kurzarbeitergeld?</w:t>
            </w:r>
          </w:p>
        </w:tc>
      </w:tr>
    </w:tbl>
    <w:p w:rsidR="0034715F" w:rsidRDefault="0034715F" w:rsidP="0034715F">
      <w:pPr>
        <w:pStyle w:val="LTUeberschrAntwortRessort"/>
      </w:pPr>
      <w:r>
        <w:t>Antwort des Staatsministeriums für Wirtschaft, Landesentwicklung und Energie</w:t>
      </w:r>
    </w:p>
    <w:p w:rsidR="0034715F" w:rsidRDefault="0034715F" w:rsidP="0034715F">
      <w:pPr>
        <w:pStyle w:val="LTAntwortRessortText"/>
      </w:pPr>
      <w:r>
        <w:t>Das Bundesministerium für Wirtschaft und Kli</w:t>
      </w:r>
      <w:r w:rsidR="001E23D4">
        <w:t>maschutz (BMWK) hat am 30. März </w:t>
      </w:r>
      <w:r>
        <w:t>2022 die Frühwarnstufe des Notfallplans Gas ausgerufen. Die Versorgungssicherheit mit Gas ist weiterhin gewährleistet. Es gibt aktuell keine Versorgungsengpasslage, d.</w:t>
      </w:r>
      <w:r w:rsidR="001E23D4">
        <w:t> </w:t>
      </w:r>
      <w:r>
        <w:t>h. keine Reduktion oder kein Wegfall der Erdgaslieferu</w:t>
      </w:r>
      <w:r w:rsidR="001E23D4">
        <w:t>ngen. Die Bundesnetzagentur ver</w:t>
      </w:r>
      <w:r>
        <w:t xml:space="preserve">öffentlicht täglich einen aktuellen </w:t>
      </w:r>
      <w:r w:rsidR="001E23D4">
        <w:t>Lagebericht (Bundesnetzagentur –</w:t>
      </w:r>
      <w:r>
        <w:t xml:space="preserve"> Aktuelle Lage Gasversorgung). Mit Ausrufung der Frühwarnstuf</w:t>
      </w:r>
      <w:r w:rsidR="001E23D4">
        <w:t>e ist ein Krisenstab im BMWK zu</w:t>
      </w:r>
      <w:r>
        <w:t>sammengetreten. Bayern ist als eines von vier Bundesländern Mitglied im nationalen Krisenstab.</w:t>
      </w:r>
    </w:p>
    <w:p w:rsidR="0034715F" w:rsidRDefault="0034715F" w:rsidP="0034715F">
      <w:pPr>
        <w:pStyle w:val="LTAntwortRessortText"/>
      </w:pPr>
      <w:r>
        <w:t>Der Bund hat am 08. April ein umfassendes Maßnahmenpaket vorgestellt, mit dem Unternehmen unterstützt werden sollen, die von d</w:t>
      </w:r>
      <w:r w:rsidR="001E23D4">
        <w:t>en Sanktionen oder dem Kriegsge</w:t>
      </w:r>
      <w:r>
        <w:t>schehen betroffen sind (vgl. Pressemeldung des Bundesfinanz</w:t>
      </w:r>
      <w:r w:rsidR="001E23D4">
        <w:t>ministeriums Bundesfinanzministerium –</w:t>
      </w:r>
      <w:r>
        <w:t xml:space="preserve"> Bundesregierung beschließt Schutzschild für vom Krieg betroffene Unternehmen). Der befristete Krisenrahmen, den die Europäische Kommission am 23. März </w:t>
      </w:r>
      <w:r w:rsidR="001E23D4">
        <w:t>2022 beschlossen hatte, bietet –</w:t>
      </w:r>
      <w:r>
        <w:t xml:space="preserve"> vorbehaltlich evtl. noch erforde</w:t>
      </w:r>
      <w:r w:rsidR="001E23D4">
        <w:t>rlicher beihilferechtlicher Genehmigungen –</w:t>
      </w:r>
      <w:r>
        <w:t xml:space="preserve"> die notwendige Grundlage für staatliche Hilfen.</w:t>
      </w:r>
    </w:p>
    <w:p w:rsidR="0034715F" w:rsidRDefault="0034715F" w:rsidP="0034715F">
      <w:pPr>
        <w:pStyle w:val="LTAntwortRessortText"/>
      </w:pPr>
      <w:r>
        <w:t>Auf den Internetseiten des Wirtschaftsministeriums wird ebenfalls über Unterstützungsmög</w:t>
      </w:r>
      <w:r w:rsidR="001E23D4">
        <w:t>lichkeiten informiert (Ukraine –</w:t>
      </w:r>
      <w:r>
        <w:t xml:space="preserve"> </w:t>
      </w:r>
      <w:r w:rsidR="001E23D4">
        <w:t>Staatsministerium für Wirtschaft, Landesentwicklung und Energie</w:t>
      </w:r>
      <w:r>
        <w:t xml:space="preserve"> Bayern). Bei Vorliegen eines erhe</w:t>
      </w:r>
      <w:r w:rsidR="001E23D4">
        <w:t>blichen Arbeitsausfalls gemäß § </w:t>
      </w:r>
      <w:r>
        <w:t xml:space="preserve">96 </w:t>
      </w:r>
      <w:r w:rsidR="001E23D4">
        <w:t>Drittes Buch Sozialgesetzbuch (</w:t>
      </w:r>
      <w:r>
        <w:t>SGB III</w:t>
      </w:r>
      <w:r w:rsidR="001E23D4">
        <w:t>)</w:t>
      </w:r>
      <w:r>
        <w:t xml:space="preserve"> können betroffene Betriebe bei ihrer zuständigen Agentur für Arbeit Kurzarbeitergeld beantragen. Zur Begründung müssen Sie darlegen, wie die Auswirkungen in Ihrem Betrieb sind und inwiefern dies einen Arbeitsausfall verursacht. Alle Informationen zu d</w:t>
      </w:r>
      <w:r w:rsidR="001E23D4">
        <w:t>en Voraussetzungen und der Bean</w:t>
      </w:r>
      <w:r>
        <w:t>tragung von Kurzarbeit finden sich auf der Seite der Bundesagentur für Arbeit.</w:t>
      </w:r>
    </w:p>
    <w:p w:rsidR="0034715F" w:rsidRDefault="0034715F">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34715F" w:rsidTr="007B0B33">
        <w:tc>
          <w:tcPr>
            <w:tcW w:w="2050" w:type="dxa"/>
          </w:tcPr>
          <w:p w:rsidR="0034715F" w:rsidRDefault="0034715F" w:rsidP="0034715F">
            <w:pPr>
              <w:pStyle w:val="LTAnfrageInitiator"/>
            </w:pPr>
            <w:r>
              <w:lastRenderedPageBreak/>
              <w:t>Abgeordnete</w:t>
            </w:r>
            <w:r>
              <w:rPr>
                <w:b/>
              </w:rPr>
              <w:br/>
              <w:t>Barbara</w:t>
            </w:r>
            <w:r>
              <w:rPr>
                <w:b/>
              </w:rPr>
              <w:br/>
              <w:t>Fuchs</w:t>
            </w:r>
            <w:r>
              <w:rPr>
                <w:b/>
              </w:rPr>
              <w:br/>
            </w:r>
            <w:r>
              <w:t>(BÜNDNIS 90/DIE GRÜNEN)</w:t>
            </w:r>
            <w:bookmarkStart w:id="77" w:name="Frage_Nr_38"/>
            <w:bookmarkEnd w:id="77"/>
          </w:p>
        </w:tc>
        <w:tc>
          <w:tcPr>
            <w:tcW w:w="7200" w:type="dxa"/>
          </w:tcPr>
          <w:p w:rsidR="0034715F" w:rsidRPr="00AB3F52" w:rsidRDefault="00AB3F52" w:rsidP="0034715F">
            <w:pPr>
              <w:pStyle w:val="LTAnfrageText"/>
            </w:pPr>
            <w:r w:rsidRPr="00AB3F52">
              <w:rPr>
                <w:szCs w:val="24"/>
              </w:rPr>
              <w:t>Ich frage die Staatsregierung, wie viele Anträge für Coronawirtschaftshilfen sind bisher eingegangen, wie viele davon sind abschließend bearbeitet und wie viele ausgezahlt worden (bitte auch aufgeschlüsselt pro Hilfsprogramm nach absoluten Werten sowie Erledigungsquote)?</w:t>
            </w:r>
          </w:p>
        </w:tc>
      </w:tr>
    </w:tbl>
    <w:p w:rsidR="0034715F" w:rsidRDefault="0034715F" w:rsidP="0034715F">
      <w:pPr>
        <w:pStyle w:val="LTUeberschrAntwortRessort"/>
      </w:pPr>
      <w:r>
        <w:t>Antwort des Staatsministeriums für Wirtschaft, Landesentwicklung und Energie</w:t>
      </w:r>
    </w:p>
    <w:p w:rsidR="0034715F" w:rsidRDefault="002D4BCB" w:rsidP="0034715F">
      <w:pPr>
        <w:pStyle w:val="LTAntwortRessortText"/>
      </w:pPr>
      <w:r>
        <w:t>Im Rahmen der Coronaw</w:t>
      </w:r>
      <w:r w:rsidR="0034715F">
        <w:t>irtschaftshilfsprogramme des B</w:t>
      </w:r>
      <w:r>
        <w:t>undes sind in Bayern bisher 415 </w:t>
      </w:r>
      <w:r w:rsidR="0034715F">
        <w:t>198 Anträge ei</w:t>
      </w:r>
      <w:r>
        <w:t>ngegangen, von denen bisher 378 </w:t>
      </w:r>
      <w:r w:rsidR="0034715F">
        <w:t>377 final verbeschieden wurden (Stand: 2. Mai 2022). Dies entspricht einer Erledigungsquote von 91 Prozent. Bisher wurden in Bayern Hilfen in Höhe von 10,283 Mrd. Eu</w:t>
      </w:r>
      <w:r>
        <w:t>ro ausgezahlt. Die nach den ein</w:t>
      </w:r>
      <w:r w:rsidR="0034715F">
        <w:t xml:space="preserve">zelnen Hilfsprogrammen aufgeschlüsselten Zahlen </w:t>
      </w:r>
      <w:r>
        <w:t>ergeben sich aus folgender Über</w:t>
      </w:r>
      <w:r w:rsidR="0034715F">
        <w:t>sicht:</w:t>
      </w:r>
    </w:p>
    <w:p w:rsidR="0034715F" w:rsidRDefault="0034715F" w:rsidP="0034715F">
      <w:pPr>
        <w:pStyle w:val="LTAntwortRessortText"/>
      </w:pPr>
    </w:p>
    <w:tbl>
      <w:tblPr>
        <w:tblStyle w:val="TableNormal"/>
        <w:tblW w:w="7342"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1134"/>
        <w:gridCol w:w="1276"/>
        <w:gridCol w:w="1559"/>
        <w:gridCol w:w="1134"/>
      </w:tblGrid>
      <w:tr w:rsidR="0013536F" w:rsidRPr="002D4BCB" w:rsidTr="004B730C">
        <w:trPr>
          <w:trHeight w:val="952"/>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Stand: 02.05.2022</w:t>
            </w:r>
          </w:p>
        </w:tc>
        <w:tc>
          <w:tcPr>
            <w:tcW w:w="1134" w:type="dxa"/>
            <w:vAlign w:val="center"/>
          </w:tcPr>
          <w:p w:rsidR="0013536F" w:rsidRPr="002D4BCB" w:rsidRDefault="0013536F" w:rsidP="0061209A">
            <w:pPr>
              <w:pStyle w:val="TableParagraph"/>
              <w:spacing w:line="276" w:lineRule="auto"/>
              <w:ind w:firstLine="76"/>
              <w:jc w:val="center"/>
              <w:rPr>
                <w:rFonts w:ascii="Arial" w:hAnsi="Arial" w:cs="Arial"/>
                <w:sz w:val="18"/>
                <w:szCs w:val="18"/>
              </w:rPr>
            </w:pPr>
            <w:r w:rsidRPr="002D4BCB">
              <w:rPr>
                <w:rFonts w:ascii="Arial" w:hAnsi="Arial" w:cs="Arial"/>
                <w:spacing w:val="-1"/>
                <w:sz w:val="18"/>
                <w:szCs w:val="18"/>
              </w:rPr>
              <w:t xml:space="preserve">Anträge </w:t>
            </w:r>
            <w:r w:rsidR="002D4BCB">
              <w:rPr>
                <w:rFonts w:ascii="Arial" w:hAnsi="Arial" w:cs="Arial"/>
                <w:sz w:val="18"/>
                <w:szCs w:val="18"/>
              </w:rPr>
              <w:t>Gesamt</w:t>
            </w:r>
            <w:r w:rsidRPr="002D4BCB">
              <w:rPr>
                <w:rFonts w:ascii="Arial" w:hAnsi="Arial" w:cs="Arial"/>
                <w:spacing w:val="-1"/>
                <w:sz w:val="18"/>
                <w:szCs w:val="18"/>
              </w:rPr>
              <w:t>zahl</w:t>
            </w:r>
          </w:p>
        </w:tc>
        <w:tc>
          <w:tcPr>
            <w:tcW w:w="1276" w:type="dxa"/>
            <w:vAlign w:val="center"/>
          </w:tcPr>
          <w:p w:rsidR="0013536F" w:rsidRPr="002D4BCB" w:rsidRDefault="0013536F" w:rsidP="0061209A">
            <w:pPr>
              <w:pStyle w:val="TableParagraph"/>
              <w:ind w:firstLine="12"/>
              <w:jc w:val="center"/>
              <w:rPr>
                <w:rFonts w:ascii="Arial" w:hAnsi="Arial" w:cs="Arial"/>
                <w:sz w:val="18"/>
                <w:szCs w:val="18"/>
              </w:rPr>
            </w:pPr>
            <w:r w:rsidRPr="002D4BCB">
              <w:rPr>
                <w:rFonts w:ascii="Arial" w:hAnsi="Arial" w:cs="Arial"/>
                <w:sz w:val="18"/>
                <w:szCs w:val="18"/>
              </w:rPr>
              <w:t>Anträge</w:t>
            </w:r>
            <w:r w:rsidR="002D4BCB">
              <w:rPr>
                <w:rFonts w:ascii="Arial" w:hAnsi="Arial" w:cs="Arial"/>
                <w:sz w:val="18"/>
                <w:szCs w:val="18"/>
              </w:rPr>
              <w:t xml:space="preserve"> </w:t>
            </w:r>
            <w:r w:rsidRPr="002D4BCB">
              <w:rPr>
                <w:rFonts w:ascii="Arial" w:hAnsi="Arial" w:cs="Arial"/>
                <w:sz w:val="18"/>
                <w:szCs w:val="18"/>
              </w:rPr>
              <w:t xml:space="preserve">final </w:t>
            </w:r>
            <w:r w:rsidR="004B730C">
              <w:rPr>
                <w:rFonts w:ascii="Arial" w:hAnsi="Arial" w:cs="Arial"/>
                <w:spacing w:val="-5"/>
                <w:sz w:val="18"/>
                <w:szCs w:val="18"/>
              </w:rPr>
              <w:t>be</w:t>
            </w:r>
            <w:r w:rsidRPr="002D4BCB">
              <w:rPr>
                <w:rFonts w:ascii="Arial" w:hAnsi="Arial" w:cs="Arial"/>
                <w:sz w:val="18"/>
                <w:szCs w:val="18"/>
              </w:rPr>
              <w:t>schieden</w:t>
            </w:r>
          </w:p>
        </w:tc>
        <w:tc>
          <w:tcPr>
            <w:tcW w:w="1559" w:type="dxa"/>
            <w:vAlign w:val="center"/>
          </w:tcPr>
          <w:p w:rsidR="0013536F" w:rsidRPr="002D4BCB" w:rsidRDefault="004B730C" w:rsidP="0061209A">
            <w:pPr>
              <w:pStyle w:val="TableParagraph"/>
              <w:ind w:firstLine="40"/>
              <w:jc w:val="center"/>
              <w:rPr>
                <w:rFonts w:ascii="Arial" w:hAnsi="Arial" w:cs="Arial"/>
                <w:sz w:val="18"/>
                <w:szCs w:val="18"/>
              </w:rPr>
            </w:pPr>
            <w:r>
              <w:rPr>
                <w:rFonts w:ascii="Arial" w:hAnsi="Arial" w:cs="Arial"/>
                <w:sz w:val="18"/>
                <w:szCs w:val="18"/>
              </w:rPr>
              <w:t>Erledigungs</w:t>
            </w:r>
            <w:r w:rsidR="0013536F" w:rsidRPr="002D4BCB">
              <w:rPr>
                <w:rFonts w:ascii="Arial" w:hAnsi="Arial" w:cs="Arial"/>
                <w:sz w:val="18"/>
                <w:szCs w:val="18"/>
              </w:rPr>
              <w:t>quote</w:t>
            </w:r>
            <w:r w:rsidR="002D4BCB">
              <w:rPr>
                <w:rFonts w:ascii="Arial" w:hAnsi="Arial" w:cs="Arial"/>
                <w:sz w:val="18"/>
                <w:szCs w:val="18"/>
              </w:rPr>
              <w:t xml:space="preserve"> in Prozent</w:t>
            </w:r>
          </w:p>
        </w:tc>
        <w:tc>
          <w:tcPr>
            <w:tcW w:w="1134" w:type="dxa"/>
            <w:vAlign w:val="center"/>
          </w:tcPr>
          <w:p w:rsidR="0013536F" w:rsidRPr="002D4BCB" w:rsidRDefault="0013536F" w:rsidP="0061209A">
            <w:pPr>
              <w:pStyle w:val="TableParagraph"/>
              <w:spacing w:line="276" w:lineRule="auto"/>
              <w:ind w:firstLine="26"/>
              <w:jc w:val="center"/>
              <w:rPr>
                <w:rFonts w:ascii="Arial" w:hAnsi="Arial" w:cs="Arial"/>
                <w:sz w:val="18"/>
                <w:szCs w:val="18"/>
              </w:rPr>
            </w:pPr>
            <w:r w:rsidRPr="002D4BCB">
              <w:rPr>
                <w:rFonts w:ascii="Arial" w:hAnsi="Arial" w:cs="Arial"/>
                <w:sz w:val="18"/>
                <w:szCs w:val="18"/>
              </w:rPr>
              <w:t>ausgezahlt (Mio. Euro)</w:t>
            </w:r>
          </w:p>
        </w:tc>
      </w:tr>
      <w:tr w:rsidR="0013536F" w:rsidRPr="002D4BCB" w:rsidTr="004B730C">
        <w:trPr>
          <w:trHeight w:val="316"/>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Überbrückungshilfe I</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20</w:t>
            </w:r>
            <w:r w:rsidR="0061209A">
              <w:rPr>
                <w:rFonts w:ascii="Arial" w:hAnsi="Arial" w:cs="Arial"/>
                <w:sz w:val="18"/>
                <w:szCs w:val="18"/>
              </w:rPr>
              <w:t> </w:t>
            </w:r>
            <w:r w:rsidRPr="002D4BCB">
              <w:rPr>
                <w:rFonts w:ascii="Arial" w:hAnsi="Arial" w:cs="Arial"/>
                <w:sz w:val="18"/>
                <w:szCs w:val="18"/>
              </w:rPr>
              <w:t>789</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20</w:t>
            </w:r>
            <w:r w:rsidR="0061209A">
              <w:rPr>
                <w:rFonts w:ascii="Arial" w:hAnsi="Arial" w:cs="Arial"/>
                <w:sz w:val="18"/>
                <w:szCs w:val="18"/>
              </w:rPr>
              <w:t> </w:t>
            </w:r>
            <w:r w:rsidRPr="002D4BCB">
              <w:rPr>
                <w:rFonts w:ascii="Arial" w:hAnsi="Arial" w:cs="Arial"/>
                <w:sz w:val="18"/>
                <w:szCs w:val="18"/>
              </w:rPr>
              <w:t>789</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100</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258</w:t>
            </w:r>
          </w:p>
        </w:tc>
      </w:tr>
      <w:tr w:rsidR="0013536F" w:rsidRPr="002D4BCB" w:rsidTr="004B730C">
        <w:trPr>
          <w:trHeight w:val="318"/>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Überbrückungshilfe II</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31</w:t>
            </w:r>
            <w:r w:rsidR="0061209A">
              <w:rPr>
                <w:rFonts w:ascii="Arial" w:hAnsi="Arial" w:cs="Arial"/>
                <w:sz w:val="18"/>
                <w:szCs w:val="18"/>
              </w:rPr>
              <w:t> </w:t>
            </w:r>
            <w:r w:rsidRPr="002D4BCB">
              <w:rPr>
                <w:rFonts w:ascii="Arial" w:hAnsi="Arial" w:cs="Arial"/>
                <w:sz w:val="18"/>
                <w:szCs w:val="18"/>
              </w:rPr>
              <w:t>746</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31</w:t>
            </w:r>
            <w:r w:rsidR="0061209A">
              <w:rPr>
                <w:rFonts w:ascii="Arial" w:hAnsi="Arial" w:cs="Arial"/>
                <w:sz w:val="18"/>
                <w:szCs w:val="18"/>
              </w:rPr>
              <w:t> </w:t>
            </w:r>
            <w:r w:rsidRPr="002D4BCB">
              <w:rPr>
                <w:rFonts w:ascii="Arial" w:hAnsi="Arial" w:cs="Arial"/>
                <w:sz w:val="18"/>
                <w:szCs w:val="18"/>
              </w:rPr>
              <w:t>744</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100</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488</w:t>
            </w:r>
          </w:p>
        </w:tc>
      </w:tr>
      <w:tr w:rsidR="0013536F" w:rsidRPr="002D4BCB" w:rsidTr="004B730C">
        <w:trPr>
          <w:trHeight w:val="316"/>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Überbrückungshilfe III</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90</w:t>
            </w:r>
            <w:r w:rsidR="0061209A">
              <w:rPr>
                <w:rFonts w:ascii="Arial" w:hAnsi="Arial" w:cs="Arial"/>
                <w:sz w:val="18"/>
                <w:szCs w:val="18"/>
              </w:rPr>
              <w:t> </w:t>
            </w:r>
            <w:r w:rsidRPr="002D4BCB">
              <w:rPr>
                <w:rFonts w:ascii="Arial" w:hAnsi="Arial" w:cs="Arial"/>
                <w:sz w:val="18"/>
                <w:szCs w:val="18"/>
              </w:rPr>
              <w:t>987</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87</w:t>
            </w:r>
            <w:r w:rsidR="0061209A">
              <w:rPr>
                <w:rFonts w:ascii="Arial" w:hAnsi="Arial" w:cs="Arial"/>
                <w:sz w:val="18"/>
                <w:szCs w:val="18"/>
              </w:rPr>
              <w:t> </w:t>
            </w:r>
            <w:r w:rsidRPr="002D4BCB">
              <w:rPr>
                <w:rFonts w:ascii="Arial" w:hAnsi="Arial" w:cs="Arial"/>
                <w:sz w:val="18"/>
                <w:szCs w:val="18"/>
              </w:rPr>
              <w:t>697</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96</w:t>
            </w:r>
          </w:p>
        </w:tc>
        <w:tc>
          <w:tcPr>
            <w:tcW w:w="1134" w:type="dxa"/>
            <w:vAlign w:val="center"/>
          </w:tcPr>
          <w:p w:rsidR="0013536F" w:rsidRPr="002D4BCB" w:rsidRDefault="0061209A" w:rsidP="0061209A">
            <w:pPr>
              <w:pStyle w:val="TableParagraph"/>
              <w:jc w:val="center"/>
              <w:rPr>
                <w:rFonts w:ascii="Arial" w:hAnsi="Arial" w:cs="Arial"/>
                <w:sz w:val="18"/>
                <w:szCs w:val="18"/>
              </w:rPr>
            </w:pPr>
            <w:r>
              <w:rPr>
                <w:rFonts w:ascii="Arial" w:hAnsi="Arial" w:cs="Arial"/>
                <w:sz w:val="18"/>
                <w:szCs w:val="18"/>
              </w:rPr>
              <w:t>5 </w:t>
            </w:r>
            <w:r w:rsidR="0013536F" w:rsidRPr="002D4BCB">
              <w:rPr>
                <w:rFonts w:ascii="Arial" w:hAnsi="Arial" w:cs="Arial"/>
                <w:sz w:val="18"/>
                <w:szCs w:val="18"/>
              </w:rPr>
              <w:t>422</w:t>
            </w:r>
          </w:p>
        </w:tc>
      </w:tr>
      <w:tr w:rsidR="0013536F" w:rsidRPr="002D4BCB" w:rsidTr="004B730C">
        <w:trPr>
          <w:trHeight w:val="317"/>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Überbrückungshilfe III Plus</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40</w:t>
            </w:r>
            <w:r w:rsidR="0061209A">
              <w:rPr>
                <w:rFonts w:ascii="Arial" w:hAnsi="Arial" w:cs="Arial"/>
                <w:sz w:val="18"/>
                <w:szCs w:val="18"/>
              </w:rPr>
              <w:t> </w:t>
            </w:r>
            <w:r w:rsidRPr="002D4BCB">
              <w:rPr>
                <w:rFonts w:ascii="Arial" w:hAnsi="Arial" w:cs="Arial"/>
                <w:sz w:val="18"/>
                <w:szCs w:val="18"/>
              </w:rPr>
              <w:t>212</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17</w:t>
            </w:r>
            <w:r w:rsidR="0061209A">
              <w:rPr>
                <w:rFonts w:ascii="Arial" w:hAnsi="Arial" w:cs="Arial"/>
                <w:sz w:val="18"/>
                <w:szCs w:val="18"/>
              </w:rPr>
              <w:t> </w:t>
            </w:r>
            <w:r w:rsidRPr="002D4BCB">
              <w:rPr>
                <w:rFonts w:ascii="Arial" w:hAnsi="Arial" w:cs="Arial"/>
                <w:sz w:val="18"/>
                <w:szCs w:val="18"/>
              </w:rPr>
              <w:t>377</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43</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896</w:t>
            </w:r>
          </w:p>
        </w:tc>
      </w:tr>
      <w:tr w:rsidR="0013536F" w:rsidRPr="002D4BCB" w:rsidTr="004B730C">
        <w:trPr>
          <w:trHeight w:val="318"/>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Überbrückungshilfe IV</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5</w:t>
            </w:r>
            <w:r w:rsidR="0061209A">
              <w:rPr>
                <w:rFonts w:ascii="Arial" w:hAnsi="Arial" w:cs="Arial"/>
                <w:sz w:val="18"/>
                <w:szCs w:val="18"/>
              </w:rPr>
              <w:t> </w:t>
            </w:r>
            <w:r w:rsidRPr="002D4BCB">
              <w:rPr>
                <w:rFonts w:ascii="Arial" w:hAnsi="Arial" w:cs="Arial"/>
                <w:sz w:val="18"/>
                <w:szCs w:val="18"/>
              </w:rPr>
              <w:t>496</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2</w:t>
            </w:r>
            <w:r w:rsidR="0061209A">
              <w:rPr>
                <w:rFonts w:ascii="Arial" w:hAnsi="Arial" w:cs="Arial"/>
                <w:sz w:val="18"/>
                <w:szCs w:val="18"/>
              </w:rPr>
              <w:t> </w:t>
            </w:r>
            <w:r w:rsidRPr="002D4BCB">
              <w:rPr>
                <w:rFonts w:ascii="Arial" w:hAnsi="Arial" w:cs="Arial"/>
                <w:sz w:val="18"/>
                <w:szCs w:val="18"/>
              </w:rPr>
              <w:t>484</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45</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127</w:t>
            </w:r>
          </w:p>
        </w:tc>
      </w:tr>
      <w:tr w:rsidR="0013536F" w:rsidRPr="002D4BCB" w:rsidTr="004B730C">
        <w:trPr>
          <w:trHeight w:val="316"/>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Neustarthilfe</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41</w:t>
            </w:r>
            <w:r w:rsidR="0061209A">
              <w:rPr>
                <w:rFonts w:ascii="Arial" w:hAnsi="Arial" w:cs="Arial"/>
                <w:sz w:val="18"/>
                <w:szCs w:val="18"/>
              </w:rPr>
              <w:t> </w:t>
            </w:r>
            <w:r w:rsidRPr="002D4BCB">
              <w:rPr>
                <w:rFonts w:ascii="Arial" w:hAnsi="Arial" w:cs="Arial"/>
                <w:sz w:val="18"/>
                <w:szCs w:val="18"/>
              </w:rPr>
              <w:t>704</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40</w:t>
            </w:r>
            <w:r w:rsidR="0061209A">
              <w:rPr>
                <w:rFonts w:ascii="Arial" w:hAnsi="Arial" w:cs="Arial"/>
                <w:sz w:val="18"/>
                <w:szCs w:val="18"/>
              </w:rPr>
              <w:t> </w:t>
            </w:r>
            <w:r w:rsidRPr="002D4BCB">
              <w:rPr>
                <w:rFonts w:ascii="Arial" w:hAnsi="Arial" w:cs="Arial"/>
                <w:sz w:val="18"/>
                <w:szCs w:val="18"/>
              </w:rPr>
              <w:t>996</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98</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262</w:t>
            </w:r>
          </w:p>
        </w:tc>
      </w:tr>
      <w:tr w:rsidR="0013536F" w:rsidRPr="002D4BCB" w:rsidTr="004B730C">
        <w:trPr>
          <w:trHeight w:val="318"/>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Neustarthilfe Plus 2021/Q3</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18</w:t>
            </w:r>
            <w:r w:rsidR="0061209A">
              <w:rPr>
                <w:rFonts w:ascii="Arial" w:hAnsi="Arial" w:cs="Arial"/>
                <w:sz w:val="18"/>
                <w:szCs w:val="18"/>
              </w:rPr>
              <w:t> </w:t>
            </w:r>
            <w:r w:rsidRPr="002D4BCB">
              <w:rPr>
                <w:rFonts w:ascii="Arial" w:hAnsi="Arial" w:cs="Arial"/>
                <w:sz w:val="18"/>
                <w:szCs w:val="18"/>
              </w:rPr>
              <w:t>839</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17</w:t>
            </w:r>
            <w:r w:rsidR="0061209A">
              <w:rPr>
                <w:rFonts w:ascii="Arial" w:hAnsi="Arial" w:cs="Arial"/>
                <w:sz w:val="18"/>
                <w:szCs w:val="18"/>
              </w:rPr>
              <w:t> </w:t>
            </w:r>
            <w:r w:rsidRPr="002D4BCB">
              <w:rPr>
                <w:rFonts w:ascii="Arial" w:hAnsi="Arial" w:cs="Arial"/>
                <w:sz w:val="18"/>
                <w:szCs w:val="18"/>
              </w:rPr>
              <w:t>665</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94</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67</w:t>
            </w:r>
          </w:p>
        </w:tc>
      </w:tr>
      <w:tr w:rsidR="0013536F" w:rsidRPr="002D4BCB" w:rsidTr="004B730C">
        <w:trPr>
          <w:trHeight w:val="316"/>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Neustarthilfe Plus 2021/Q4</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17</w:t>
            </w:r>
            <w:r w:rsidR="0061209A">
              <w:rPr>
                <w:rFonts w:ascii="Arial" w:hAnsi="Arial" w:cs="Arial"/>
                <w:sz w:val="18"/>
                <w:szCs w:val="18"/>
              </w:rPr>
              <w:t> </w:t>
            </w:r>
            <w:r w:rsidRPr="002D4BCB">
              <w:rPr>
                <w:rFonts w:ascii="Arial" w:hAnsi="Arial" w:cs="Arial"/>
                <w:sz w:val="18"/>
                <w:szCs w:val="18"/>
              </w:rPr>
              <w:t>092</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15</w:t>
            </w:r>
            <w:r w:rsidR="0061209A">
              <w:rPr>
                <w:rFonts w:ascii="Arial" w:hAnsi="Arial" w:cs="Arial"/>
                <w:sz w:val="18"/>
                <w:szCs w:val="18"/>
              </w:rPr>
              <w:t> </w:t>
            </w:r>
            <w:r w:rsidRPr="002D4BCB">
              <w:rPr>
                <w:rFonts w:ascii="Arial" w:hAnsi="Arial" w:cs="Arial"/>
                <w:sz w:val="18"/>
                <w:szCs w:val="18"/>
              </w:rPr>
              <w:t>947</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93</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60</w:t>
            </w:r>
          </w:p>
        </w:tc>
      </w:tr>
      <w:tr w:rsidR="0013536F" w:rsidRPr="002D4BCB" w:rsidTr="004B730C">
        <w:trPr>
          <w:trHeight w:val="316"/>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Neustarthilfe 2022 Q1</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12</w:t>
            </w:r>
            <w:r w:rsidR="0061209A">
              <w:rPr>
                <w:rFonts w:ascii="Arial" w:hAnsi="Arial" w:cs="Arial"/>
                <w:sz w:val="18"/>
                <w:szCs w:val="18"/>
              </w:rPr>
              <w:t> </w:t>
            </w:r>
            <w:r w:rsidRPr="002D4BCB">
              <w:rPr>
                <w:rFonts w:ascii="Arial" w:hAnsi="Arial" w:cs="Arial"/>
                <w:sz w:val="18"/>
                <w:szCs w:val="18"/>
              </w:rPr>
              <w:t>348</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11</w:t>
            </w:r>
            <w:r w:rsidR="0061209A">
              <w:rPr>
                <w:rFonts w:ascii="Arial" w:hAnsi="Arial" w:cs="Arial"/>
                <w:sz w:val="18"/>
                <w:szCs w:val="18"/>
              </w:rPr>
              <w:t> </w:t>
            </w:r>
            <w:r w:rsidRPr="002D4BCB">
              <w:rPr>
                <w:rFonts w:ascii="Arial" w:hAnsi="Arial" w:cs="Arial"/>
                <w:sz w:val="18"/>
                <w:szCs w:val="18"/>
              </w:rPr>
              <w:t>284</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91</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43</w:t>
            </w:r>
          </w:p>
        </w:tc>
      </w:tr>
      <w:tr w:rsidR="0013536F" w:rsidRPr="002D4BCB" w:rsidTr="004B730C">
        <w:trPr>
          <w:trHeight w:val="318"/>
        </w:trPr>
        <w:tc>
          <w:tcPr>
            <w:tcW w:w="2239" w:type="dxa"/>
            <w:vAlign w:val="center"/>
          </w:tcPr>
          <w:p w:rsidR="0013536F" w:rsidRPr="002D4BCB" w:rsidRDefault="0013536F" w:rsidP="0061209A">
            <w:pPr>
              <w:pStyle w:val="TableParagraph"/>
              <w:spacing w:line="240" w:lineRule="auto"/>
              <w:rPr>
                <w:rFonts w:ascii="Arial" w:hAnsi="Arial" w:cs="Arial"/>
                <w:sz w:val="18"/>
                <w:szCs w:val="18"/>
              </w:rPr>
            </w:pPr>
            <w:r w:rsidRPr="002D4BCB">
              <w:rPr>
                <w:rFonts w:ascii="Arial" w:hAnsi="Arial" w:cs="Arial"/>
                <w:sz w:val="18"/>
                <w:szCs w:val="18"/>
              </w:rPr>
              <w:t>Neustarthilfe 2022 Q2</w:t>
            </w:r>
          </w:p>
        </w:tc>
        <w:tc>
          <w:tcPr>
            <w:tcW w:w="1134" w:type="dxa"/>
            <w:vAlign w:val="center"/>
          </w:tcPr>
          <w:p w:rsidR="0013536F" w:rsidRPr="002D4BCB" w:rsidRDefault="0013536F" w:rsidP="0061209A">
            <w:pPr>
              <w:pStyle w:val="TableParagraph"/>
              <w:spacing w:line="240" w:lineRule="auto"/>
              <w:jc w:val="center"/>
              <w:rPr>
                <w:rFonts w:ascii="Arial" w:hAnsi="Arial" w:cs="Arial"/>
                <w:sz w:val="18"/>
                <w:szCs w:val="18"/>
              </w:rPr>
            </w:pPr>
            <w:r w:rsidRPr="002D4BCB">
              <w:rPr>
                <w:rFonts w:ascii="Arial" w:hAnsi="Arial" w:cs="Arial"/>
                <w:sz w:val="18"/>
                <w:szCs w:val="18"/>
              </w:rPr>
              <w:t>3</w:t>
            </w:r>
            <w:r w:rsidR="0061209A">
              <w:rPr>
                <w:rFonts w:ascii="Arial" w:hAnsi="Arial" w:cs="Arial"/>
                <w:sz w:val="18"/>
                <w:szCs w:val="18"/>
              </w:rPr>
              <w:t> </w:t>
            </w:r>
            <w:r w:rsidRPr="002D4BCB">
              <w:rPr>
                <w:rFonts w:ascii="Arial" w:hAnsi="Arial" w:cs="Arial"/>
                <w:sz w:val="18"/>
                <w:szCs w:val="18"/>
              </w:rPr>
              <w:t>561</w:t>
            </w:r>
          </w:p>
        </w:tc>
        <w:tc>
          <w:tcPr>
            <w:tcW w:w="1276" w:type="dxa"/>
            <w:vAlign w:val="center"/>
          </w:tcPr>
          <w:p w:rsidR="0013536F" w:rsidRPr="002D4BCB" w:rsidRDefault="0013536F" w:rsidP="0061209A">
            <w:pPr>
              <w:pStyle w:val="TableParagraph"/>
              <w:spacing w:line="240" w:lineRule="auto"/>
              <w:jc w:val="center"/>
              <w:rPr>
                <w:rFonts w:ascii="Arial" w:hAnsi="Arial" w:cs="Arial"/>
                <w:sz w:val="18"/>
                <w:szCs w:val="18"/>
              </w:rPr>
            </w:pPr>
            <w:r w:rsidRPr="002D4BCB">
              <w:rPr>
                <w:rFonts w:ascii="Arial" w:hAnsi="Arial" w:cs="Arial"/>
                <w:sz w:val="18"/>
                <w:szCs w:val="18"/>
              </w:rPr>
              <w:t>-</w:t>
            </w:r>
          </w:p>
        </w:tc>
        <w:tc>
          <w:tcPr>
            <w:tcW w:w="1559" w:type="dxa"/>
            <w:vAlign w:val="center"/>
          </w:tcPr>
          <w:p w:rsidR="0013536F" w:rsidRPr="002D4BCB" w:rsidRDefault="0013536F" w:rsidP="0061209A">
            <w:pPr>
              <w:pStyle w:val="TableParagraph"/>
              <w:spacing w:line="240" w:lineRule="auto"/>
              <w:jc w:val="center"/>
              <w:rPr>
                <w:rFonts w:ascii="Arial" w:hAnsi="Arial" w:cs="Arial"/>
                <w:sz w:val="18"/>
                <w:szCs w:val="18"/>
              </w:rPr>
            </w:pPr>
            <w:r w:rsidRPr="002D4BCB">
              <w:rPr>
                <w:rFonts w:ascii="Arial" w:hAnsi="Arial" w:cs="Arial"/>
                <w:sz w:val="18"/>
                <w:szCs w:val="18"/>
              </w:rPr>
              <w:t>-</w:t>
            </w:r>
          </w:p>
        </w:tc>
        <w:tc>
          <w:tcPr>
            <w:tcW w:w="1134" w:type="dxa"/>
            <w:vAlign w:val="center"/>
          </w:tcPr>
          <w:p w:rsidR="0013536F" w:rsidRPr="002D4BCB" w:rsidRDefault="0013536F" w:rsidP="0061209A">
            <w:pPr>
              <w:pStyle w:val="TableParagraph"/>
              <w:spacing w:line="240" w:lineRule="auto"/>
              <w:jc w:val="center"/>
              <w:rPr>
                <w:rFonts w:ascii="Arial" w:hAnsi="Arial" w:cs="Arial"/>
                <w:sz w:val="18"/>
                <w:szCs w:val="18"/>
              </w:rPr>
            </w:pPr>
            <w:r w:rsidRPr="002D4BCB">
              <w:rPr>
                <w:rFonts w:ascii="Arial" w:hAnsi="Arial" w:cs="Arial"/>
                <w:sz w:val="18"/>
                <w:szCs w:val="18"/>
              </w:rPr>
              <w:t>0</w:t>
            </w:r>
          </w:p>
        </w:tc>
      </w:tr>
      <w:tr w:rsidR="0013536F" w:rsidRPr="002D4BCB" w:rsidTr="004B730C">
        <w:trPr>
          <w:trHeight w:val="316"/>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Novemberhilfe</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66</w:t>
            </w:r>
            <w:r w:rsidR="0061209A">
              <w:rPr>
                <w:rFonts w:ascii="Arial" w:hAnsi="Arial" w:cs="Arial"/>
                <w:sz w:val="18"/>
                <w:szCs w:val="18"/>
              </w:rPr>
              <w:t> </w:t>
            </w:r>
            <w:r w:rsidRPr="002D4BCB">
              <w:rPr>
                <w:rFonts w:ascii="Arial" w:hAnsi="Arial" w:cs="Arial"/>
                <w:sz w:val="18"/>
                <w:szCs w:val="18"/>
              </w:rPr>
              <w:t>854</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66</w:t>
            </w:r>
            <w:r w:rsidR="0061209A">
              <w:rPr>
                <w:rFonts w:ascii="Arial" w:hAnsi="Arial" w:cs="Arial"/>
                <w:sz w:val="18"/>
                <w:szCs w:val="18"/>
              </w:rPr>
              <w:t> </w:t>
            </w:r>
            <w:r w:rsidRPr="002D4BCB">
              <w:rPr>
                <w:rFonts w:ascii="Arial" w:hAnsi="Arial" w:cs="Arial"/>
                <w:sz w:val="18"/>
                <w:szCs w:val="18"/>
              </w:rPr>
              <w:t>838</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100</w:t>
            </w:r>
          </w:p>
        </w:tc>
        <w:tc>
          <w:tcPr>
            <w:tcW w:w="1134" w:type="dxa"/>
            <w:vAlign w:val="center"/>
          </w:tcPr>
          <w:p w:rsidR="0013536F" w:rsidRPr="002D4BCB" w:rsidRDefault="0061209A" w:rsidP="0061209A">
            <w:pPr>
              <w:pStyle w:val="TableParagraph"/>
              <w:jc w:val="center"/>
              <w:rPr>
                <w:rFonts w:ascii="Arial" w:hAnsi="Arial" w:cs="Arial"/>
                <w:sz w:val="18"/>
                <w:szCs w:val="18"/>
              </w:rPr>
            </w:pPr>
            <w:r>
              <w:rPr>
                <w:rFonts w:ascii="Arial" w:hAnsi="Arial" w:cs="Arial"/>
                <w:sz w:val="18"/>
                <w:szCs w:val="18"/>
              </w:rPr>
              <w:t>1 </w:t>
            </w:r>
            <w:r w:rsidR="0013536F" w:rsidRPr="002D4BCB">
              <w:rPr>
                <w:rFonts w:ascii="Arial" w:hAnsi="Arial" w:cs="Arial"/>
                <w:sz w:val="18"/>
                <w:szCs w:val="18"/>
              </w:rPr>
              <w:t>258</w:t>
            </w:r>
          </w:p>
        </w:tc>
      </w:tr>
      <w:tr w:rsidR="0013536F" w:rsidRPr="002D4BCB" w:rsidTr="004B730C">
        <w:trPr>
          <w:trHeight w:val="318"/>
        </w:trPr>
        <w:tc>
          <w:tcPr>
            <w:tcW w:w="2239" w:type="dxa"/>
            <w:vAlign w:val="center"/>
          </w:tcPr>
          <w:p w:rsidR="0013536F" w:rsidRPr="002D4BCB" w:rsidRDefault="0013536F" w:rsidP="0061209A">
            <w:pPr>
              <w:pStyle w:val="TableParagraph"/>
              <w:rPr>
                <w:rFonts w:ascii="Arial" w:hAnsi="Arial" w:cs="Arial"/>
                <w:sz w:val="18"/>
                <w:szCs w:val="18"/>
              </w:rPr>
            </w:pPr>
            <w:r w:rsidRPr="002D4BCB">
              <w:rPr>
                <w:rFonts w:ascii="Arial" w:hAnsi="Arial" w:cs="Arial"/>
                <w:sz w:val="18"/>
                <w:szCs w:val="18"/>
              </w:rPr>
              <w:t>Dezemberhilfe</w:t>
            </w:r>
          </w:p>
        </w:tc>
        <w:tc>
          <w:tcPr>
            <w:tcW w:w="1134"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65</w:t>
            </w:r>
            <w:r w:rsidR="0061209A">
              <w:rPr>
                <w:rFonts w:ascii="Arial" w:hAnsi="Arial" w:cs="Arial"/>
                <w:sz w:val="18"/>
                <w:szCs w:val="18"/>
              </w:rPr>
              <w:t> </w:t>
            </w:r>
            <w:r w:rsidRPr="002D4BCB">
              <w:rPr>
                <w:rFonts w:ascii="Arial" w:hAnsi="Arial" w:cs="Arial"/>
                <w:sz w:val="18"/>
                <w:szCs w:val="18"/>
              </w:rPr>
              <w:t>570</w:t>
            </w:r>
          </w:p>
        </w:tc>
        <w:tc>
          <w:tcPr>
            <w:tcW w:w="1276"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65</w:t>
            </w:r>
            <w:r w:rsidR="0061209A">
              <w:rPr>
                <w:rFonts w:ascii="Arial" w:hAnsi="Arial" w:cs="Arial"/>
                <w:sz w:val="18"/>
                <w:szCs w:val="18"/>
              </w:rPr>
              <w:t> </w:t>
            </w:r>
            <w:r w:rsidRPr="002D4BCB">
              <w:rPr>
                <w:rFonts w:ascii="Arial" w:hAnsi="Arial" w:cs="Arial"/>
                <w:sz w:val="18"/>
                <w:szCs w:val="18"/>
              </w:rPr>
              <w:t>556</w:t>
            </w:r>
          </w:p>
        </w:tc>
        <w:tc>
          <w:tcPr>
            <w:tcW w:w="1559" w:type="dxa"/>
            <w:vAlign w:val="center"/>
          </w:tcPr>
          <w:p w:rsidR="0013536F" w:rsidRPr="002D4BCB" w:rsidRDefault="0013536F" w:rsidP="0061209A">
            <w:pPr>
              <w:pStyle w:val="TableParagraph"/>
              <w:jc w:val="center"/>
              <w:rPr>
                <w:rFonts w:ascii="Arial" w:hAnsi="Arial" w:cs="Arial"/>
                <w:sz w:val="18"/>
                <w:szCs w:val="18"/>
              </w:rPr>
            </w:pPr>
            <w:r w:rsidRPr="002D4BCB">
              <w:rPr>
                <w:rFonts w:ascii="Arial" w:hAnsi="Arial" w:cs="Arial"/>
                <w:sz w:val="18"/>
                <w:szCs w:val="18"/>
              </w:rPr>
              <w:t>100</w:t>
            </w:r>
          </w:p>
        </w:tc>
        <w:tc>
          <w:tcPr>
            <w:tcW w:w="1134" w:type="dxa"/>
            <w:vAlign w:val="center"/>
          </w:tcPr>
          <w:p w:rsidR="0013536F" w:rsidRPr="002D4BCB" w:rsidRDefault="0061209A" w:rsidP="0061209A">
            <w:pPr>
              <w:pStyle w:val="TableParagraph"/>
              <w:jc w:val="center"/>
              <w:rPr>
                <w:rFonts w:ascii="Arial" w:hAnsi="Arial" w:cs="Arial"/>
                <w:sz w:val="18"/>
                <w:szCs w:val="18"/>
              </w:rPr>
            </w:pPr>
            <w:r>
              <w:rPr>
                <w:rFonts w:ascii="Arial" w:hAnsi="Arial" w:cs="Arial"/>
                <w:sz w:val="18"/>
                <w:szCs w:val="18"/>
              </w:rPr>
              <w:t>1 </w:t>
            </w:r>
            <w:r w:rsidR="0013536F" w:rsidRPr="002D4BCB">
              <w:rPr>
                <w:rFonts w:ascii="Arial" w:hAnsi="Arial" w:cs="Arial"/>
                <w:sz w:val="18"/>
                <w:szCs w:val="18"/>
              </w:rPr>
              <w:t>403</w:t>
            </w:r>
          </w:p>
        </w:tc>
      </w:tr>
      <w:tr w:rsidR="0013536F" w:rsidRPr="002D4BCB" w:rsidTr="004B730C">
        <w:trPr>
          <w:trHeight w:val="316"/>
        </w:trPr>
        <w:tc>
          <w:tcPr>
            <w:tcW w:w="2239" w:type="dxa"/>
            <w:vAlign w:val="center"/>
          </w:tcPr>
          <w:p w:rsidR="0013536F" w:rsidRPr="002D4BCB" w:rsidRDefault="0013536F" w:rsidP="0061209A">
            <w:pPr>
              <w:pStyle w:val="TableParagraph"/>
              <w:rPr>
                <w:rFonts w:ascii="Arial" w:hAnsi="Arial" w:cs="Arial"/>
                <w:b/>
                <w:sz w:val="18"/>
                <w:szCs w:val="18"/>
              </w:rPr>
            </w:pPr>
            <w:r w:rsidRPr="002D4BCB">
              <w:rPr>
                <w:rFonts w:ascii="Arial" w:hAnsi="Arial" w:cs="Arial"/>
                <w:b/>
                <w:sz w:val="18"/>
                <w:szCs w:val="18"/>
              </w:rPr>
              <w:t>Summe</w:t>
            </w:r>
          </w:p>
        </w:tc>
        <w:tc>
          <w:tcPr>
            <w:tcW w:w="1134" w:type="dxa"/>
            <w:vAlign w:val="center"/>
          </w:tcPr>
          <w:p w:rsidR="0013536F" w:rsidRPr="002D4BCB" w:rsidRDefault="0013536F" w:rsidP="0061209A">
            <w:pPr>
              <w:pStyle w:val="TableParagraph"/>
              <w:jc w:val="center"/>
              <w:rPr>
                <w:rFonts w:ascii="Arial" w:hAnsi="Arial" w:cs="Arial"/>
                <w:b/>
                <w:sz w:val="18"/>
                <w:szCs w:val="18"/>
              </w:rPr>
            </w:pPr>
            <w:r w:rsidRPr="002D4BCB">
              <w:rPr>
                <w:rFonts w:ascii="Arial" w:hAnsi="Arial" w:cs="Arial"/>
                <w:b/>
                <w:sz w:val="18"/>
                <w:szCs w:val="18"/>
              </w:rPr>
              <w:t>415</w:t>
            </w:r>
            <w:r w:rsidR="0061209A">
              <w:rPr>
                <w:rFonts w:ascii="Arial" w:hAnsi="Arial" w:cs="Arial"/>
                <w:b/>
                <w:sz w:val="18"/>
                <w:szCs w:val="18"/>
              </w:rPr>
              <w:t> </w:t>
            </w:r>
            <w:r w:rsidRPr="002D4BCB">
              <w:rPr>
                <w:rFonts w:ascii="Arial" w:hAnsi="Arial" w:cs="Arial"/>
                <w:b/>
                <w:sz w:val="18"/>
                <w:szCs w:val="18"/>
              </w:rPr>
              <w:t>198</w:t>
            </w:r>
          </w:p>
        </w:tc>
        <w:tc>
          <w:tcPr>
            <w:tcW w:w="1276" w:type="dxa"/>
            <w:vAlign w:val="center"/>
          </w:tcPr>
          <w:p w:rsidR="0013536F" w:rsidRPr="002D4BCB" w:rsidRDefault="0013536F" w:rsidP="0061209A">
            <w:pPr>
              <w:pStyle w:val="TableParagraph"/>
              <w:jc w:val="center"/>
              <w:rPr>
                <w:rFonts w:ascii="Arial" w:hAnsi="Arial" w:cs="Arial"/>
                <w:b/>
                <w:sz w:val="18"/>
                <w:szCs w:val="18"/>
              </w:rPr>
            </w:pPr>
            <w:r w:rsidRPr="002D4BCB">
              <w:rPr>
                <w:rFonts w:ascii="Arial" w:hAnsi="Arial" w:cs="Arial"/>
                <w:b/>
                <w:sz w:val="18"/>
                <w:szCs w:val="18"/>
              </w:rPr>
              <w:t>378</w:t>
            </w:r>
            <w:r w:rsidR="0061209A">
              <w:rPr>
                <w:rFonts w:ascii="Arial" w:hAnsi="Arial" w:cs="Arial"/>
                <w:b/>
                <w:sz w:val="18"/>
                <w:szCs w:val="18"/>
              </w:rPr>
              <w:t> </w:t>
            </w:r>
            <w:r w:rsidRPr="002D4BCB">
              <w:rPr>
                <w:rFonts w:ascii="Arial" w:hAnsi="Arial" w:cs="Arial"/>
                <w:b/>
                <w:sz w:val="18"/>
                <w:szCs w:val="18"/>
              </w:rPr>
              <w:t>377</w:t>
            </w:r>
          </w:p>
        </w:tc>
        <w:tc>
          <w:tcPr>
            <w:tcW w:w="1559" w:type="dxa"/>
            <w:vAlign w:val="center"/>
          </w:tcPr>
          <w:p w:rsidR="0013536F" w:rsidRPr="002D4BCB" w:rsidRDefault="0013536F" w:rsidP="0061209A">
            <w:pPr>
              <w:pStyle w:val="TableParagraph"/>
              <w:jc w:val="center"/>
              <w:rPr>
                <w:rFonts w:ascii="Arial" w:hAnsi="Arial" w:cs="Arial"/>
                <w:b/>
                <w:sz w:val="18"/>
                <w:szCs w:val="18"/>
              </w:rPr>
            </w:pPr>
            <w:r w:rsidRPr="002D4BCB">
              <w:rPr>
                <w:rFonts w:ascii="Arial" w:hAnsi="Arial" w:cs="Arial"/>
                <w:b/>
                <w:sz w:val="18"/>
                <w:szCs w:val="18"/>
              </w:rPr>
              <w:t>91</w:t>
            </w:r>
          </w:p>
        </w:tc>
        <w:tc>
          <w:tcPr>
            <w:tcW w:w="1134" w:type="dxa"/>
            <w:vAlign w:val="center"/>
          </w:tcPr>
          <w:p w:rsidR="0013536F" w:rsidRPr="002D4BCB" w:rsidRDefault="0061209A" w:rsidP="0061209A">
            <w:pPr>
              <w:pStyle w:val="TableParagraph"/>
              <w:jc w:val="center"/>
              <w:rPr>
                <w:rFonts w:ascii="Arial" w:hAnsi="Arial" w:cs="Arial"/>
                <w:b/>
                <w:sz w:val="18"/>
                <w:szCs w:val="18"/>
              </w:rPr>
            </w:pPr>
            <w:r>
              <w:rPr>
                <w:rFonts w:ascii="Arial" w:hAnsi="Arial" w:cs="Arial"/>
                <w:b/>
                <w:sz w:val="18"/>
                <w:szCs w:val="18"/>
              </w:rPr>
              <w:t>10 </w:t>
            </w:r>
            <w:r w:rsidR="0013536F" w:rsidRPr="002D4BCB">
              <w:rPr>
                <w:rFonts w:ascii="Arial" w:hAnsi="Arial" w:cs="Arial"/>
                <w:b/>
                <w:sz w:val="18"/>
                <w:szCs w:val="18"/>
              </w:rPr>
              <w:t>283</w:t>
            </w:r>
          </w:p>
        </w:tc>
      </w:tr>
    </w:tbl>
    <w:p w:rsidR="0013536F" w:rsidRDefault="0013536F" w:rsidP="0013536F">
      <w:pPr>
        <w:pStyle w:val="LTAntwortRessortText"/>
        <w:ind w:left="0"/>
      </w:pPr>
    </w:p>
    <w:p w:rsidR="0034715F" w:rsidRDefault="0034715F" w:rsidP="0034715F">
      <w:pPr>
        <w:pStyle w:val="LTAntwortRessortText"/>
      </w:pPr>
      <w:r>
        <w:t>Nicht in dieser Über</w:t>
      </w:r>
      <w:r w:rsidR="00970E19">
        <w:t>sicht enthalten ist die Coronasoforthilfe mit 489 983 Anträgen (Er</w:t>
      </w:r>
      <w:r>
        <w:t>ledigungsquote 100 Prozent) und einem ausgezahl</w:t>
      </w:r>
      <w:r w:rsidR="00970E19">
        <w:t>ten Volumen von 2,232 Mrd. </w:t>
      </w:r>
      <w:r w:rsidR="0013536F">
        <w:t xml:space="preserve">Euro </w:t>
      </w:r>
      <w:r>
        <w:t xml:space="preserve">sowie folgende Landesprogramme: Lockdown-Hilfe (Oktober-hilfe) </w:t>
      </w:r>
      <w:r w:rsidR="00970E19">
        <w:t>mit 1 </w:t>
      </w:r>
      <w:r>
        <w:t xml:space="preserve">153 Anträgen (Erledigungsquote 100 Prozent, 10,74 Mio. Euro ausgezahlt), </w:t>
      </w:r>
      <w:r w:rsidR="00970E19">
        <w:lastRenderedPageBreak/>
        <w:t>Coronah</w:t>
      </w:r>
      <w:r>
        <w:t>ärtefallhilfe einschließlich des Programmteils der Sonderhilfe für Weihnach</w:t>
      </w:r>
      <w:r w:rsidR="00970E19">
        <w:t>tsmärkte und Schausteller mit 2 </w:t>
      </w:r>
      <w:r>
        <w:t>1</w:t>
      </w:r>
      <w:r w:rsidR="00970E19">
        <w:t>13 Anträgen, von denen bisher 1 </w:t>
      </w:r>
      <w:r>
        <w:t>003 final verbeschieden sind (Erledigungsquote 47 Prozent, 9,84 Mio. Euro ausgezahlt).</w:t>
      </w:r>
    </w:p>
    <w:p w:rsidR="0034715F" w:rsidRDefault="0034715F">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34715F" w:rsidTr="007B0B33">
        <w:tc>
          <w:tcPr>
            <w:tcW w:w="2050" w:type="dxa"/>
          </w:tcPr>
          <w:p w:rsidR="0034715F" w:rsidRDefault="0034715F" w:rsidP="0034715F">
            <w:pPr>
              <w:pStyle w:val="LTAnfrageInitiator"/>
            </w:pPr>
            <w:r>
              <w:lastRenderedPageBreak/>
              <w:t>Abgeordneter</w:t>
            </w:r>
            <w:r>
              <w:rPr>
                <w:b/>
              </w:rPr>
              <w:br/>
              <w:t>Harald</w:t>
            </w:r>
            <w:r>
              <w:rPr>
                <w:b/>
              </w:rPr>
              <w:br/>
              <w:t>Güller</w:t>
            </w:r>
            <w:r>
              <w:rPr>
                <w:b/>
              </w:rPr>
              <w:br/>
            </w:r>
            <w:r>
              <w:t>(SPD)</w:t>
            </w:r>
            <w:bookmarkStart w:id="79" w:name="Frage_Nr_39"/>
            <w:bookmarkEnd w:id="79"/>
          </w:p>
        </w:tc>
        <w:tc>
          <w:tcPr>
            <w:tcW w:w="7200" w:type="dxa"/>
          </w:tcPr>
          <w:p w:rsidR="0034715F" w:rsidRPr="009A2E36" w:rsidRDefault="009A2E36" w:rsidP="0034715F">
            <w:pPr>
              <w:pStyle w:val="LTAnfrageText"/>
            </w:pPr>
            <w:r w:rsidRPr="009A2E36">
              <w:rPr>
                <w:szCs w:val="24"/>
              </w:rPr>
              <w:t>Nachdem eine Reihe von aus der Ukraine Geflüchteten mit einem auf sie oder einen Familienangehörigen zugelassenen P</w:t>
            </w:r>
            <w:r w:rsidR="00A601CC">
              <w:rPr>
                <w:szCs w:val="24"/>
              </w:rPr>
              <w:t>kw</w:t>
            </w:r>
            <w:r w:rsidRPr="009A2E36">
              <w:rPr>
                <w:szCs w:val="24"/>
              </w:rPr>
              <w:t xml:space="preserve"> nach Bayern eingereist sind und wohl bisher die Regelung gilt, dass ggf. verursachte Schäden über die ukrainische Versicherung bzw. ansonsten bis Ende Mai 2022 über den Gesamtverband der Deutschen Versicherungswirtschaft (GDV) abgedeckt sind, frage ich die Staatsregierung, wie lange der Versicherungsschutz über ukrainische Versicherungen gilt, bzw. welche Regelungen von den Geflüchteten hinsichtlich An- bzw. Ummeldung des P</w:t>
            </w:r>
            <w:r w:rsidR="00A601CC">
              <w:rPr>
                <w:szCs w:val="24"/>
              </w:rPr>
              <w:t>kw</w:t>
            </w:r>
            <w:r w:rsidRPr="009A2E36">
              <w:rPr>
                <w:szCs w:val="24"/>
              </w:rPr>
              <w:t xml:space="preserve"> zu beachten sind und ob eine Nachfolgeregelung des GDV bekannt bzw. geplant ist?</w:t>
            </w:r>
          </w:p>
        </w:tc>
      </w:tr>
    </w:tbl>
    <w:p w:rsidR="0034715F" w:rsidRDefault="0034715F" w:rsidP="0034715F">
      <w:pPr>
        <w:pStyle w:val="LTUeberschrAntwortRessort"/>
      </w:pPr>
      <w:r>
        <w:t>Antwort des Staatsministeriums für Wirtschaft, Landesentwicklung und Energie</w:t>
      </w:r>
    </w:p>
    <w:p w:rsidR="0034715F" w:rsidRDefault="0034715F" w:rsidP="0034715F">
      <w:pPr>
        <w:pStyle w:val="LTAntwortRessortText"/>
      </w:pPr>
      <w:r>
        <w:t>Wenn mit einem in der Ukraine zugelassenen Pkw in Bayern ein Unfall verursacht wird, besteht entweder Versicherungsschutz über die Grüne Karte des ukrainischen Pkw, über eine Grenzversicherung oder bis Ende Mai erfolgt eine Regelung auf Grundlage der Initiative des Gesamtverbands der deutschen Versicherungswirtschaft (GDV). Diese Regelung beinhaltet die gelten</w:t>
      </w:r>
      <w:r w:rsidR="00AE221B">
        <w:t>de Mindestdeckung (7,5 Mio. </w:t>
      </w:r>
      <w:r w:rsidR="00190CE9">
        <w:t>Euro</w:t>
      </w:r>
      <w:r w:rsidR="00AE221B">
        <w:t xml:space="preserve"> für Personenschä</w:t>
      </w:r>
      <w:r>
        <w:t xml:space="preserve">den, 1,22 Mio. </w:t>
      </w:r>
      <w:r w:rsidR="00190CE9">
        <w:t>Euro</w:t>
      </w:r>
      <w:r w:rsidR="00AE221B">
        <w:t xml:space="preserve"> für Sachschäden und 50.000 </w:t>
      </w:r>
      <w:r w:rsidR="00190CE9">
        <w:t>Euro</w:t>
      </w:r>
      <w:r>
        <w:t xml:space="preserve"> für Vermögensschäden) und sieht keinen Regress beim Unfallverursacher vor.</w:t>
      </w:r>
    </w:p>
    <w:p w:rsidR="0034715F" w:rsidRDefault="0034715F" w:rsidP="0034715F">
      <w:pPr>
        <w:pStyle w:val="LTAntwortRessortText"/>
      </w:pPr>
      <w:r>
        <w:t>Für die Zeit nach dem 31. Mai 2022 müssen die Halter ukrainischer Pkw sich bei ihrer ukrainischen Versicherung zumindest eine digitale V</w:t>
      </w:r>
      <w:r w:rsidR="00AE221B">
        <w:t>ersion der Grünen Karte beschaf</w:t>
      </w:r>
      <w:r>
        <w:t>fen, die ausnahmsweise auch ohne Ausdruck akzeptiert würde. Dann gibt es einen Anspruch auf Erstattung von Schäden gegen das Deutsche Büro Grüne Karte, das den anschließenden Ausgleich mit der ukrainischen Versicherung organisiert. Ohne Grüne Karte ist bei einem deutschen Versicherer ei</w:t>
      </w:r>
      <w:r w:rsidR="00AE221B">
        <w:t>ne Grenzversicherung abzuschlie</w:t>
      </w:r>
      <w:r>
        <w:t>ßen. Diese Grenzversicherung ist eine Kfz-Haftpflichtve</w:t>
      </w:r>
      <w:r w:rsidR="00AE221B">
        <w:t>rsicherung für nicht in Deutsch</w:t>
      </w:r>
      <w:r>
        <w:t>land zugelassene Pkw.</w:t>
      </w:r>
    </w:p>
    <w:p w:rsidR="0034715F" w:rsidRDefault="0034715F" w:rsidP="0034715F">
      <w:pPr>
        <w:pStyle w:val="LTAntwortRessortText"/>
      </w:pPr>
      <w:r>
        <w:t>Die in der Ukraine zugelassenen Fahrzeuge dürfen, so</w:t>
      </w:r>
      <w:r w:rsidR="00AE221B">
        <w:t>fern sie verkehrssicher und ver</w:t>
      </w:r>
      <w:r>
        <w:t>sichert sind, bis zu einem Jahr am Verkehr im Deutschland teilnehmen, wenn für sie in der Ukraine eine gültige Zulassungsbescheinigung</w:t>
      </w:r>
      <w:r w:rsidR="00AE221B">
        <w:t xml:space="preserve"> oder ein Internationaler Zulas</w:t>
      </w:r>
      <w:r>
        <w:t>sungsschein ausgestellt ist und hier in Deutschland noch kein regelmäßiger Standort existiert. Sobald dieser regelmäßige Standort begründet wird, muss das Fahrzeug in Deutschland zugelassen werden, auch wenn das Jahr noch nicht ausgeschöpft ist.</w:t>
      </w:r>
    </w:p>
    <w:p w:rsidR="0034715F" w:rsidRDefault="0034715F">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34715F" w:rsidTr="007B0B33">
        <w:tc>
          <w:tcPr>
            <w:tcW w:w="2050" w:type="dxa"/>
          </w:tcPr>
          <w:p w:rsidR="0034715F" w:rsidRDefault="0034715F" w:rsidP="0034715F">
            <w:pPr>
              <w:pStyle w:val="LTAnfrageInitiator"/>
            </w:pPr>
            <w:r>
              <w:lastRenderedPageBreak/>
              <w:t>Abgeordneter</w:t>
            </w:r>
            <w:r>
              <w:rPr>
                <w:b/>
              </w:rPr>
              <w:br/>
              <w:t>Ludwig</w:t>
            </w:r>
            <w:r>
              <w:rPr>
                <w:b/>
              </w:rPr>
              <w:br/>
              <w:t>Hartmann</w:t>
            </w:r>
            <w:r>
              <w:rPr>
                <w:b/>
              </w:rPr>
              <w:br/>
            </w:r>
            <w:r>
              <w:t>(BÜNDNIS 90/DIE GRÜNEN)</w:t>
            </w:r>
            <w:bookmarkStart w:id="81" w:name="Frage_Nr_40"/>
            <w:bookmarkEnd w:id="81"/>
          </w:p>
        </w:tc>
        <w:tc>
          <w:tcPr>
            <w:tcW w:w="7200" w:type="dxa"/>
          </w:tcPr>
          <w:p w:rsidR="0034715F" w:rsidRPr="009A2E36" w:rsidRDefault="009A2E36" w:rsidP="0034715F">
            <w:pPr>
              <w:pStyle w:val="LTAnfrageText"/>
            </w:pPr>
            <w:r w:rsidRPr="009A2E36">
              <w:rPr>
                <w:szCs w:val="24"/>
              </w:rPr>
              <w:t>Ich frage die Staatsregierung, welche Leistungssteigerungen im Energiebereich erwartet sich Ministerpräsident Dr. Markus Söder durch die Ertüchtigung und Modernisierung (Repowering) von Wasserkraftanlagen in Bayern jeweils in den Leistungsklassen unter 500 kW, zwischen 500 und 1 000 kW und über 1 000 kW?</w:t>
            </w:r>
          </w:p>
        </w:tc>
      </w:tr>
    </w:tbl>
    <w:p w:rsidR="0034715F" w:rsidRDefault="0034715F" w:rsidP="0034715F">
      <w:pPr>
        <w:pStyle w:val="LTUeberschrAntwortRessort"/>
      </w:pPr>
      <w:r>
        <w:t>Antwort des Staatsministeriums für Wirtschaft, Landesentwicklung und Energie</w:t>
      </w:r>
    </w:p>
    <w:p w:rsidR="0034715F" w:rsidRDefault="0034715F" w:rsidP="0034715F">
      <w:pPr>
        <w:pStyle w:val="LTAntwortRessortText"/>
      </w:pPr>
      <w:r>
        <w:t>Das Ausbaupotenzial wird für die Wasserkraft in Bayern unter den derzeit geltenden technischen, wirtschaftlichen und ökologisch</w:t>
      </w:r>
      <w:r w:rsidR="00383A93">
        <w:t>en Rahmenbedingungen auf rund 1 </w:t>
      </w:r>
      <w:r>
        <w:t>Terawattstunde (TWh) pro Jahr geschätzt. Damit würde di</w:t>
      </w:r>
      <w:r w:rsidR="00383A93">
        <w:t>e Stromerzeugung von einer mitt</w:t>
      </w:r>
      <w:r>
        <w:t>leren Jahresarbeit von rund 12,5 TWh auf 13,5 T</w:t>
      </w:r>
      <w:r w:rsidR="00383A93">
        <w:t>Wh gesteigert. Das genannte Aus</w:t>
      </w:r>
      <w:r>
        <w:t>baupotenzial umfasst Nachrüstung und Modernisi</w:t>
      </w:r>
      <w:r w:rsidR="00383A93">
        <w:t>erung bestehender Wasserkraftan</w:t>
      </w:r>
      <w:r>
        <w:t>lagen und den Neubau.</w:t>
      </w:r>
    </w:p>
    <w:p w:rsidR="0034715F" w:rsidRDefault="0034715F" w:rsidP="0034715F">
      <w:pPr>
        <w:pStyle w:val="LTAntwortRessortText"/>
      </w:pPr>
      <w:r>
        <w:t>Die staatlichen Wasserkraftanlagen in Bayern sind im Zuge der Privatisierung in den 1990er Jahren vom Freistaat Bayern veräußert wor</w:t>
      </w:r>
      <w:r w:rsidR="00383A93">
        <w:t>den. Auch einen Betrieb von Was</w:t>
      </w:r>
      <w:r>
        <w:t>serkraftanlagen in staatlicher Eigenregie zum aus</w:t>
      </w:r>
      <w:r w:rsidR="00383A93">
        <w:t>schließlichen Zweck der Stromer</w:t>
      </w:r>
      <w:r>
        <w:t xml:space="preserve">zeugung gibt es heute nicht mehr. Hiervon unberührt sind die Landeskraftwerke GmbH, eine </w:t>
      </w:r>
      <w:r w:rsidR="004324B4">
        <w:t>hundertp</w:t>
      </w:r>
      <w:r w:rsidR="00190CE9">
        <w:t>rozent</w:t>
      </w:r>
      <w:r>
        <w:t>ige Tochter des Freistaats Baye</w:t>
      </w:r>
      <w:r w:rsidR="00383A93">
        <w:t>rn. Eine Aufschlüsselung des Po</w:t>
      </w:r>
      <w:r>
        <w:t xml:space="preserve">tenzials nach Ertüchtigung und Modernisierung und </w:t>
      </w:r>
      <w:r w:rsidR="00383A93">
        <w:t>den in der Fragestellung benann</w:t>
      </w:r>
      <w:r>
        <w:t>ten Leistungsklassen ist deshalb nicht möglich.</w:t>
      </w:r>
    </w:p>
    <w:p w:rsidR="0034715F" w:rsidRDefault="0034715F" w:rsidP="003449ED">
      <w:pPr>
        <w:pStyle w:val="LTAntwortRessortText"/>
      </w:pPr>
      <w:r>
        <w:t>Basierend auf Angaben der großen Wasserkraftbetreiber kann für die g</w:t>
      </w:r>
      <w:r w:rsidR="00383A93">
        <w:t>roßen Flüsse für Anlagen über 1 </w:t>
      </w:r>
      <w:r>
        <w:t>000 Kilowatt (kW) ein theoretis</w:t>
      </w:r>
      <w:r w:rsidR="00383A93">
        <w:t>ch vorhandenes technische Poten</w:t>
      </w:r>
      <w:r>
        <w:t>zial</w:t>
      </w:r>
      <w:r w:rsidR="00383A93">
        <w:t xml:space="preserve"> </w:t>
      </w:r>
      <w:r w:rsidR="00C14552">
        <w:rPr>
          <w:rStyle w:val="Funotenzeichen"/>
        </w:rPr>
        <w:footnoteReference w:id="3"/>
      </w:r>
      <w:r>
        <w:t xml:space="preserve"> von e</w:t>
      </w:r>
      <w:r w:rsidR="00C14552">
        <w:t xml:space="preserve">twa 0,86 TWh angenommen werden </w:t>
      </w:r>
      <w:r w:rsidR="00C14552">
        <w:rPr>
          <w:rStyle w:val="Funotenzeichen"/>
        </w:rPr>
        <w:footnoteReference w:id="4"/>
      </w:r>
      <w:r>
        <w:t>. Daraus ergibt sich ein technisches Potenzial für die Größenklasse unter 1</w:t>
      </w:r>
      <w:r w:rsidR="00C14552">
        <w:t> </w:t>
      </w:r>
      <w:r>
        <w:t>000 kW von ca. 0,14 TWh. Eine Aufschlüsselung dieses Potenzi</w:t>
      </w:r>
      <w:r w:rsidR="00C14552">
        <w:t>als auf die kleineren Leistungs</w:t>
      </w:r>
      <w:r>
        <w:t>klassen ist nicht möglich, da das Ausschöpfen des te</w:t>
      </w:r>
      <w:r w:rsidR="00C14552">
        <w:t>chnischen Potenzials an den ein</w:t>
      </w:r>
      <w:r>
        <w:t>zelnen Anlagen von verschiedenen Faktoren abhängt,</w:t>
      </w:r>
      <w:r w:rsidR="00C14552">
        <w:t xml:space="preserve"> die für jeden Einzelfall unter</w:t>
      </w:r>
      <w:r>
        <w:t>schiedlich sein können (besondere Gegebenheiten</w:t>
      </w:r>
      <w:r w:rsidR="00C14552">
        <w:t xml:space="preserve"> am Standort, technische Ausfüh</w:t>
      </w:r>
      <w:r>
        <w:t>rung, ökologische Vorgaben, die das für die Stromerzeugung zur Verfügung stehende Wasserdargebot einschränken). Das Staatsministerium für Wirtschaft, Landesentwicklung und Energie schafft mit dem F</w:t>
      </w:r>
      <w:r w:rsidR="00C14552">
        <w:t>örderprogramm für Wasserkraftan</w:t>
      </w:r>
      <w:r>
        <w:t>lagen gerade für kleine Anlagen Anreize für Maßnahmen zur Leistungssteigerung in Verbindung mit einer ökologischen Aufwertung.</w:t>
      </w:r>
    </w:p>
    <w:p w:rsidR="0034715F" w:rsidRDefault="0034715F" w:rsidP="0034715F">
      <w:pPr>
        <w:pStyle w:val="LTAntwortRessortText"/>
      </w:pPr>
      <w:r>
        <w:t>Derzeit bereitet das Bundesministerium für Wirtschaft und Klimaschutz ein Gesetz zu Sofortmaßnahmen für einen beschleunigten Ausbau der Erneuerbaren Energien und weiteren Maßnahmen im Stromsektor (</w:t>
      </w:r>
      <w:r w:rsidR="00190CE9">
        <w:t>„</w:t>
      </w:r>
      <w:r>
        <w:t>Osterpaket</w:t>
      </w:r>
      <w:r w:rsidR="00190CE9">
        <w:t>“</w:t>
      </w:r>
      <w:r>
        <w:t>) vor. Der Gesetzentwurf enthält Regelungen, die für die Wasserkraft eine Diskrimin</w:t>
      </w:r>
      <w:r w:rsidR="00C14552">
        <w:t>ierung gegenüber den anderen er</w:t>
      </w:r>
      <w:r>
        <w:t>neuerbaren Energien darstellen würden. So würde die Wasserkraft vom überragenden öffentlichen Interesse ausgenommen und ihr würde a</w:t>
      </w:r>
      <w:r w:rsidR="00C14552">
        <w:t xml:space="preserve">berkannt, dass </w:t>
      </w:r>
      <w:r w:rsidR="00C14552">
        <w:lastRenderedPageBreak/>
        <w:t>sie der öffentli</w:t>
      </w:r>
      <w:r>
        <w:t>chen Sicherheit dient. Des Weiteren ist in dem Entwurf vorgesehen, Neuanlagen bis 500 kW und Ertüchtigungen von Bestandsanlagen in dieser Leistungsklasse von einer EEG-Förderung auszunehmen. Betroffen wären Bes</w:t>
      </w:r>
      <w:r w:rsidR="00C14552">
        <w:t>tandsanlagen, für die eine Leis</w:t>
      </w:r>
      <w:r>
        <w:t>tungssteigerung geplant ist, die mit dieser Maßnahme aber unterhalb 500 kW bleiben. D.</w:t>
      </w:r>
      <w:r w:rsidR="00C14552">
        <w:t> </w:t>
      </w:r>
      <w:r>
        <w:t>h. der Anreiz, eine solche Anlage auf den Stand de</w:t>
      </w:r>
      <w:r w:rsidR="00C14552">
        <w:t>r Technik zu bringen und gleich</w:t>
      </w:r>
      <w:r>
        <w:t>zeitig die Stromerzeugung zu erhöhen, würde drast</w:t>
      </w:r>
      <w:r w:rsidR="00C14552">
        <w:t>isch sinken. Meist wäre eine Mo</w:t>
      </w:r>
      <w:r>
        <w:t>dernisierung auch verbunden mit einer (wünsche</w:t>
      </w:r>
      <w:r w:rsidR="00C14552">
        <w:t>nswerten) ökologischen Verbesse</w:t>
      </w:r>
      <w:r>
        <w:t>rung.</w:t>
      </w:r>
    </w:p>
    <w:p w:rsidR="0034715F" w:rsidRDefault="0034715F" w:rsidP="0034715F">
      <w:pPr>
        <w:pStyle w:val="LTAntwortRessortText"/>
      </w:pPr>
      <w:r>
        <w:t>Sollten die Regelungen in Kraft treten, hätte das weit</w:t>
      </w:r>
      <w:r w:rsidR="00F375B4">
        <w:t>reichende Folgen für die Wasser</w:t>
      </w:r>
      <w:r>
        <w:t xml:space="preserve">kraft in Bayern. </w:t>
      </w:r>
      <w:r w:rsidR="00190CE9">
        <w:t>U. a.</w:t>
      </w:r>
      <w:r>
        <w:t xml:space="preserve"> würde das Potenzial in der Leistungsklasse bis 500 kW nicht mehr gehoben. Langfristig wäre zu befürchten, </w:t>
      </w:r>
      <w:r w:rsidR="00F375B4">
        <w:t>dass ein großer Teil der rund 3 900 Wasser</w:t>
      </w:r>
      <w:r>
        <w:t>kraftanlagen mit einer Leistung bis 500 kW und einer Jahresarbeit von rund 0,93 TWh stillgelegt wird.</w:t>
      </w:r>
    </w:p>
    <w:p w:rsidR="0034715F" w:rsidRDefault="0034715F" w:rsidP="0034715F">
      <w:pPr>
        <w:pStyle w:val="LTAntwortRessortText"/>
      </w:pPr>
      <w:r>
        <w:t>Bayern setzt sich deshalb auf Bundesebene mit Nachd</w:t>
      </w:r>
      <w:r w:rsidR="00F375B4">
        <w:t>ruck dafür ein, die Diskriminie</w:t>
      </w:r>
      <w:r>
        <w:t>rung der Wasserkraft abzuwenden.</w:t>
      </w:r>
    </w:p>
    <w:p w:rsidR="0034715F" w:rsidRDefault="0034715F">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34715F" w:rsidTr="007B0B33">
        <w:tc>
          <w:tcPr>
            <w:tcW w:w="2050" w:type="dxa"/>
          </w:tcPr>
          <w:p w:rsidR="0034715F" w:rsidRDefault="0034715F" w:rsidP="0034715F">
            <w:pPr>
              <w:pStyle w:val="LTAnfrageInitiator"/>
            </w:pPr>
            <w:r>
              <w:lastRenderedPageBreak/>
              <w:t>Abgeordneter</w:t>
            </w:r>
            <w:r>
              <w:rPr>
                <w:b/>
              </w:rPr>
              <w:br/>
              <w:t>Toni</w:t>
            </w:r>
            <w:r>
              <w:rPr>
                <w:b/>
              </w:rPr>
              <w:br/>
              <w:t>Schuberl</w:t>
            </w:r>
            <w:r>
              <w:rPr>
                <w:b/>
              </w:rPr>
              <w:br/>
            </w:r>
            <w:r>
              <w:t>(BÜNDNIS 90/DIE GRÜNEN)</w:t>
            </w:r>
            <w:bookmarkStart w:id="83" w:name="Frage_Nr_41"/>
            <w:bookmarkEnd w:id="83"/>
          </w:p>
        </w:tc>
        <w:tc>
          <w:tcPr>
            <w:tcW w:w="7200" w:type="dxa"/>
          </w:tcPr>
          <w:p w:rsidR="0034715F" w:rsidRPr="00107001" w:rsidRDefault="00107001" w:rsidP="0034715F">
            <w:pPr>
              <w:pStyle w:val="LTAnfrageText"/>
            </w:pPr>
            <w:r w:rsidRPr="00107001">
              <w:rPr>
                <w:szCs w:val="24"/>
              </w:rPr>
              <w:t>Ich frage die Staatsregierung, ist geplant, die niederbayerischen Regionalpläne Donau-Wald und Landshut insofern zu überarbeiten, dass die besonders geeigneten Flächen für Windkraftnutzung als Vorranggebiete aufgenommen werden, die bisher nur als winzige Flächen vorgesehen sind (laut Energie-Atlas der Staatsregierung eignet sich in Niederbayern ab einer Höhe von 140 Metern bis auf die Flusstäler fast die gesamte Fläche für Windkraftnutzung, die besten Standorte finden sich im Bereich des Kleinen und Großen Arbers sowie auf dem Höhenzug des Vorderen Bayerischen Waldes von Zeller Höhe bis Vogelsang bei St. Englmar sowie Einödriegel und Dreitannenriegel bei Deggendorf und der Brotjacklriegel bei Schöfweg), hat sie Pläne zur Nutzung von Windenergie auf staatlichen Flächen in Niederbayern durch Projektierer (bitte unter Angabe von Orten, Anzahl und Zeitplanung), insbesondere im Bereich des Forstbetriebs Bodenmais, dessen Flächen in den besonders geeigneten Gebieten liegen?</w:t>
            </w:r>
          </w:p>
        </w:tc>
      </w:tr>
    </w:tbl>
    <w:p w:rsidR="0034715F" w:rsidRDefault="0034715F" w:rsidP="00896313">
      <w:pPr>
        <w:pStyle w:val="LTUeberschrAntwortRessort"/>
      </w:pPr>
      <w:r>
        <w:t>Antwort des Staatsministeriums für Wirtschaft</w:t>
      </w:r>
      <w:r w:rsidR="00896313">
        <w:t xml:space="preserve">, Landesentwicklung und Energie </w:t>
      </w:r>
      <w:r>
        <w:t xml:space="preserve">in Abstimmung mit dem </w:t>
      </w:r>
      <w:r w:rsidR="00FA581E">
        <w:t>Staatsministerium der Finan</w:t>
      </w:r>
      <w:r>
        <w:t>zen und für Heimat, dem Staatsministerium für Wohnen, Bau und Verkehr und dem Staatsministerium für Ernährung, Landwirtschaft und Forsten</w:t>
      </w:r>
    </w:p>
    <w:p w:rsidR="0034715F" w:rsidRDefault="0034715F" w:rsidP="0034715F">
      <w:pPr>
        <w:pStyle w:val="LTAntwortRessortText"/>
      </w:pPr>
      <w:r>
        <w:t>Im Regionalplan Donau-Wald sind derzeit rund 4</w:t>
      </w:r>
      <w:r w:rsidR="00DD4A2D">
        <w:t> </w:t>
      </w:r>
      <w:r>
        <w:t>500 ha Vorranggebiete und rund 1</w:t>
      </w:r>
      <w:r w:rsidR="00DD4A2D">
        <w:t> </w:t>
      </w:r>
      <w:r>
        <w:t xml:space="preserve">941 ha Vorbehaltsgebiete für die Windenergienutzung festgelegt. Dies entspricht rund 1,1 </w:t>
      </w:r>
      <w:r w:rsidR="00190CE9">
        <w:t>Prozent</w:t>
      </w:r>
      <w:r>
        <w:t xml:space="preserve"> der Regionsfläche. Im Regionalplan Landshut sind derzeit rund 2</w:t>
      </w:r>
      <w:r w:rsidR="00DD4A2D">
        <w:t> </w:t>
      </w:r>
      <w:r>
        <w:t xml:space="preserve">120 ha Vorranggebiete und rund 330 ha Vorbehaltsgebiete für die Windenergienutzung festgelegt. Dies entspricht rund 0,7 </w:t>
      </w:r>
      <w:r w:rsidR="00190CE9">
        <w:t>Prozent</w:t>
      </w:r>
      <w:r>
        <w:t xml:space="preserve"> der Regionsfläche. Die Üb</w:t>
      </w:r>
      <w:r w:rsidR="00ED34F0">
        <w:t>erarbeitung der regionalen Wind</w:t>
      </w:r>
      <w:r>
        <w:t>energiesteuerungskonzepte obliegt den Regionalen Planungsverbänden. Üb</w:t>
      </w:r>
      <w:r w:rsidR="00ED34F0">
        <w:t>erarbei</w:t>
      </w:r>
      <w:r>
        <w:t>tungen sind derzeit von den beiden Regionalen P</w:t>
      </w:r>
      <w:r w:rsidR="00ED34F0">
        <w:t>lanungsverbänden nicht beschlos</w:t>
      </w:r>
      <w:r>
        <w:t>sen. Aus Sicht der Staatsregierung sind Überarbeitungen ab dem Zeitpunkt sinnvoll, ab dem die sich derzeit auf Bundes- und Landesebene abzeichnenden Änderungen der Rahmenbedingungen bekannt und beschlossen sind.</w:t>
      </w:r>
    </w:p>
    <w:p w:rsidR="0034715F" w:rsidRDefault="0034715F" w:rsidP="0034715F">
      <w:pPr>
        <w:pStyle w:val="LTAntwortRessortText"/>
      </w:pPr>
      <w:r>
        <w:t>Die Bereitstellung von Staatswaldflächen für die Errichtung von Windkraftanlagen im Staatswald gehört zum operativen Geschäft der Staatsforsten (BaySF). Hierzu können die BaySF mit Projektentwicklern s</w:t>
      </w:r>
      <w:r w:rsidR="00ED34F0">
        <w:t>ogenannte Standortsicherungsver</w:t>
      </w:r>
      <w:r>
        <w:t>träge abschließen, sofern die entsprechende Sta</w:t>
      </w:r>
      <w:r w:rsidR="00ED34F0">
        <w:t>ndortkommune per Gemeinderatsbe</w:t>
      </w:r>
      <w:r>
        <w:t>schluss dem zustimmt. Wie die Staatsf</w:t>
      </w:r>
      <w:r w:rsidR="00ED34F0">
        <w:t>orsten mitteilen, besteht im Be</w:t>
      </w:r>
      <w:r>
        <w:t>reich des Forstbetriebs Bodenmais derzeit noch kein Standortsicherungsvertrag.</w:t>
      </w:r>
    </w:p>
    <w:p w:rsidR="0034715F" w:rsidRDefault="0034715F" w:rsidP="0034715F">
      <w:pPr>
        <w:pStyle w:val="LTAntwortRessortText"/>
      </w:pPr>
      <w:r>
        <w:t>Auch nach Abfrage bei der Immobilien Freistaat Bayern (IMBY) sind derzeit noch keine Pläne zur Nutzung von Windenergie auf staatlichen Flächen in Niederbayern bekannt.</w:t>
      </w:r>
    </w:p>
    <w:p w:rsidR="0034715F" w:rsidRDefault="0034715F">
      <w:bookmarkStart w:id="84" w:name="Frage_Nr_41_Ende"/>
      <w:bookmarkEnd w:id="84"/>
      <w:r>
        <w:br w:type="page"/>
      </w:r>
    </w:p>
    <w:p w:rsidR="0034715F" w:rsidRDefault="0034715F" w:rsidP="0034715F">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34715F" w:rsidTr="007B0B33">
        <w:tc>
          <w:tcPr>
            <w:tcW w:w="2050" w:type="dxa"/>
          </w:tcPr>
          <w:p w:rsidR="0034715F" w:rsidRDefault="0034715F" w:rsidP="0034715F">
            <w:pPr>
              <w:pStyle w:val="LTAnfrageInitiator"/>
            </w:pPr>
            <w:r>
              <w:t>Abgeordnete</w:t>
            </w:r>
            <w:r>
              <w:rPr>
                <w:b/>
              </w:rPr>
              <w:br/>
              <w:t>Anne</w:t>
            </w:r>
            <w:r>
              <w:rPr>
                <w:b/>
              </w:rPr>
              <w:br/>
              <w:t>Franke</w:t>
            </w:r>
            <w:r>
              <w:rPr>
                <w:b/>
              </w:rPr>
              <w:br/>
            </w:r>
            <w:r>
              <w:t>(BÜNDNIS 90/DIE GRÜNEN)</w:t>
            </w:r>
            <w:bookmarkStart w:id="85" w:name="Frage_Nr_42"/>
            <w:bookmarkEnd w:id="85"/>
          </w:p>
        </w:tc>
        <w:tc>
          <w:tcPr>
            <w:tcW w:w="7200" w:type="dxa"/>
          </w:tcPr>
          <w:p w:rsidR="0034715F" w:rsidRPr="00025FF8" w:rsidRDefault="00025FF8" w:rsidP="0034715F">
            <w:pPr>
              <w:pStyle w:val="LTAnfrageText"/>
            </w:pPr>
            <w:r w:rsidRPr="00025FF8">
              <w:rPr>
                <w:szCs w:val="24"/>
              </w:rPr>
              <w:t>Nachdem die Firma Strobl auf ihrem Gelände Frieding Nord seit 2011 unerlaubterweise einen Lagerplatz betreibt und bis heute nicht geklärt ist, ob und wie sich die Ablagerungen dort möglicherweise negativ auf den Boden ausgewirkt haben und es möglicherweise zu Verunreinigungen im Grundwasser kommt, frage ich die Staatsregierung, muss es gemäß der geltenden Rechtslage nach so langer Zeit unkontrollierter Nutzung nicht eine Untersuchung zur Klärung der Wassergefährdung geben und muss das Wasserwirtschaftsamt deshalb nicht eine entsprechende Untersuchung anordnen?</w:t>
            </w:r>
          </w:p>
        </w:tc>
      </w:tr>
    </w:tbl>
    <w:p w:rsidR="0034715F" w:rsidRDefault="0034715F" w:rsidP="0034715F">
      <w:pPr>
        <w:pStyle w:val="LTUeberschrAntwortRessort"/>
      </w:pPr>
      <w:r>
        <w:t>Antwort des Staatsministeriums für Umwelt und Verbraucherschutz</w:t>
      </w:r>
    </w:p>
    <w:p w:rsidR="0034715F" w:rsidRDefault="0034715F" w:rsidP="0034715F">
      <w:pPr>
        <w:pStyle w:val="LTAntwortRessortText"/>
      </w:pPr>
      <w:r>
        <w:t>Das Wasserwirtschaftsamt Weilheim ist Hinweisen zu einer Lagerung möglicherweise (Grund-) Wasser gefährdender Stoffe auf dem genannten Gelände nachgegangen. Bei einer Ortseinsicht der technischen Gewässeraufsicht war die Lagerung von Wurzelstöcken im Hinblick auf Sickerwasseraustritte zu beanstanden. Die Wurzelstöcke werden durch den Betreiber einer thermischen Verwertung zugeführt. Eine Prüfung alter Luftbilder hat ergeben, dass die Aufnahmen der Befliegung 2015 nur eine Wiese erkennen lassen. Bei der Befliegung 2018 waren Erdbewegungen erkennbar, die im Zusammenhang mit einer eventuellen Lagerung stehen könnten. Hieraus und auch auf Nachfrage bei dem Hinweisgeber konnten jedoch keine konkreten Anhaltspunkte für eine Lagerung wassergefährdender Stoffe abgeleitet werden, die Anlass für eine vorsorgende Untersuchung geben könnten.</w:t>
      </w:r>
    </w:p>
    <w:p w:rsidR="0034715F" w:rsidRDefault="0034715F">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34715F" w:rsidTr="007B0B33">
        <w:tc>
          <w:tcPr>
            <w:tcW w:w="2050" w:type="dxa"/>
          </w:tcPr>
          <w:p w:rsidR="0034715F" w:rsidRDefault="0034715F" w:rsidP="0034715F">
            <w:pPr>
              <w:pStyle w:val="LTAnfrageInitiator"/>
            </w:pPr>
            <w:r>
              <w:lastRenderedPageBreak/>
              <w:t>Abgeordneter</w:t>
            </w:r>
            <w:r>
              <w:rPr>
                <w:b/>
              </w:rPr>
              <w:br/>
              <w:t>Christian</w:t>
            </w:r>
            <w:r>
              <w:rPr>
                <w:b/>
              </w:rPr>
              <w:br/>
              <w:t>Hierneis</w:t>
            </w:r>
            <w:r>
              <w:rPr>
                <w:b/>
              </w:rPr>
              <w:br/>
            </w:r>
            <w:r>
              <w:t>(BÜNDNIS 90/DIE GRÜNEN)</w:t>
            </w:r>
            <w:bookmarkStart w:id="87" w:name="Frage_Nr_43"/>
            <w:bookmarkEnd w:id="87"/>
          </w:p>
        </w:tc>
        <w:tc>
          <w:tcPr>
            <w:tcW w:w="7200" w:type="dxa"/>
          </w:tcPr>
          <w:p w:rsidR="0034715F" w:rsidRPr="00025FF8" w:rsidRDefault="00025FF8" w:rsidP="0034715F">
            <w:pPr>
              <w:pStyle w:val="LTAnfrageText"/>
            </w:pPr>
            <w:r w:rsidRPr="00025FF8">
              <w:rPr>
                <w:szCs w:val="24"/>
              </w:rPr>
              <w:t>Ich frage die Staatsregierung, für welche konkreten Maßnahmen wurden im ersten Jahr nach der Verabschiedung des Konzepts „Klimaschutz durch Moorbodenschutz am Beispiel des Donaumooses“ Fördermittel bereitgestellt (bitte jeweils mit Nennung der Fördersumme, des Förderanteils pro geförderter Maßnahme sowie den Kriterien, nach denen die jeweilige Förderung erfolgte) und welche konkreten Maßnahmen werden durch das Konzept insgesamt gefördert (bitte alle Maßnahmen, die gefördert werden, aufzählen mit Nennung des/der jeweiligen Antragsbefugten sowie des jeweiligen Förderanteils)?</w:t>
            </w:r>
          </w:p>
        </w:tc>
      </w:tr>
    </w:tbl>
    <w:p w:rsidR="0034715F" w:rsidRDefault="0034715F" w:rsidP="0034715F">
      <w:pPr>
        <w:pStyle w:val="LTUeberschrAntwortRessort"/>
      </w:pPr>
      <w:r>
        <w:t>Antwort des Staatsministeriums für Umwelt und Verbraucherschutz</w:t>
      </w:r>
    </w:p>
    <w:p w:rsidR="0034715F" w:rsidRDefault="0034715F" w:rsidP="0034715F">
      <w:pPr>
        <w:pStyle w:val="LTAntwortRessortText"/>
      </w:pPr>
      <w:r>
        <w:t>Die Aufstellung der Fördermittel für das Donaumoos ist auf das Haushaltsjahr 2021 beschränkt, da eine Auswertung des laufenden Haushaltsjahres aufgrund der Kurzfristigkeit der Anfrage nicht möglich war. Ebenso war es nicht möglich, die Daten im gewünschten Detaillierungsgrad bereit zu stellen, da dies mit einem erheblichen Rechercheaufwand verbunden gewesen wäre.</w:t>
      </w:r>
    </w:p>
    <w:p w:rsidR="0034715F" w:rsidRDefault="0034715F" w:rsidP="00D95717">
      <w:pPr>
        <w:pStyle w:val="LTAntwortRessortText"/>
      </w:pPr>
      <w:r>
        <w:t xml:space="preserve">Die nachfolgende Tabelle zeigt die von Seiten des </w:t>
      </w:r>
      <w:r w:rsidR="00BF430A">
        <w:t>Staatsministeriums für Umwelt und Verbraucherschutz</w:t>
      </w:r>
      <w:r>
        <w:t xml:space="preserve"> für das Donaumoos im </w:t>
      </w:r>
      <w:r w:rsidR="00D95717">
        <w:t>Jahr 2021 aufgewendeten Mittel:</w:t>
      </w:r>
    </w:p>
    <w:p w:rsidR="00D95717" w:rsidRDefault="00D95717" w:rsidP="00D95717">
      <w:pPr>
        <w:pStyle w:val="LTAntwortRessortText"/>
        <w:spacing w:before="30"/>
      </w:pPr>
    </w:p>
    <w:tbl>
      <w:tblPr>
        <w:tblStyle w:val="TableNormal"/>
        <w:tblW w:w="6248" w:type="dxa"/>
        <w:tblInd w:w="691"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Look w:val="01E0" w:firstRow="1" w:lastRow="1" w:firstColumn="1" w:lastColumn="1" w:noHBand="0" w:noVBand="0"/>
      </w:tblPr>
      <w:tblGrid>
        <w:gridCol w:w="4547"/>
        <w:gridCol w:w="1701"/>
      </w:tblGrid>
      <w:tr w:rsidR="003714FB" w:rsidRPr="00BF430A" w:rsidTr="00D95717">
        <w:trPr>
          <w:trHeight w:val="380"/>
        </w:trPr>
        <w:tc>
          <w:tcPr>
            <w:tcW w:w="4547" w:type="dxa"/>
            <w:vAlign w:val="center"/>
          </w:tcPr>
          <w:p w:rsidR="003714FB" w:rsidRPr="00BF430A" w:rsidRDefault="003714FB" w:rsidP="00BF430A">
            <w:pPr>
              <w:pStyle w:val="TableParagraph"/>
              <w:spacing w:line="253" w:lineRule="exact"/>
              <w:rPr>
                <w:rFonts w:ascii="Arial" w:hAnsi="Arial" w:cs="Arial"/>
                <w:sz w:val="18"/>
              </w:rPr>
            </w:pPr>
            <w:r w:rsidRPr="00BF430A">
              <w:rPr>
                <w:rFonts w:ascii="Arial" w:hAnsi="Arial" w:cs="Arial"/>
                <w:sz w:val="18"/>
              </w:rPr>
              <w:t>Personal Umsetzungseinheit</w:t>
            </w:r>
          </w:p>
        </w:tc>
        <w:tc>
          <w:tcPr>
            <w:tcW w:w="1701" w:type="dxa"/>
            <w:vAlign w:val="center"/>
          </w:tcPr>
          <w:p w:rsidR="003714FB" w:rsidRPr="00BF430A" w:rsidRDefault="003714FB" w:rsidP="00BF430A">
            <w:pPr>
              <w:pStyle w:val="TableParagraph"/>
              <w:spacing w:line="253" w:lineRule="exact"/>
              <w:jc w:val="center"/>
              <w:rPr>
                <w:rFonts w:ascii="Arial" w:hAnsi="Arial" w:cs="Arial"/>
                <w:sz w:val="18"/>
              </w:rPr>
            </w:pPr>
            <w:r w:rsidRPr="00BF430A">
              <w:rPr>
                <w:rFonts w:ascii="Arial" w:hAnsi="Arial" w:cs="Arial"/>
                <w:sz w:val="18"/>
              </w:rPr>
              <w:t xml:space="preserve">33.744,27 </w:t>
            </w:r>
            <w:r w:rsidR="00190CE9" w:rsidRPr="00BF430A">
              <w:rPr>
                <w:rFonts w:ascii="Arial" w:hAnsi="Arial" w:cs="Arial"/>
                <w:sz w:val="18"/>
              </w:rPr>
              <w:t>Euro</w:t>
            </w:r>
          </w:p>
        </w:tc>
      </w:tr>
      <w:tr w:rsidR="003714FB" w:rsidRPr="00BF430A" w:rsidTr="00D95717">
        <w:trPr>
          <w:trHeight w:val="592"/>
        </w:trPr>
        <w:tc>
          <w:tcPr>
            <w:tcW w:w="4547" w:type="dxa"/>
            <w:shd w:val="clear" w:color="auto" w:fill="F1F1F1"/>
            <w:vAlign w:val="center"/>
          </w:tcPr>
          <w:p w:rsidR="003714FB" w:rsidRPr="00BF430A" w:rsidRDefault="003714FB" w:rsidP="00D95717">
            <w:pPr>
              <w:pStyle w:val="TableParagraph"/>
              <w:rPr>
                <w:rFonts w:ascii="Arial" w:hAnsi="Arial" w:cs="Arial"/>
                <w:sz w:val="18"/>
              </w:rPr>
            </w:pPr>
            <w:r w:rsidRPr="00BF430A">
              <w:rPr>
                <w:rFonts w:ascii="Arial" w:hAnsi="Arial" w:cs="Arial"/>
                <w:sz w:val="18"/>
              </w:rPr>
              <w:t>Förderung Personal Donaumoos Zweckverband durch Narturschutzfonds</w:t>
            </w:r>
          </w:p>
        </w:tc>
        <w:tc>
          <w:tcPr>
            <w:tcW w:w="1701" w:type="dxa"/>
            <w:shd w:val="clear" w:color="auto" w:fill="F1F1F1"/>
            <w:vAlign w:val="center"/>
          </w:tcPr>
          <w:p w:rsidR="003714FB" w:rsidRPr="00BF430A" w:rsidRDefault="003714FB" w:rsidP="00BF430A">
            <w:pPr>
              <w:pStyle w:val="TableParagraph"/>
              <w:jc w:val="center"/>
              <w:rPr>
                <w:rFonts w:ascii="Arial" w:hAnsi="Arial" w:cs="Arial"/>
                <w:sz w:val="18"/>
              </w:rPr>
            </w:pPr>
            <w:r w:rsidRPr="00BF430A">
              <w:rPr>
                <w:rFonts w:ascii="Arial" w:hAnsi="Arial" w:cs="Arial"/>
                <w:sz w:val="18"/>
              </w:rPr>
              <w:t xml:space="preserve">748.800,00 </w:t>
            </w:r>
            <w:r w:rsidR="00190CE9" w:rsidRPr="00BF430A">
              <w:rPr>
                <w:rFonts w:ascii="Arial" w:hAnsi="Arial" w:cs="Arial"/>
                <w:sz w:val="18"/>
              </w:rPr>
              <w:t>Euro</w:t>
            </w:r>
          </w:p>
        </w:tc>
      </w:tr>
      <w:tr w:rsidR="003714FB" w:rsidRPr="00BF430A" w:rsidTr="00D95717">
        <w:trPr>
          <w:trHeight w:val="558"/>
        </w:trPr>
        <w:tc>
          <w:tcPr>
            <w:tcW w:w="4547" w:type="dxa"/>
            <w:vAlign w:val="center"/>
          </w:tcPr>
          <w:p w:rsidR="003714FB" w:rsidRPr="00BF430A" w:rsidRDefault="003714FB" w:rsidP="00D95717">
            <w:pPr>
              <w:pStyle w:val="TableParagraph"/>
              <w:spacing w:line="253" w:lineRule="exact"/>
              <w:rPr>
                <w:rFonts w:ascii="Arial" w:hAnsi="Arial" w:cs="Arial"/>
                <w:sz w:val="18"/>
              </w:rPr>
            </w:pPr>
            <w:r w:rsidRPr="00BF430A">
              <w:rPr>
                <w:rFonts w:ascii="Arial" w:hAnsi="Arial" w:cs="Arial"/>
                <w:sz w:val="18"/>
              </w:rPr>
              <w:t>Förderung Grunderwerb Donaumoos Zweckverband durch Narturschutzfonds</w:t>
            </w:r>
          </w:p>
        </w:tc>
        <w:tc>
          <w:tcPr>
            <w:tcW w:w="1701" w:type="dxa"/>
            <w:vAlign w:val="center"/>
          </w:tcPr>
          <w:p w:rsidR="003714FB" w:rsidRPr="00BF430A" w:rsidRDefault="003714FB" w:rsidP="00BF430A">
            <w:pPr>
              <w:pStyle w:val="TableParagraph"/>
              <w:spacing w:line="253" w:lineRule="exact"/>
              <w:jc w:val="center"/>
              <w:rPr>
                <w:rFonts w:ascii="Arial" w:hAnsi="Arial" w:cs="Arial"/>
                <w:sz w:val="18"/>
              </w:rPr>
            </w:pPr>
            <w:r w:rsidRPr="00BF430A">
              <w:rPr>
                <w:rFonts w:ascii="Arial" w:hAnsi="Arial" w:cs="Arial"/>
                <w:sz w:val="18"/>
              </w:rPr>
              <w:t xml:space="preserve">1.469.320,74 </w:t>
            </w:r>
            <w:r w:rsidR="00190CE9" w:rsidRPr="00BF430A">
              <w:rPr>
                <w:rFonts w:ascii="Arial" w:hAnsi="Arial" w:cs="Arial"/>
                <w:sz w:val="18"/>
              </w:rPr>
              <w:t>Euro</w:t>
            </w:r>
          </w:p>
        </w:tc>
      </w:tr>
      <w:tr w:rsidR="003714FB" w:rsidRPr="00BF430A" w:rsidTr="00D95717">
        <w:trPr>
          <w:trHeight w:val="680"/>
        </w:trPr>
        <w:tc>
          <w:tcPr>
            <w:tcW w:w="4547" w:type="dxa"/>
            <w:shd w:val="clear" w:color="auto" w:fill="F1F1F1"/>
            <w:vAlign w:val="center"/>
          </w:tcPr>
          <w:p w:rsidR="003714FB" w:rsidRPr="00BF430A" w:rsidRDefault="003714FB" w:rsidP="004324B4">
            <w:pPr>
              <w:pStyle w:val="TableParagraph"/>
              <w:rPr>
                <w:rFonts w:ascii="Arial" w:hAnsi="Arial" w:cs="Arial"/>
                <w:sz w:val="18"/>
              </w:rPr>
            </w:pPr>
            <w:r w:rsidRPr="00BF430A">
              <w:rPr>
                <w:rFonts w:ascii="Arial" w:hAnsi="Arial" w:cs="Arial"/>
                <w:sz w:val="18"/>
              </w:rPr>
              <w:t xml:space="preserve">Förderung Grunderwerb </w:t>
            </w:r>
            <w:r w:rsidR="004324B4">
              <w:rPr>
                <w:rFonts w:ascii="Arial" w:hAnsi="Arial" w:cs="Arial"/>
                <w:sz w:val="18"/>
              </w:rPr>
              <w:t>Landkreis Neuburg-Schrobenhausen</w:t>
            </w:r>
            <w:r w:rsidRPr="00BF430A">
              <w:rPr>
                <w:rFonts w:ascii="Arial" w:hAnsi="Arial" w:cs="Arial"/>
                <w:sz w:val="18"/>
              </w:rPr>
              <w:t xml:space="preserve"> durch Naturschutzfonds</w:t>
            </w:r>
          </w:p>
        </w:tc>
        <w:tc>
          <w:tcPr>
            <w:tcW w:w="1701" w:type="dxa"/>
            <w:shd w:val="clear" w:color="auto" w:fill="F1F1F1"/>
            <w:vAlign w:val="center"/>
          </w:tcPr>
          <w:p w:rsidR="003714FB" w:rsidRPr="00BF430A" w:rsidRDefault="003714FB" w:rsidP="00BF430A">
            <w:pPr>
              <w:pStyle w:val="TableParagraph"/>
              <w:jc w:val="center"/>
              <w:rPr>
                <w:rFonts w:ascii="Arial" w:hAnsi="Arial" w:cs="Arial"/>
                <w:sz w:val="18"/>
              </w:rPr>
            </w:pPr>
            <w:r w:rsidRPr="00BF430A">
              <w:rPr>
                <w:rFonts w:ascii="Arial" w:hAnsi="Arial" w:cs="Arial"/>
                <w:sz w:val="18"/>
              </w:rPr>
              <w:t xml:space="preserve">84.252,42 </w:t>
            </w:r>
            <w:r w:rsidR="00190CE9" w:rsidRPr="00BF430A">
              <w:rPr>
                <w:rFonts w:ascii="Arial" w:hAnsi="Arial" w:cs="Arial"/>
                <w:sz w:val="18"/>
              </w:rPr>
              <w:t>Euro</w:t>
            </w:r>
          </w:p>
        </w:tc>
      </w:tr>
      <w:tr w:rsidR="003714FB" w:rsidRPr="00BF430A" w:rsidTr="00D95717">
        <w:trPr>
          <w:trHeight w:val="757"/>
        </w:trPr>
        <w:tc>
          <w:tcPr>
            <w:tcW w:w="4547" w:type="dxa"/>
            <w:vAlign w:val="center"/>
          </w:tcPr>
          <w:p w:rsidR="003714FB" w:rsidRPr="00BF430A" w:rsidRDefault="003714FB" w:rsidP="00D95717">
            <w:pPr>
              <w:pStyle w:val="TableParagraph"/>
              <w:rPr>
                <w:rFonts w:ascii="Arial" w:hAnsi="Arial" w:cs="Arial"/>
                <w:sz w:val="18"/>
              </w:rPr>
            </w:pPr>
            <w:r w:rsidRPr="00BF430A">
              <w:rPr>
                <w:rFonts w:ascii="Arial" w:hAnsi="Arial" w:cs="Arial"/>
                <w:sz w:val="18"/>
              </w:rPr>
              <w:t>Maßnahmen aus dem Vertragsnaturschutzprogramm zur</w:t>
            </w:r>
            <w:r w:rsidR="00D95717">
              <w:rPr>
                <w:rFonts w:ascii="Arial" w:hAnsi="Arial" w:cs="Arial"/>
                <w:sz w:val="18"/>
              </w:rPr>
              <w:t xml:space="preserve"> </w:t>
            </w:r>
            <w:r w:rsidRPr="00BF430A">
              <w:rPr>
                <w:rFonts w:ascii="Arial" w:hAnsi="Arial" w:cs="Arial"/>
                <w:sz w:val="18"/>
              </w:rPr>
              <w:t>moorschonenden Bewirtschaftung der Flächen</w:t>
            </w:r>
          </w:p>
        </w:tc>
        <w:tc>
          <w:tcPr>
            <w:tcW w:w="1701" w:type="dxa"/>
            <w:vAlign w:val="center"/>
          </w:tcPr>
          <w:p w:rsidR="003714FB" w:rsidRPr="00BF430A" w:rsidRDefault="003714FB" w:rsidP="00BF430A">
            <w:pPr>
              <w:pStyle w:val="TableParagraph"/>
              <w:jc w:val="center"/>
              <w:rPr>
                <w:rFonts w:ascii="Arial" w:hAnsi="Arial" w:cs="Arial"/>
                <w:sz w:val="18"/>
              </w:rPr>
            </w:pPr>
            <w:r w:rsidRPr="00BF430A">
              <w:rPr>
                <w:rFonts w:ascii="Arial" w:hAnsi="Arial" w:cs="Arial"/>
                <w:sz w:val="18"/>
              </w:rPr>
              <w:t xml:space="preserve">700.682,95 </w:t>
            </w:r>
            <w:r w:rsidR="00190CE9" w:rsidRPr="00BF430A">
              <w:rPr>
                <w:rFonts w:ascii="Arial" w:hAnsi="Arial" w:cs="Arial"/>
                <w:sz w:val="18"/>
              </w:rPr>
              <w:t>Euro</w:t>
            </w:r>
          </w:p>
        </w:tc>
      </w:tr>
      <w:tr w:rsidR="003714FB" w:rsidRPr="00BF430A" w:rsidTr="00D95717">
        <w:trPr>
          <w:trHeight w:val="760"/>
        </w:trPr>
        <w:tc>
          <w:tcPr>
            <w:tcW w:w="4547" w:type="dxa"/>
            <w:shd w:val="clear" w:color="auto" w:fill="F1F1F1"/>
            <w:vAlign w:val="center"/>
          </w:tcPr>
          <w:p w:rsidR="003714FB" w:rsidRPr="00BF430A" w:rsidRDefault="003714FB" w:rsidP="00D95717">
            <w:pPr>
              <w:pStyle w:val="TableParagraph"/>
              <w:rPr>
                <w:rFonts w:ascii="Arial" w:hAnsi="Arial" w:cs="Arial"/>
                <w:sz w:val="18"/>
              </w:rPr>
            </w:pPr>
            <w:r w:rsidRPr="00BF430A">
              <w:rPr>
                <w:rFonts w:ascii="Arial" w:hAnsi="Arial" w:cs="Arial"/>
                <w:sz w:val="18"/>
              </w:rPr>
              <w:t>Förderung über die Naturpark- und Landschaftspflegerichtlinien für</w:t>
            </w:r>
            <w:r w:rsidR="00D95717">
              <w:rPr>
                <w:rFonts w:ascii="Arial" w:hAnsi="Arial" w:cs="Arial"/>
                <w:sz w:val="18"/>
              </w:rPr>
              <w:t xml:space="preserve"> </w:t>
            </w:r>
            <w:r w:rsidRPr="00BF430A">
              <w:rPr>
                <w:rFonts w:ascii="Arial" w:hAnsi="Arial" w:cs="Arial"/>
                <w:sz w:val="18"/>
              </w:rPr>
              <w:t>Maßnahmen im Donaumoos</w:t>
            </w:r>
          </w:p>
        </w:tc>
        <w:tc>
          <w:tcPr>
            <w:tcW w:w="1701" w:type="dxa"/>
            <w:shd w:val="clear" w:color="auto" w:fill="F1F1F1"/>
            <w:vAlign w:val="center"/>
          </w:tcPr>
          <w:p w:rsidR="003714FB" w:rsidRPr="00BF430A" w:rsidRDefault="003714FB" w:rsidP="00BF430A">
            <w:pPr>
              <w:pStyle w:val="TableParagraph"/>
              <w:jc w:val="center"/>
              <w:rPr>
                <w:rFonts w:ascii="Arial" w:hAnsi="Arial" w:cs="Arial"/>
                <w:sz w:val="18"/>
              </w:rPr>
            </w:pPr>
            <w:r w:rsidRPr="00BF430A">
              <w:rPr>
                <w:rFonts w:ascii="Arial" w:hAnsi="Arial" w:cs="Arial"/>
                <w:sz w:val="18"/>
              </w:rPr>
              <w:t>65.514,62</w:t>
            </w:r>
          </w:p>
        </w:tc>
      </w:tr>
      <w:tr w:rsidR="003714FB" w:rsidRPr="00BF430A" w:rsidTr="00D95717">
        <w:trPr>
          <w:trHeight w:val="380"/>
        </w:trPr>
        <w:tc>
          <w:tcPr>
            <w:tcW w:w="4547" w:type="dxa"/>
            <w:shd w:val="clear" w:color="auto" w:fill="F1F1F1"/>
            <w:vAlign w:val="center"/>
          </w:tcPr>
          <w:p w:rsidR="003714FB" w:rsidRPr="00BF430A" w:rsidRDefault="003714FB" w:rsidP="00BF430A">
            <w:pPr>
              <w:pStyle w:val="TableParagraph"/>
              <w:spacing w:line="248" w:lineRule="exact"/>
              <w:rPr>
                <w:rFonts w:ascii="Arial" w:hAnsi="Arial" w:cs="Arial"/>
                <w:b/>
                <w:sz w:val="18"/>
              </w:rPr>
            </w:pPr>
            <w:r w:rsidRPr="00BF430A">
              <w:rPr>
                <w:rFonts w:ascii="Arial" w:hAnsi="Arial" w:cs="Arial"/>
                <w:b/>
                <w:sz w:val="18"/>
              </w:rPr>
              <w:t>Summe</w:t>
            </w:r>
          </w:p>
        </w:tc>
        <w:tc>
          <w:tcPr>
            <w:tcW w:w="1701" w:type="dxa"/>
            <w:shd w:val="clear" w:color="auto" w:fill="F1F1F1"/>
            <w:vAlign w:val="center"/>
          </w:tcPr>
          <w:p w:rsidR="003714FB" w:rsidRPr="00BF430A" w:rsidRDefault="003714FB" w:rsidP="00BF430A">
            <w:pPr>
              <w:pStyle w:val="TableParagraph"/>
              <w:jc w:val="center"/>
              <w:rPr>
                <w:rFonts w:ascii="Arial" w:hAnsi="Arial" w:cs="Arial"/>
                <w:sz w:val="18"/>
              </w:rPr>
            </w:pPr>
            <w:r w:rsidRPr="00BF430A">
              <w:rPr>
                <w:rFonts w:ascii="Arial" w:hAnsi="Arial" w:cs="Arial"/>
                <w:sz w:val="18"/>
              </w:rPr>
              <w:t xml:space="preserve">3.102.315,00 </w:t>
            </w:r>
            <w:r w:rsidR="00190CE9" w:rsidRPr="00BF430A">
              <w:rPr>
                <w:rFonts w:ascii="Arial" w:hAnsi="Arial" w:cs="Arial"/>
                <w:sz w:val="18"/>
              </w:rPr>
              <w:t>Euro</w:t>
            </w:r>
          </w:p>
        </w:tc>
      </w:tr>
    </w:tbl>
    <w:p w:rsidR="0034715F" w:rsidRDefault="0034715F" w:rsidP="0034715F">
      <w:pPr>
        <w:pStyle w:val="LTAntwortRessortText"/>
      </w:pPr>
      <w:r>
        <w:t xml:space="preserve">Zudem hat das </w:t>
      </w:r>
      <w:r w:rsidR="002E3453">
        <w:t>Staatsministerium für Ernährung, Landwirtschaft und Forsten</w:t>
      </w:r>
      <w:r>
        <w:t xml:space="preserve"> folgende Mittel eingesetzt: Im Kulturlandschaftsprogramm KULAP fördert Bayern die Anwendung besonders nachhaltiger und standortangepasster Verfahren der Bewirtschaftung, die mit einer Verbesserung des Schutzes der Umwelt im Hinblick auf den Gewässer-, Erosions- und Klimaschutz ei</w:t>
      </w:r>
      <w:r w:rsidR="002E3453">
        <w:t>nhergehen. In der Maßnahme B29 –</w:t>
      </w:r>
      <w:r>
        <w:t xml:space="preserve"> Umwandlung von Acker in Grünland entlang von Gewässern und in sonstigen sensiblen Gebieten findet dies innerhalb der Gebietskulisse </w:t>
      </w:r>
      <w:r w:rsidR="00190CE9">
        <w:t>„</w:t>
      </w:r>
      <w:r>
        <w:t>Moore</w:t>
      </w:r>
      <w:r w:rsidR="00190CE9">
        <w:t>“</w:t>
      </w:r>
      <w:r>
        <w:t xml:space="preserve"> statt. Im Donau</w:t>
      </w:r>
      <w:r>
        <w:lastRenderedPageBreak/>
        <w:t xml:space="preserve">moos standen hier im Jahr 2020 insgesamt 207,83 ha mit einer Gesamtfördersumme von knapp 120.000 </w:t>
      </w:r>
      <w:r w:rsidR="00190CE9">
        <w:t>Euro</w:t>
      </w:r>
      <w:r>
        <w:t xml:space="preserve"> unter Vertrag. Eine Auswertung für das Jahr 2021 war kurzfristig nicht möglich. Diese Maßnahme wird grundsätzlich (mit Ausnahme der aktuellen Übergangsperiode) als fünfjährige Verpflichtung angeboten, aktuell bestehen laufende Verpflichtungen noch bis zum Ende des Jahres 2024.</w:t>
      </w:r>
    </w:p>
    <w:p w:rsidR="0034715F" w:rsidRDefault="0034715F" w:rsidP="0034715F">
      <w:pPr>
        <w:pStyle w:val="LTAntwortRessortText"/>
      </w:pPr>
      <w:r>
        <w:t xml:space="preserve">Im Rahmen eines Moorbewirtschaftungsprojekts der </w:t>
      </w:r>
      <w:r w:rsidR="002E3453">
        <w:t>Landesanstalt für Landwirtschaft (</w:t>
      </w:r>
      <w:r>
        <w:t>LfL</w:t>
      </w:r>
      <w:r w:rsidR="002E3453">
        <w:t>)</w:t>
      </w:r>
      <w:r>
        <w:t xml:space="preserve"> wurden Investitionsmittel für Treibhausgasmessungen im Donaumoos in Höhe von ca. 50.000 Euro und anteilige Persona</w:t>
      </w:r>
      <w:r w:rsidR="002E3453">
        <w:t>lmittel in Höhe von nochmal ca. </w:t>
      </w:r>
      <w:r>
        <w:t>15.000 Euro gebunden.</w:t>
      </w:r>
    </w:p>
    <w:p w:rsidR="0034715F" w:rsidRDefault="0034715F" w:rsidP="0034715F">
      <w:pPr>
        <w:pStyle w:val="LTAntwortRessortText"/>
      </w:pPr>
      <w:r>
        <w:t>Als Kriterien für die Förderung wurden die einschlägigen Richtlinien der Förderprogramme und Richtlinien angewendet, sowie beim Naturschutzfonds die entsprechenden vorliegenden Beschlüsse zur Unterstützung des Donaumooses.</w:t>
      </w:r>
    </w:p>
    <w:p w:rsidR="0034715F" w:rsidRDefault="0034715F">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34715F" w:rsidTr="007B0B33">
        <w:tc>
          <w:tcPr>
            <w:tcW w:w="2050" w:type="dxa"/>
          </w:tcPr>
          <w:p w:rsidR="0034715F" w:rsidRDefault="0034715F" w:rsidP="0034715F">
            <w:pPr>
              <w:pStyle w:val="LTAnfrageInitiator"/>
            </w:pPr>
            <w:r>
              <w:lastRenderedPageBreak/>
              <w:t>Abgeordneter</w:t>
            </w:r>
            <w:r>
              <w:rPr>
                <w:b/>
              </w:rPr>
              <w:br/>
              <w:t>Christian</w:t>
            </w:r>
            <w:r>
              <w:rPr>
                <w:b/>
              </w:rPr>
              <w:br/>
              <w:t>Klingen</w:t>
            </w:r>
            <w:r>
              <w:rPr>
                <w:b/>
              </w:rPr>
              <w:br/>
            </w:r>
            <w:r>
              <w:t>(Fraktionslos)</w:t>
            </w:r>
            <w:bookmarkStart w:id="89" w:name="Frage_Nr_44"/>
            <w:bookmarkEnd w:id="89"/>
          </w:p>
        </w:tc>
        <w:tc>
          <w:tcPr>
            <w:tcW w:w="7200" w:type="dxa"/>
          </w:tcPr>
          <w:p w:rsidR="0034715F" w:rsidRPr="004B1144" w:rsidRDefault="004B1144" w:rsidP="004324B4">
            <w:pPr>
              <w:pStyle w:val="LTAnfrageText"/>
            </w:pPr>
            <w:r w:rsidRPr="004B1144">
              <w:rPr>
                <w:szCs w:val="24"/>
              </w:rPr>
              <w:t>Ich frage die Staatsregierung, wie konnte ein marokkanischer Fahrer am 11.04.2022 auf der A3 mit einem Mercedes-Sprinter, der laut Polizeiangaben ca. 600 kg Gammelfleisch enthielt, das zu Hackfleisch verarbeitet werden sollte, unbemerkt Gammelfleisch bis zum Aufgreifen durch die Polizei transportieren, wie hoch ist die Kontrolldichte und das Aufgreifen von Fahrern mit „Gammelfleisch“ oder ähnlichen Vorfällen und welche Konsequenzen oder Probleme würde Hackfleisch aus Gammelfleisch verursachen?</w:t>
            </w:r>
          </w:p>
        </w:tc>
      </w:tr>
    </w:tbl>
    <w:p w:rsidR="0034715F" w:rsidRDefault="0034715F" w:rsidP="0034715F">
      <w:pPr>
        <w:pStyle w:val="LTUeberschrAntwortRessort"/>
      </w:pPr>
      <w:r>
        <w:t>Antwort des Staatsministeriums für Umwelt und Verbraucherschutz</w:t>
      </w:r>
    </w:p>
    <w:p w:rsidR="0034715F" w:rsidRDefault="0034715F" w:rsidP="0034715F">
      <w:pPr>
        <w:pStyle w:val="LTAntwortRessortText"/>
      </w:pPr>
      <w:r>
        <w:t>Zum Verzehr ungeeignete Ware als Lebensmittel in Verkehr bringen zu wollen, ist kriminelles Handeln. Lebensmittelunternehmer dürfen auch keine offensichtlich zum Verzehr ungeeignete Lebensmittel zur weiteren Verarbeitung annehmen.</w:t>
      </w:r>
    </w:p>
    <w:p w:rsidR="0034715F" w:rsidRDefault="0034715F" w:rsidP="0034715F">
      <w:pPr>
        <w:pStyle w:val="LTAntwortRessortText"/>
      </w:pPr>
      <w:r>
        <w:t xml:space="preserve">Das </w:t>
      </w:r>
      <w:r w:rsidR="00163299">
        <w:t xml:space="preserve">Staatsministerium des Innern, für Sport und </w:t>
      </w:r>
      <w:r>
        <w:t>Integration teilt mit, dass die Polizei Kontrollen im Straßenverkehr nach verschiedenen Rechtsvorschriften durchführt. Schwerpunkt bilden zum einen allge</w:t>
      </w:r>
      <w:r w:rsidR="00163299">
        <w:t>meine Verkehrskontrollen nach § 36 Abs. </w:t>
      </w:r>
      <w:r>
        <w:t xml:space="preserve">5 Satz 1 der </w:t>
      </w:r>
      <w:r w:rsidR="00163299">
        <w:t>Straßenverkehrs-Ordnung (</w:t>
      </w:r>
      <w:r>
        <w:t>StVO</w:t>
      </w:r>
      <w:r w:rsidR="00163299">
        <w:t>)</w:t>
      </w:r>
      <w:r>
        <w:t xml:space="preserve">, die der Verkehrssicherheit dienen. Dabei </w:t>
      </w:r>
      <w:r w:rsidR="00163299">
        <w:t>werden</w:t>
      </w:r>
      <w:r>
        <w:t xml:space="preserve"> die Fahrtauglichkeit des Fahrzeugführers, mitzuführende Papiere als auch der Zustand und die Ausrüstung eines Fahrzeuges geprüft. Zudem unterstützt die Bayerische Polizei die Bundespolizei auf Anforderung oder mit Zustimmung bei Grenzkontrollen an der deutsch-österreichischen Grenze. Unabhängig davon werden zur Bekämpfung der grenzüberschreitenden Kriminalität Kontrollen im Rahmen der Schleierfahndung durchgeführt.</w:t>
      </w:r>
    </w:p>
    <w:p w:rsidR="0034715F" w:rsidRDefault="0034715F" w:rsidP="0034715F">
      <w:pPr>
        <w:pStyle w:val="LTAntwortRessortText"/>
      </w:pPr>
      <w:r>
        <w:t xml:space="preserve">Im Rahmen dieser Kontrollen können </w:t>
      </w:r>
      <w:r w:rsidR="00190CE9">
        <w:t>u. a.</w:t>
      </w:r>
      <w:r>
        <w:t xml:space="preserve"> auch die Ladungssicherung bzw. die Ladung selbst kontrolliert werden. In diesem Zusammenhang </w:t>
      </w:r>
      <w:r w:rsidR="00163299">
        <w:t>bekanntwerdende</w:t>
      </w:r>
      <w:r>
        <w:t xml:space="preserve"> Verstöße im Hinblick auf sogenanntes Gammelfleisch führen zur Einleitung entsprechender Straf- und/oder Ordnungswidrigkeitenverfahren. Damit verbunden erfolgt eine Information der zuständigen Aufsichtsbehörden. Rückt anhand bestehender Lageerkenntnisse oder Hinweisen der Transport von sogenanntem Gammelfleisch in den polizeilichen Focus, können auch gezielte Schwerpunktkontrollen durchgeführt werden. Statistische Werte können in der Kürze der Zeit jedoch nicht zugeliefert werden.</w:t>
      </w:r>
    </w:p>
    <w:p w:rsidR="0034715F" w:rsidRDefault="0034715F" w:rsidP="0034715F">
      <w:pPr>
        <w:pStyle w:val="LTAntwortRessortText"/>
      </w:pPr>
      <w:r>
        <w:t xml:space="preserve">Der Begriff </w:t>
      </w:r>
      <w:r w:rsidR="00190CE9">
        <w:t>„</w:t>
      </w:r>
      <w:r>
        <w:t>Gammelfleisch</w:t>
      </w:r>
      <w:r w:rsidR="00190CE9">
        <w:t>“</w:t>
      </w:r>
      <w:r>
        <w:t xml:space="preserve"> ist nicht definiert. Die Frage, welche Konsequenzen oder Probleme Hackfleisch aus </w:t>
      </w:r>
      <w:r w:rsidR="00190CE9">
        <w:t>„</w:t>
      </w:r>
      <w:r>
        <w:t>Gammelfleisch</w:t>
      </w:r>
      <w:r w:rsidR="00190CE9">
        <w:t>“</w:t>
      </w:r>
      <w:r>
        <w:t xml:space="preserve"> verursachen würde, kann deshalb nicht pauschal beantwortet werden. Nicht zum Verzehr geeignetes Fleisch darf nicht mehr als Lebensmittel verwendet werden, unabhängig davon, welche Probleme es vielleicht verursachen könnte</w:t>
      </w:r>
      <w:r w:rsidR="00163299">
        <w:t>.</w:t>
      </w:r>
    </w:p>
    <w:p w:rsidR="0034715F" w:rsidRDefault="0034715F">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34715F" w:rsidTr="007B0B33">
        <w:tc>
          <w:tcPr>
            <w:tcW w:w="2050" w:type="dxa"/>
          </w:tcPr>
          <w:p w:rsidR="0034715F" w:rsidRDefault="0034715F" w:rsidP="0034715F">
            <w:pPr>
              <w:pStyle w:val="LTAnfrageInitiator"/>
            </w:pPr>
            <w:r>
              <w:lastRenderedPageBreak/>
              <w:t>Abgeordnete</w:t>
            </w:r>
            <w:r>
              <w:rPr>
                <w:b/>
              </w:rPr>
              <w:br/>
              <w:t>Ruth</w:t>
            </w:r>
            <w:r>
              <w:rPr>
                <w:b/>
              </w:rPr>
              <w:br/>
              <w:t>Müller</w:t>
            </w:r>
            <w:r>
              <w:rPr>
                <w:b/>
              </w:rPr>
              <w:br/>
            </w:r>
            <w:r>
              <w:t>(SPD)</w:t>
            </w:r>
            <w:bookmarkStart w:id="91" w:name="Frage_Nr_45"/>
            <w:bookmarkEnd w:id="91"/>
          </w:p>
        </w:tc>
        <w:tc>
          <w:tcPr>
            <w:tcW w:w="7200" w:type="dxa"/>
          </w:tcPr>
          <w:p w:rsidR="0034715F" w:rsidRPr="004B1144" w:rsidRDefault="004B1144" w:rsidP="0034715F">
            <w:pPr>
              <w:pStyle w:val="LTAnfrageText"/>
            </w:pPr>
            <w:r w:rsidRPr="004B1144">
              <w:rPr>
                <w:szCs w:val="24"/>
              </w:rPr>
              <w:t>Ich frage die Staatsregierung, da trotz der Verankerung der Biodiversitätsberatung im Naturschutzgesetz nach wie vor nicht jeder Landkreis über eine entsprechende Stellenausstattung verfügt, welche Pläne es gibt, alle Landratsämter mit den entsprechenden Stellen auszustatten und bis wann diese umgesetzt werden sollen?</w:t>
            </w:r>
          </w:p>
        </w:tc>
      </w:tr>
    </w:tbl>
    <w:p w:rsidR="0034715F" w:rsidRDefault="0034715F" w:rsidP="0034715F">
      <w:pPr>
        <w:pStyle w:val="LTUeberschrAntwortRessort"/>
      </w:pPr>
      <w:r>
        <w:t>Antwort des Staatsministeriums für Umwelt und Verbraucherschutz</w:t>
      </w:r>
    </w:p>
    <w:p w:rsidR="0034715F" w:rsidRDefault="00860C55" w:rsidP="0034715F">
      <w:pPr>
        <w:pStyle w:val="LTAntwortRessortText"/>
      </w:pPr>
      <w:r>
        <w:t>Gem. Art. </w:t>
      </w:r>
      <w:r w:rsidR="0034715F">
        <w:t xml:space="preserve">5d </w:t>
      </w:r>
      <w:r>
        <w:t>Bayerisches Naturschutzgesetz (</w:t>
      </w:r>
      <w:r w:rsidR="0034715F">
        <w:t>BayNatSchG</w:t>
      </w:r>
      <w:r>
        <w:t>)</w:t>
      </w:r>
      <w:r w:rsidR="0034715F">
        <w:t xml:space="preserve"> werden an den unteren Naturschutzbehörden im Rahmen der zur Verfügung stehenden Stellen Biodiversitätsberater eingesetzt. Der Freistaat hat bereits als ersten Schritt 42 Planstellen für Biodiversitätsberater an den Landratsämtern z</w:t>
      </w:r>
      <w:r>
        <w:t>ur Verfügung gestellt. Weitere acht</w:t>
      </w:r>
      <w:r w:rsidR="0034715F">
        <w:t xml:space="preserve"> Stellen erhielten die Regierungen als höhere Naturschutzbehörden für die Koordinierung der Biodiversitätsberatung. Das </w:t>
      </w:r>
      <w:r>
        <w:t>Staatsministerium für Umwelt und Verbraucherschutz</w:t>
      </w:r>
      <w:r w:rsidR="0034715F">
        <w:t xml:space="preserve"> setzt sich weiter dafür ein, dass auch die restlichen Landratsämter mit einer Grundausstattung von zumindest einem Biodiversitätsberater ausgestattet werden. Letztlich entscheidet der Landtag über die Zurverfügungstellung neuer Stellen. Diesem Verfahren kann nicht vorgegriffen werden.</w:t>
      </w:r>
    </w:p>
    <w:p w:rsidR="0034715F" w:rsidRDefault="0034715F">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34715F" w:rsidTr="007B0B33">
        <w:tc>
          <w:tcPr>
            <w:tcW w:w="2050" w:type="dxa"/>
          </w:tcPr>
          <w:p w:rsidR="0034715F" w:rsidRDefault="0034715F" w:rsidP="0034715F">
            <w:pPr>
              <w:pStyle w:val="LTAnfrageInitiator"/>
            </w:pPr>
            <w:r>
              <w:lastRenderedPageBreak/>
              <w:t>Abgeordnete</w:t>
            </w:r>
            <w:r>
              <w:rPr>
                <w:b/>
              </w:rPr>
              <w:br/>
              <w:t>Gisela</w:t>
            </w:r>
            <w:r>
              <w:rPr>
                <w:b/>
              </w:rPr>
              <w:br/>
              <w:t>Sengl</w:t>
            </w:r>
            <w:r>
              <w:rPr>
                <w:b/>
              </w:rPr>
              <w:br/>
            </w:r>
            <w:r>
              <w:t>(BÜNDNIS 90/DIE GRÜNEN)</w:t>
            </w:r>
            <w:bookmarkStart w:id="93" w:name="Frage_Nr_46"/>
            <w:bookmarkEnd w:id="93"/>
          </w:p>
        </w:tc>
        <w:tc>
          <w:tcPr>
            <w:tcW w:w="7200" w:type="dxa"/>
          </w:tcPr>
          <w:p w:rsidR="0034715F" w:rsidRPr="00223742" w:rsidRDefault="00223742" w:rsidP="0034715F">
            <w:pPr>
              <w:pStyle w:val="LTAnfrageText"/>
            </w:pPr>
            <w:r w:rsidRPr="00223742">
              <w:rPr>
                <w:szCs w:val="24"/>
              </w:rPr>
              <w:t>Ich frage die Staatsregierung, wieviel Hektar der Hochmoorflächen des Landkreises Traunstein stehen unter Naturschutz, wie viele Hektar der Hochmoorflächen des Landkreises Traunstein sind in ihrem Wasserhaushalt so gestört, dass sie wiedervernässt werden sollten, um den Ausstoß an Treibhausgasen zu reduzieren und wie viele Hektare der Niedermoore im Landkreis Traunstein werden intensiv landwirtschaftlich genutzt und tragen so ebenfalls zu erheblichen Treibhausgasemissionen bei?</w:t>
            </w:r>
          </w:p>
        </w:tc>
      </w:tr>
    </w:tbl>
    <w:p w:rsidR="0034715F" w:rsidRDefault="0034715F" w:rsidP="0034715F">
      <w:pPr>
        <w:pStyle w:val="LTUeberschrAntwortRessort"/>
      </w:pPr>
      <w:r>
        <w:t>Antwort des Staatsministeriums für Umwelt und Verbraucherschutz</w:t>
      </w:r>
    </w:p>
    <w:p w:rsidR="0034715F" w:rsidRDefault="0034715F" w:rsidP="0034715F">
      <w:pPr>
        <w:pStyle w:val="LTAntwortRessortText"/>
      </w:pPr>
      <w:r>
        <w:t>Moore sind g</w:t>
      </w:r>
      <w:r w:rsidR="008E5ED3">
        <w:t>esetzlich geschützte Biotope (§ </w:t>
      </w:r>
      <w:r>
        <w:t xml:space="preserve">30 Abs. 2 Satz 1 Nr. 2 </w:t>
      </w:r>
      <w:r w:rsidR="008E5ED3">
        <w:t xml:space="preserve">Bayerisches Naturschutzgesetz – </w:t>
      </w:r>
      <w:r>
        <w:t xml:space="preserve">BNatSchG). Handlungen die zu ihrer Zerstörung oder einer sonstigen erheblichen Beeinträchtigung führen können </w:t>
      </w:r>
      <w:r w:rsidR="008E5ED3">
        <w:t>sind daher verboten. Gemäß Art. </w:t>
      </w:r>
      <w:r>
        <w:t>3 Abs. 4 Satz 1 Nr. 2 BayNatSchG ist es zudem verboten, bei der landwirtschaftlichen Nutzung den Grundwasserstand auf Moor- und Anmoorstandorten abzusenken; davon unberührt bleiben bestehende Absenkungs- un</w:t>
      </w:r>
      <w:r w:rsidR="008E5ED3">
        <w:t>d Drainagemaßnahmen. Gemäß Art. </w:t>
      </w:r>
      <w:r>
        <w:t>3 Abs. 3 BayNatSchG soll auf Moorstandorten Grünland erhalten bleiben.</w:t>
      </w:r>
    </w:p>
    <w:p w:rsidR="0034715F" w:rsidRDefault="0034715F" w:rsidP="0034715F">
      <w:pPr>
        <w:pStyle w:val="LTAntwortRessortText"/>
      </w:pPr>
      <w:r>
        <w:t>Im Landkreis Trau</w:t>
      </w:r>
      <w:r w:rsidR="008E5ED3">
        <w:t>nstein gibt es insgesamt rund 8 600 ha Moore, wovon rund 6 300 </w:t>
      </w:r>
      <w:r>
        <w:t>ha als An- und Niedermoore angesp</w:t>
      </w:r>
      <w:r w:rsidR="008E5ED3">
        <w:t>rochen werden können, weitere 2 </w:t>
      </w:r>
      <w:r>
        <w:t xml:space="preserve">300 ha als Hochmoore. Eine Auswertung aller Hochmoore im Landkreis Traunstein entsprechend ihres Wasserhaushaltes ist sehr aufwändig und liegt für den Landkreis Traunstein nicht abschließend vor. Generell ist es das Ziel des </w:t>
      </w:r>
      <w:r w:rsidR="008E5ED3">
        <w:t>Staatsministeriums für Umwelt und Verbraucherschutz</w:t>
      </w:r>
      <w:r>
        <w:t>, alle nicht intakten Moore entsprechend den bestehenden Möglichkeiten wiederzuvernässen.</w:t>
      </w:r>
    </w:p>
    <w:p w:rsidR="0034715F" w:rsidRDefault="0034715F" w:rsidP="0034715F">
      <w:pPr>
        <w:pStyle w:val="LTAntwortRessortText"/>
      </w:pPr>
      <w:r>
        <w:t>Die Gesamtfläche an Niedermooren im Lan</w:t>
      </w:r>
      <w:r w:rsidR="00CB0061">
        <w:t>dkreis Traunstein beträgt ca. 6 300 ha, davon werden rund 1 </w:t>
      </w:r>
      <w:r>
        <w:t>800 ha intensiv landwirtschaftlich genutzt. Dabei überwiegt die Nutzung als Dauergrünland deutlich. Es bleibt anzumerken, dass nicht eindeutig definiert ist, was zu intensiver Landwirtschaft gezählt werden kann, so dass die Zahl nur eine fachlich gut fundierte Näherung darstellt.</w:t>
      </w:r>
    </w:p>
    <w:p w:rsidR="0034715F" w:rsidRDefault="0034715F">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715F" w:rsidTr="007B0B33">
        <w:tc>
          <w:tcPr>
            <w:tcW w:w="2050" w:type="dxa"/>
          </w:tcPr>
          <w:p w:rsidR="0034715F" w:rsidRDefault="0034715F" w:rsidP="0034715F">
            <w:pPr>
              <w:pStyle w:val="LTAnfrageInitiator"/>
            </w:pPr>
            <w:r>
              <w:lastRenderedPageBreak/>
              <w:t>Abgeordnete</w:t>
            </w:r>
            <w:r>
              <w:rPr>
                <w:b/>
              </w:rPr>
              <w:br/>
              <w:t>Rosi</w:t>
            </w:r>
            <w:r>
              <w:rPr>
                <w:b/>
              </w:rPr>
              <w:br/>
              <w:t>Steinberger</w:t>
            </w:r>
            <w:r>
              <w:rPr>
                <w:b/>
              </w:rPr>
              <w:br/>
            </w:r>
            <w:r>
              <w:t>(BÜNDNIS 90/DIE GRÜNEN)</w:t>
            </w:r>
            <w:bookmarkStart w:id="95" w:name="Frage_Nr_47"/>
            <w:bookmarkEnd w:id="95"/>
          </w:p>
        </w:tc>
        <w:tc>
          <w:tcPr>
            <w:tcW w:w="7200" w:type="dxa"/>
          </w:tcPr>
          <w:p w:rsidR="0034715F" w:rsidRPr="00223742" w:rsidRDefault="00223742" w:rsidP="0034715F">
            <w:pPr>
              <w:pStyle w:val="LTAnfrageText"/>
            </w:pPr>
            <w:r w:rsidRPr="00223742">
              <w:rPr>
                <w:szCs w:val="24"/>
              </w:rPr>
              <w:t>Ich frage die Staatsregierung, welche Erkenntnisse hat sie über das Verbreitungsgebiet der ca. 38 Mio. Kubikmeter sog. Abfallsäure, die bis in die 1990er Jahre durch die Firma Süd-Chemie AG mittels Versenkbohrung bei Moosburg ins Tiefengrundwasser eingebracht wurde, welche Auswirkungen dieser Schadstoffe auf den betroffenen Tiefengrundwasserkörper und welche Auswirkungen auf angrenzendes Grund- und Oberflächenwasser wurden seitdem festgestellt?</w:t>
            </w:r>
          </w:p>
        </w:tc>
      </w:tr>
    </w:tbl>
    <w:p w:rsidR="0034715F" w:rsidRDefault="0034715F" w:rsidP="0034715F">
      <w:pPr>
        <w:pStyle w:val="LTUeberschrAntwortRessort"/>
      </w:pPr>
      <w:r>
        <w:t>Antwort des Staatsministeriums für Umwelt und Verbraucherschutz</w:t>
      </w:r>
    </w:p>
    <w:p w:rsidR="0034715F" w:rsidRDefault="0034715F" w:rsidP="0034715F">
      <w:pPr>
        <w:pStyle w:val="LTAntwortRessortText"/>
      </w:pPr>
      <w:r>
        <w:t>Die Abfallsäure wurde im Raum Moosburg einige Jahrzehnte von der Firma Süd-Chemie bis in die frühen 1990er Jahre in eine Tiefe von ca. 1</w:t>
      </w:r>
      <w:r w:rsidR="00440810">
        <w:t> </w:t>
      </w:r>
      <w:r>
        <w:t xml:space="preserve">000 m eingeleitet. Es wurden in den Jahren nach der Einstellung der Einleitung Untersuchungen des Trinkwassers im Raum Moosburg vorgenommen. Sämtliche Untersuchungsergebnisse waren unauffällig. Nach Einschätzung des </w:t>
      </w:r>
      <w:r w:rsidR="00440810">
        <w:t>Wasserwirtschaftsamtes (</w:t>
      </w:r>
      <w:r>
        <w:t>WWA</w:t>
      </w:r>
      <w:r w:rsidR="00440810">
        <w:t>)</w:t>
      </w:r>
      <w:r>
        <w:t xml:space="preserve"> München kann sich die Einleitung der Abfallsäure nicht auf das oberflächennahe Grundwasser oder Oberflächenwasser ausgewirkt haben.</w:t>
      </w:r>
    </w:p>
    <w:p w:rsidR="0034715F" w:rsidRDefault="0034715F">
      <w:bookmarkStart w:id="96" w:name="Frage_Nr_47_Ende"/>
      <w:bookmarkEnd w:id="96"/>
      <w:r>
        <w:br w:type="page"/>
      </w:r>
    </w:p>
    <w:p w:rsidR="0034715F" w:rsidRDefault="0034715F" w:rsidP="0034715F">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34715F" w:rsidTr="007B0B33">
        <w:tc>
          <w:tcPr>
            <w:tcW w:w="2050" w:type="dxa"/>
          </w:tcPr>
          <w:p w:rsidR="0034715F" w:rsidRDefault="0034715F" w:rsidP="0034715F">
            <w:pPr>
              <w:pStyle w:val="LTAnfrageInitiator"/>
            </w:pPr>
            <w:r>
              <w:t>Abgeordnete</w:t>
            </w:r>
            <w:r>
              <w:rPr>
                <w:b/>
              </w:rPr>
              <w:br/>
              <w:t>Martina</w:t>
            </w:r>
            <w:r>
              <w:rPr>
                <w:b/>
              </w:rPr>
              <w:br/>
              <w:t>Fehlner</w:t>
            </w:r>
            <w:r>
              <w:rPr>
                <w:b/>
              </w:rPr>
              <w:br/>
            </w:r>
            <w:r>
              <w:t>(SPD)</w:t>
            </w:r>
            <w:bookmarkStart w:id="97" w:name="Frage_Nr_48"/>
            <w:bookmarkEnd w:id="97"/>
          </w:p>
        </w:tc>
        <w:tc>
          <w:tcPr>
            <w:tcW w:w="7200" w:type="dxa"/>
          </w:tcPr>
          <w:p w:rsidR="0034715F" w:rsidRPr="009369D1" w:rsidRDefault="009369D1" w:rsidP="0034715F">
            <w:pPr>
              <w:pStyle w:val="LTAnfrageText"/>
            </w:pPr>
            <w:r w:rsidRPr="009369D1">
              <w:rPr>
                <w:szCs w:val="24"/>
              </w:rPr>
              <w:t>Ich frage die Staatsregierung, wie hoch war und ist der jährliche Förderbedarf in Summe für die Förderung von Waldbesitzerinnen bzw. Waldbesitzern beim Ausbau und der Pflege von Waldwegen seit Bestehen der Richtlinie für Zuwendungen zu Maßnahmen der Walderschließung im Rahmen eines forstlichen Förderprogramms FORSTWEGR 2016 bis heute, wie viel Waldflächen in Hektaren wurde bis heute durch den Ausbau und die Pflege des geförderten Waldwegebaus erschlossen und wie viele Förderanträge sind gegenwärtig in Bearbeitung (bitte jeweils unterteilt nach Landkreisen, Ämter für Ernährung, Landwirtschaft und Forsten (ÄELF), Jahren angeben)?</w:t>
            </w:r>
          </w:p>
        </w:tc>
      </w:tr>
    </w:tbl>
    <w:p w:rsidR="0034715F" w:rsidRDefault="0034715F" w:rsidP="0034715F">
      <w:pPr>
        <w:pStyle w:val="LTUeberschrAntwortRessort"/>
      </w:pPr>
      <w:r>
        <w:t>Antwort des Staatsministeriums für Ernährung, Landwirtschaft und Forsten</w:t>
      </w:r>
    </w:p>
    <w:p w:rsidR="0034715F" w:rsidRDefault="0034715F" w:rsidP="0034715F">
      <w:pPr>
        <w:pStyle w:val="LTAntwortRessortText"/>
      </w:pPr>
      <w:r w:rsidRPr="00A07629">
        <w:rPr>
          <w:b/>
        </w:rPr>
        <w:t>Anlagen:</w:t>
      </w:r>
      <w:r>
        <w:t xml:space="preserve"> Tabellen 1</w:t>
      </w:r>
      <w:r w:rsidR="000465A2">
        <w:t xml:space="preserve"> </w:t>
      </w:r>
      <w:r w:rsidR="000465A2" w:rsidRPr="000465A2">
        <w:rPr>
          <w:rStyle w:val="LTHyperlinkZchn"/>
          <w:b w:val="0"/>
        </w:rPr>
        <w:t>*)</w:t>
      </w:r>
      <w:r>
        <w:t xml:space="preserve"> (ÄELF) und Tabelle 2 </w:t>
      </w:r>
      <w:r w:rsidR="000465A2" w:rsidRPr="000465A2">
        <w:rPr>
          <w:rStyle w:val="LTHyperlinkZchn"/>
          <w:b w:val="0"/>
        </w:rPr>
        <w:t>*</w:t>
      </w:r>
      <w:r w:rsidR="00034478">
        <w:rPr>
          <w:rStyle w:val="LTHyperlinkZchn"/>
          <w:b w:val="0"/>
        </w:rPr>
        <w:t>*</w:t>
      </w:r>
      <w:r w:rsidR="000465A2" w:rsidRPr="000465A2">
        <w:rPr>
          <w:rStyle w:val="LTHyperlinkZchn"/>
          <w:b w:val="0"/>
        </w:rPr>
        <w:t>)</w:t>
      </w:r>
      <w:r w:rsidR="000465A2">
        <w:t xml:space="preserve"> </w:t>
      </w:r>
      <w:r>
        <w:t>(Landkreise) über Förderdaten</w:t>
      </w:r>
    </w:p>
    <w:p w:rsidR="0034715F" w:rsidRDefault="0034715F" w:rsidP="0034715F">
      <w:pPr>
        <w:pStyle w:val="LTAntwortRessortText"/>
      </w:pPr>
      <w:r>
        <w:t>Die Förderung forstwirtschaftlicher Infrastr</w:t>
      </w:r>
      <w:r w:rsidR="001F1EC2">
        <w:t>uktur erfolgt im Rahmen der För</w:t>
      </w:r>
      <w:r>
        <w:t xml:space="preserve">derrichtlinie FORSTWEGR 2016. Im Einzelnen sind förderfähig der Neu- </w:t>
      </w:r>
      <w:r w:rsidR="001F1EC2">
        <w:t>und Ausbau von Forstwegen, Rück</w:t>
      </w:r>
      <w:r>
        <w:t>wegen und Anlagen wie Holzlagerplätze und Brücken. Ferner wird die Grundinstandsetzung der forstwirtschaftlichen Infrastruktur nach Schadereignissen und zur Erneuerung von Anlagen und Bauwerken gefördert. Demgegenüber ist die</w:t>
      </w:r>
      <w:r w:rsidR="001F1EC2">
        <w:t xml:space="preserve"> regelmäßige Pflege bzw. der Un</w:t>
      </w:r>
      <w:r>
        <w:t>terhalt der Wege nicht förderfähig. Vor d</w:t>
      </w:r>
      <w:r w:rsidR="001F1EC2">
        <w:t>iesem Hintergrund wurde die För</w:t>
      </w:r>
      <w:r>
        <w:t>derung der Grundinstandsetzung der forstwirt</w:t>
      </w:r>
      <w:r w:rsidR="001F1EC2">
        <w:t>schaftlichen Infrastruktur nach</w:t>
      </w:r>
      <w:r>
        <w:t xml:space="preserve">folgend separat dargestellt. Eine Auswertung der erschlossenen bzw. wieder nutzbaren Waldfläche nach </w:t>
      </w:r>
      <w:r w:rsidR="001F1EC2">
        <w:t>den Ämtern für Ernährung, Landwirtschaft und Forsten (</w:t>
      </w:r>
      <w:r>
        <w:t>AELF</w:t>
      </w:r>
      <w:r w:rsidR="001F1EC2">
        <w:t>)</w:t>
      </w:r>
      <w:r>
        <w:t xml:space="preserve"> bzw. L</w:t>
      </w:r>
      <w:r w:rsidR="001F1EC2">
        <w:t>andkreis und Jahren aufgeschlüs</w:t>
      </w:r>
      <w:r>
        <w:t>selt, ist systembedingt kurzfristig nicht möglich.</w:t>
      </w:r>
    </w:p>
    <w:p w:rsidR="00EA32C5" w:rsidRDefault="00EA32C5" w:rsidP="00A07629">
      <w:pPr>
        <w:pStyle w:val="LTAntwortRessortText"/>
        <w:spacing w:before="120"/>
      </w:pPr>
      <w:r>
        <w:t>Zur ersten Teilfrage:</w:t>
      </w:r>
    </w:p>
    <w:p w:rsidR="0034715F" w:rsidRDefault="0034715F" w:rsidP="00A07629">
      <w:pPr>
        <w:pStyle w:val="LTAntwortRessortText"/>
        <w:spacing w:before="120"/>
      </w:pPr>
      <w:r>
        <w:t>In den beiden Anlagen ist der jährliche För</w:t>
      </w:r>
      <w:r w:rsidR="00773622">
        <w:t>derbedarf, aufgeteilt nach Land</w:t>
      </w:r>
      <w:r>
        <w:t>kreisen und ÄELF dargestellt. Außerdem erfolgte eine Unterscheidung in Neu-/Ausbauprojekte sowie in Grundinstandsetzungsprojekte.</w:t>
      </w:r>
    </w:p>
    <w:p w:rsidR="00EA32C5" w:rsidRDefault="00EA32C5" w:rsidP="0034715F">
      <w:pPr>
        <w:pStyle w:val="LTAntwortRessortText"/>
        <w:rPr>
          <w:i/>
        </w:rPr>
      </w:pPr>
    </w:p>
    <w:p w:rsidR="00EA32C5" w:rsidRPr="00386462" w:rsidRDefault="00EA32C5" w:rsidP="0034715F">
      <w:pPr>
        <w:pStyle w:val="LTAntwortRessortText"/>
      </w:pPr>
      <w:r w:rsidRPr="00386462">
        <w:t>Zur zweiten Teilfrage:</w:t>
      </w:r>
    </w:p>
    <w:p w:rsidR="0034715F" w:rsidRDefault="0034715F" w:rsidP="00A07629">
      <w:pPr>
        <w:pStyle w:val="LTAntwortRessortText"/>
        <w:spacing w:before="120"/>
      </w:pPr>
      <w:r>
        <w:t>In den beiden Anlagen ist die erschlossene bzw. wieder nutzbare Waldfläche in Hektaren (Walderschließungsfläche) aufgeteilt nach Landkreis und ÄELF dargestellt. Auch hier wurde nach Neu-/A</w:t>
      </w:r>
      <w:r w:rsidR="00773622">
        <w:t>usbauprojekten und Grundinstand</w:t>
      </w:r>
      <w:r>
        <w:t>setzungsprojekten unterschieden.</w:t>
      </w:r>
    </w:p>
    <w:p w:rsidR="00EA32C5" w:rsidRDefault="00EA32C5" w:rsidP="00A07629">
      <w:pPr>
        <w:pStyle w:val="LTAntwortRessortText"/>
        <w:spacing w:before="120"/>
      </w:pPr>
      <w:r>
        <w:t>Zur dritten Teilfrage:</w:t>
      </w:r>
    </w:p>
    <w:p w:rsidR="0034715F" w:rsidRDefault="0034715F" w:rsidP="00A07629">
      <w:pPr>
        <w:pStyle w:val="LTAntwortRessortText"/>
        <w:spacing w:before="120"/>
      </w:pPr>
      <w:r>
        <w:t>In den beiden Anlagen ist die Zahl der gege</w:t>
      </w:r>
      <w:r w:rsidR="00773622">
        <w:t>nwärtig in Bearbeitung befindli</w:t>
      </w:r>
      <w:r>
        <w:t>chen und laufenden Projekte unterschieden</w:t>
      </w:r>
      <w:r w:rsidR="00773622">
        <w:t xml:space="preserve"> nach Landkreisen, ÄELF und Jah</w:t>
      </w:r>
      <w:r>
        <w:t>ren dargestellt.</w:t>
      </w:r>
    </w:p>
    <w:p w:rsidR="0034715F" w:rsidRDefault="0034715F" w:rsidP="0034715F">
      <w:pPr>
        <w:pStyle w:val="LTAntwortRessortText"/>
      </w:pPr>
    </w:p>
    <w:p w:rsidR="0034715F" w:rsidRDefault="005C493E" w:rsidP="0034715F">
      <w:pPr>
        <w:pStyle w:val="LTAntwortRessortText"/>
      </w:pPr>
      <w:r w:rsidRPr="005C493E">
        <w:rPr>
          <w:rStyle w:val="LTHyperlinkZchn"/>
          <w:b w:val="0"/>
        </w:rPr>
        <w:lastRenderedPageBreak/>
        <w:t>*)</w:t>
      </w:r>
      <w:r>
        <w:t xml:space="preserve"> Von einem Abdruck wurde abgesehen. Die Anlage ist als pdf-Dokument </w:t>
      </w:r>
      <w:hyperlink r:id="rId18" w:history="1">
        <w:r w:rsidRPr="00034478">
          <w:rPr>
            <w:rStyle w:val="LTHyperlinkZchn"/>
            <w:b w:val="0"/>
          </w:rPr>
          <w:t>hier</w:t>
        </w:r>
      </w:hyperlink>
      <w:r>
        <w:t xml:space="preserve"> einsehbar.</w:t>
      </w:r>
    </w:p>
    <w:p w:rsidR="00034478" w:rsidRDefault="00034478" w:rsidP="0034715F">
      <w:pPr>
        <w:pStyle w:val="LTAntwortRessortText"/>
      </w:pPr>
      <w:r w:rsidRPr="00034478">
        <w:rPr>
          <w:rStyle w:val="LTHyperlinkZchn"/>
          <w:b w:val="0"/>
        </w:rPr>
        <w:t>*</w:t>
      </w:r>
      <w:r>
        <w:rPr>
          <w:rStyle w:val="LTHyperlinkZchn"/>
          <w:b w:val="0"/>
        </w:rPr>
        <w:t>*</w:t>
      </w:r>
      <w:r w:rsidRPr="00034478">
        <w:rPr>
          <w:rStyle w:val="LTHyperlinkZchn"/>
          <w:b w:val="0"/>
        </w:rPr>
        <w:t>)</w:t>
      </w:r>
      <w:r>
        <w:t xml:space="preserve"> Von einem Abdruck wurde abgesehen. Die Anlage ist als pdf-Dokument </w:t>
      </w:r>
      <w:hyperlink r:id="rId19" w:history="1">
        <w:r w:rsidRPr="00034478">
          <w:rPr>
            <w:rStyle w:val="LTHyperlinkZchn"/>
            <w:b w:val="0"/>
          </w:rPr>
          <w:t>hier</w:t>
        </w:r>
      </w:hyperlink>
      <w:r>
        <w:t xml:space="preserve"> einsehbar.</w:t>
      </w:r>
    </w:p>
    <w:p w:rsidR="0034715F" w:rsidRDefault="0034715F">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34715F" w:rsidTr="007B0B33">
        <w:tc>
          <w:tcPr>
            <w:tcW w:w="2050" w:type="dxa"/>
          </w:tcPr>
          <w:p w:rsidR="0034715F" w:rsidRDefault="0034715F" w:rsidP="0034715F">
            <w:pPr>
              <w:pStyle w:val="LTAnfrageInitiator"/>
            </w:pPr>
            <w:r>
              <w:lastRenderedPageBreak/>
              <w:t>Abgeordneter</w:t>
            </w:r>
            <w:r>
              <w:rPr>
                <w:b/>
              </w:rPr>
              <w:br/>
              <w:t>Helmut</w:t>
            </w:r>
            <w:r>
              <w:rPr>
                <w:b/>
              </w:rPr>
              <w:br/>
              <w:t>Markwort</w:t>
            </w:r>
            <w:r>
              <w:rPr>
                <w:b/>
              </w:rPr>
              <w:br/>
            </w:r>
            <w:r>
              <w:t>(FDP)</w:t>
            </w:r>
            <w:bookmarkStart w:id="99" w:name="Frage_Nr_49"/>
            <w:bookmarkEnd w:id="99"/>
          </w:p>
        </w:tc>
        <w:tc>
          <w:tcPr>
            <w:tcW w:w="7200" w:type="dxa"/>
          </w:tcPr>
          <w:p w:rsidR="0034715F" w:rsidRPr="009369D1" w:rsidRDefault="009369D1" w:rsidP="0034715F">
            <w:pPr>
              <w:pStyle w:val="LTAnfrageText"/>
            </w:pPr>
            <w:r w:rsidRPr="009369D1">
              <w:rPr>
                <w:szCs w:val="24"/>
              </w:rPr>
              <w:t>Vor dem Hintergrund der von Herrn Ministerpräsident Dr. Markus Söder angekündigten Baumpflanzungen im Staatswald vor drei Jahren, frage ich die Staatsregierung, wie viele Baumsetzlinge wurden bisher im Staatswald gepflanzt (bitte Auflistung nach Jahren), ist für sie der Zeitplan bis 2024 erreichbar und welche finanziellen Mittel wurden bisher für das Vorhaben aufgebracht?</w:t>
            </w:r>
          </w:p>
        </w:tc>
      </w:tr>
    </w:tbl>
    <w:p w:rsidR="0034715F" w:rsidRDefault="0034715F" w:rsidP="0034715F">
      <w:pPr>
        <w:pStyle w:val="LTUeberschrAntwortRessort"/>
      </w:pPr>
      <w:r>
        <w:t>Antwort des Staatsministeriums für Ernährung, Landwirtschaft und Forsten</w:t>
      </w:r>
    </w:p>
    <w:p w:rsidR="0034715F" w:rsidRDefault="0034715F" w:rsidP="0034715F">
      <w:pPr>
        <w:pStyle w:val="LTAntwortRessortText"/>
      </w:pPr>
      <w:r>
        <w:t xml:space="preserve">Im Rahmen des auf fünf Jahre ausgelegten 30-Millionen-Bäume-Programms wurden in der ersten Saison (Herbst 2020/Frühjahr </w:t>
      </w:r>
      <w:r w:rsidR="00DE15A4">
        <w:t>2021) insgesamt mehr als 6 Mio. </w:t>
      </w:r>
      <w:r>
        <w:t>Pflanzen ausgebracht. In der aktuellen Saison (Herbst 2021/Frühjahr 2022) laufen derzei</w:t>
      </w:r>
      <w:r w:rsidR="00DE15A4">
        <w:t>t noch die letzten Pflanzungen –</w:t>
      </w:r>
      <w:r>
        <w:t xml:space="preserve"> es ist aber absehbar, dass insgesamt erneut rd. 6 Mio. Pflanzen ausgebracht werden. Die </w:t>
      </w:r>
      <w:r w:rsidR="00DE15A4">
        <w:t>Bayerischen Staatsforsten (</w:t>
      </w:r>
      <w:r>
        <w:t>BaySF</w:t>
      </w:r>
      <w:r w:rsidR="00DE15A4">
        <w:t>)</w:t>
      </w:r>
      <w:r>
        <w:t xml:space="preserve"> liegen demnach im Zeitplan.</w:t>
      </w:r>
    </w:p>
    <w:p w:rsidR="0034715F" w:rsidRDefault="0034715F" w:rsidP="0034715F">
      <w:pPr>
        <w:pStyle w:val="LTAntwortRessortText"/>
      </w:pPr>
      <w:r>
        <w:t xml:space="preserve">Seit Programmbeginn wurden für die Jahre 2020 und 2021 in Summe 10 Mio. </w:t>
      </w:r>
      <w:r w:rsidR="00190CE9">
        <w:t>Euro</w:t>
      </w:r>
      <w:r>
        <w:t xml:space="preserve"> an Fördermitteln ausgereicht.</w:t>
      </w:r>
    </w:p>
    <w:p w:rsidR="0034715F" w:rsidRDefault="0034715F">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tblGrid>
      <w:tr w:rsidR="0034715F" w:rsidTr="007B0B33">
        <w:tc>
          <w:tcPr>
            <w:tcW w:w="2050" w:type="dxa"/>
          </w:tcPr>
          <w:p w:rsidR="0034715F" w:rsidRDefault="0034715F" w:rsidP="0034715F">
            <w:pPr>
              <w:pStyle w:val="LTAnfrageInitiator"/>
            </w:pPr>
            <w:r>
              <w:lastRenderedPageBreak/>
              <w:t>Abgeordneter</w:t>
            </w:r>
            <w:r>
              <w:rPr>
                <w:b/>
              </w:rPr>
              <w:br/>
              <w:t>Christoph</w:t>
            </w:r>
            <w:r>
              <w:rPr>
                <w:b/>
              </w:rPr>
              <w:br/>
              <w:t>Skutella</w:t>
            </w:r>
            <w:r>
              <w:rPr>
                <w:b/>
              </w:rPr>
              <w:br/>
            </w:r>
            <w:r>
              <w:t>(FDP)</w:t>
            </w:r>
            <w:bookmarkStart w:id="101" w:name="Frage_Nr_50"/>
            <w:bookmarkEnd w:id="101"/>
          </w:p>
        </w:tc>
        <w:tc>
          <w:tcPr>
            <w:tcW w:w="7200" w:type="dxa"/>
          </w:tcPr>
          <w:p w:rsidR="0034715F" w:rsidRPr="009369D1" w:rsidRDefault="009369D1" w:rsidP="0034715F">
            <w:pPr>
              <w:pStyle w:val="LTAnfrageText"/>
            </w:pPr>
            <w:r w:rsidRPr="009369D1">
              <w:rPr>
                <w:szCs w:val="24"/>
              </w:rPr>
              <w:t>Wann liegt das im Januar 2022 angekündigte Konzept zur finanziellen Entlastung kleiner Schlachtbetriebe vor, welche konkreten Maßnahmen sind darin vorgesehen und wann beginnt die Umsetzung?</w:t>
            </w:r>
          </w:p>
        </w:tc>
      </w:tr>
    </w:tbl>
    <w:p w:rsidR="0034715F" w:rsidRDefault="0034715F" w:rsidP="0034715F">
      <w:pPr>
        <w:pStyle w:val="LTUeberschrAntwortRessort"/>
      </w:pPr>
      <w:r>
        <w:t>Antwort des Staatsministeriums für Ernährung, Landwirtschaft und Forsten</w:t>
      </w:r>
    </w:p>
    <w:p w:rsidR="0034715F" w:rsidRDefault="0034715F" w:rsidP="0034715F">
      <w:pPr>
        <w:pStyle w:val="LTAntwortRessortText"/>
      </w:pPr>
      <w:r>
        <w:t xml:space="preserve">Die Staatsregierung hat eine Vielzahl an Maßnahmen und </w:t>
      </w:r>
      <w:r w:rsidR="00002749">
        <w:t>Instrumenten ge</w:t>
      </w:r>
      <w:r>
        <w:t>schaffen, welche die Stärkung der Landwirtschaft und der fleischverarbeitenden Betriebe zum Ziel haben. Diese gilt es, noch besser miteinander zu verzahnen.</w:t>
      </w:r>
    </w:p>
    <w:p w:rsidR="0034715F" w:rsidRDefault="0034715F" w:rsidP="0034715F">
      <w:pPr>
        <w:pStyle w:val="LTAntwortRessortText"/>
      </w:pPr>
      <w:r>
        <w:t>Bezüglich der im Bericht erwähnten Prüfung, ob die Möglichkeit einer Umstellung einer Gebührenerhebung zu Gunste</w:t>
      </w:r>
      <w:r w:rsidR="00002749">
        <w:t>n kleinerer Schlachtbetriebe be</w:t>
      </w:r>
      <w:r>
        <w:t xml:space="preserve">steht, werden derzeit entsprechende Optionen geprüft. Die Federführung liegt beim </w:t>
      </w:r>
      <w:r w:rsidR="00002749">
        <w:t>Staatsministerium für Umwelt und Verbraucherschutz</w:t>
      </w:r>
      <w:r>
        <w:t>.</w:t>
      </w:r>
    </w:p>
    <w:p w:rsidR="0034715F" w:rsidRDefault="0034715F">
      <w:bookmarkStart w:id="102" w:name="Frage_Nr_50_Ende"/>
      <w:bookmarkEnd w:id="102"/>
      <w:r>
        <w:br w:type="page"/>
      </w:r>
    </w:p>
    <w:p w:rsidR="0034715F" w:rsidRDefault="0034715F" w:rsidP="0034715F">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1"/>
        <w:gridCol w:w="5725"/>
      </w:tblGrid>
      <w:tr w:rsidR="0034715F" w:rsidTr="007B0B33">
        <w:tc>
          <w:tcPr>
            <w:tcW w:w="2050" w:type="dxa"/>
          </w:tcPr>
          <w:p w:rsidR="0034715F" w:rsidRDefault="0034715F" w:rsidP="0034715F">
            <w:pPr>
              <w:pStyle w:val="LTAnfrageInitiator"/>
            </w:pPr>
            <w:r>
              <w:t>Abgeordneter</w:t>
            </w:r>
            <w:r>
              <w:rPr>
                <w:b/>
              </w:rPr>
              <w:br/>
              <w:t>Matthias</w:t>
            </w:r>
            <w:r>
              <w:rPr>
                <w:b/>
              </w:rPr>
              <w:br/>
              <w:t>Fischbach</w:t>
            </w:r>
            <w:r>
              <w:rPr>
                <w:b/>
              </w:rPr>
              <w:br/>
            </w:r>
            <w:r>
              <w:t>(FDP)</w:t>
            </w:r>
            <w:bookmarkStart w:id="103" w:name="Frage_Nr_51"/>
            <w:bookmarkEnd w:id="103"/>
          </w:p>
        </w:tc>
        <w:tc>
          <w:tcPr>
            <w:tcW w:w="7200" w:type="dxa"/>
          </w:tcPr>
          <w:p w:rsidR="0034715F" w:rsidRPr="00CF1266" w:rsidRDefault="00CF1266" w:rsidP="0034715F">
            <w:pPr>
              <w:pStyle w:val="LTAnfrageText"/>
            </w:pPr>
            <w:r w:rsidRPr="00CF1266">
              <w:rPr>
                <w:szCs w:val="24"/>
              </w:rPr>
              <w:t>Ich frage die Staatsregierung, wie viele Interessensbekundungen liegen der Staatsregierung für neue Standorte des kooperativen Ganztags bzw. den Modellversuch Kombieinrichtungen bayernweit vor (bitte unter Nennung des Standorts, Konzeption sowie benötigtem Finanzierungsbedarf aufschlüsseln), wie hoch sind die Haushaltsmittel, die zur Öffnung des Modellprojekts bzw. Modellversuchs für Kombieinrichtungen über die ursprünglich geplanten 50 Standorte hinaus eingeplant sind (bitte neben den jährlichen Gesamtsummen auch durchschnittliche und minimale bzw. maximale Fördersummen je Kind bzw. je Gruppe und je Gesamtstandort darstellen) und wie viele Standorte sind im Rahmen der Aufstockung des Modellversuchs pro Regierungsbezirk vorgesehen (bitte aufschlüsseln, falls Standorte bereits bekannt)?</w:t>
            </w:r>
          </w:p>
        </w:tc>
      </w:tr>
    </w:tbl>
    <w:p w:rsidR="0034715F" w:rsidRDefault="0034715F" w:rsidP="0034715F">
      <w:pPr>
        <w:pStyle w:val="LTUeberschrAntwortRessort"/>
      </w:pPr>
      <w:r>
        <w:t>Antwort des Staatsministeriums für Familie, Arbeit und Soziales</w:t>
      </w:r>
    </w:p>
    <w:p w:rsidR="0034715F" w:rsidRDefault="0034715F" w:rsidP="0034715F">
      <w:pPr>
        <w:pStyle w:val="LTAntwortRessortText"/>
      </w:pPr>
      <w:r>
        <w:t>Die Kombieinrichtungen werden seitens der Kommunen als zusätzliche</w:t>
      </w:r>
      <w:r w:rsidR="00605B94">
        <w:t xml:space="preserve"> </w:t>
      </w:r>
      <w:r>
        <w:t>Option zur Umsetzung des Rechtsanspruchs begriffen. Insbesondere</w:t>
      </w:r>
      <w:r w:rsidR="00605B94">
        <w:t xml:space="preserve"> </w:t>
      </w:r>
      <w:r>
        <w:t>in Ballungsräumen können dadurch auf Hortniveau ressourcenschonend</w:t>
      </w:r>
      <w:r w:rsidR="00605B94">
        <w:t xml:space="preserve"> </w:t>
      </w:r>
      <w:r>
        <w:t>Betreuungsplätze für Kinder im Grundschulalter geschaffen werden.</w:t>
      </w:r>
      <w:r w:rsidR="00605B94">
        <w:t xml:space="preserve"> </w:t>
      </w:r>
      <w:r>
        <w:t>Aus fast allen Regierungsbezirken wurde bereits Interesse signalisiert,</w:t>
      </w:r>
      <w:r w:rsidR="00605B94">
        <w:t xml:space="preserve"> </w:t>
      </w:r>
      <w:r>
        <w:t xml:space="preserve">wobei es seitens der Staatsregierung kein standardisiertes </w:t>
      </w:r>
      <w:r w:rsidR="00190CE9">
        <w:t>„</w:t>
      </w:r>
      <w:r>
        <w:t>Interessensbekundungsverfahren</w:t>
      </w:r>
      <w:r w:rsidR="00190CE9">
        <w:t>“</w:t>
      </w:r>
      <w:r w:rsidR="00605B94">
        <w:t xml:space="preserve"> </w:t>
      </w:r>
      <w:r>
        <w:t>gibt. Die Ballungsräume München,</w:t>
      </w:r>
      <w:r w:rsidR="00605B94">
        <w:t xml:space="preserve"> </w:t>
      </w:r>
      <w:r>
        <w:t>Nürnberg, Würzburg und Ingolstadt haben bereits Kombistandorte und</w:t>
      </w:r>
      <w:r w:rsidR="00605B94">
        <w:t xml:space="preserve"> </w:t>
      </w:r>
      <w:r>
        <w:t>wollen diesen Weg nach unseren Informationen fortsetzen. Es wurde</w:t>
      </w:r>
      <w:r w:rsidR="00605B94">
        <w:t xml:space="preserve"> </w:t>
      </w:r>
      <w:r>
        <w:t>jedoch auch Interesse aus kreisangehörigen Gemeinden geäußert, vor</w:t>
      </w:r>
      <w:r w:rsidR="00605B94">
        <w:t xml:space="preserve"> </w:t>
      </w:r>
      <w:r>
        <w:t>allem in Franken und Oberbayern scheint das Modell Anklang zu finden.</w:t>
      </w:r>
      <w:r w:rsidR="00605B94">
        <w:t xml:space="preserve"> </w:t>
      </w:r>
      <w:r>
        <w:t>Aus Schwaben haben Augsburg und Kempten Interesse geäußert.</w:t>
      </w:r>
      <w:r w:rsidR="00605B94">
        <w:t xml:space="preserve"> </w:t>
      </w:r>
      <w:r>
        <w:t>Das Spektrum der Planungstiefe bei den Interessenten war und</w:t>
      </w:r>
      <w:r w:rsidR="00605B94">
        <w:t xml:space="preserve"> </w:t>
      </w:r>
      <w:r w:rsidR="00873C37">
        <w:t>ist dabei sehr breit gefächert –</w:t>
      </w:r>
      <w:r>
        <w:t xml:space="preserve"> zum Teil existierten bereits Konzepte, in</w:t>
      </w:r>
      <w:r w:rsidR="00605B94">
        <w:t xml:space="preserve"> </w:t>
      </w:r>
      <w:r>
        <w:t>anderen Fällen nur ein grundsätzliches Interesse ohne konkrete Planungen.</w:t>
      </w:r>
      <w:r w:rsidR="00605B94">
        <w:t xml:space="preserve"> </w:t>
      </w:r>
      <w:r>
        <w:t>Im Rahmen der bis zu 50 Modellstandorte konnte und kann</w:t>
      </w:r>
      <w:r w:rsidR="00605B94">
        <w:t xml:space="preserve"> </w:t>
      </w:r>
      <w:r>
        <w:t>ein Aufwuchs der Standorte nur nach den jeweils zur Verfügung stehenden</w:t>
      </w:r>
      <w:r w:rsidR="00605B94">
        <w:t xml:space="preserve"> </w:t>
      </w:r>
      <w:r>
        <w:t>Haushaltsmitteln erfolgen.</w:t>
      </w:r>
    </w:p>
    <w:p w:rsidR="0034715F" w:rsidRDefault="0034715F" w:rsidP="0034715F">
      <w:pPr>
        <w:pStyle w:val="LTAntwortRessortText"/>
      </w:pPr>
      <w:r>
        <w:t>In der Kabinettssitzung vom 26.04.2022 wurde die Öffnung der Kombimodelle</w:t>
      </w:r>
      <w:r w:rsidR="00605B94">
        <w:t xml:space="preserve"> </w:t>
      </w:r>
      <w:r>
        <w:t>über die bis zu 50 Modellstandorte hinaus beschlossen. Dabei</w:t>
      </w:r>
      <w:r w:rsidR="00605B94">
        <w:t xml:space="preserve"> </w:t>
      </w:r>
      <w:r>
        <w:t>wurde aber die Betriebskostenförderung (kindbezogene Förderung</w:t>
      </w:r>
      <w:r w:rsidR="00605B94">
        <w:t xml:space="preserve"> </w:t>
      </w:r>
      <w:r>
        <w:t xml:space="preserve">nach dem </w:t>
      </w:r>
      <w:r w:rsidR="00873C37">
        <w:t xml:space="preserve">Bayerischen Kinderbildungs- und -betreuungsgesetz – </w:t>
      </w:r>
      <w:r>
        <w:t>BayKiBiG) wie folgt angepasst.</w:t>
      </w:r>
    </w:p>
    <w:p w:rsidR="0034715F" w:rsidRDefault="0034715F" w:rsidP="0034715F">
      <w:pPr>
        <w:pStyle w:val="LTAntwortRessortText"/>
      </w:pPr>
      <w:r>
        <w:t>Im Rahmen der bis zu 50 Modellstandorte erfolgt die kindbezogene</w:t>
      </w:r>
      <w:r w:rsidR="002D18AF">
        <w:t xml:space="preserve"> </w:t>
      </w:r>
      <w:r>
        <w:t>Förderung anhand eines pauschalierten Buchungszeitfaktors. Im Rahmen</w:t>
      </w:r>
      <w:r w:rsidR="002D18AF">
        <w:t xml:space="preserve"> </w:t>
      </w:r>
      <w:r>
        <w:t>der bis zu 50 Modellstandorte wird eine modellhafte Förderung</w:t>
      </w:r>
      <w:r w:rsidR="002D18AF">
        <w:t xml:space="preserve"> </w:t>
      </w:r>
      <w:r>
        <w:t>beibehalten.</w:t>
      </w:r>
    </w:p>
    <w:p w:rsidR="0034715F" w:rsidRDefault="0034715F" w:rsidP="0034715F">
      <w:pPr>
        <w:pStyle w:val="LTAntwortRessortText"/>
      </w:pPr>
      <w:r>
        <w:t>Für die aufgrund des Kabinettsbeschlusses vom 26.04.2022 neu hinzukommenden</w:t>
      </w:r>
      <w:r w:rsidR="00CB700A">
        <w:t xml:space="preserve"> </w:t>
      </w:r>
      <w:r>
        <w:t>Standorte wird die reguläre gesetzliche Förderung nach</w:t>
      </w:r>
      <w:r w:rsidR="00CB700A">
        <w:t xml:space="preserve"> </w:t>
      </w:r>
      <w:r>
        <w:t>dem BayKiBiG anhand der tatsächlich gebuchten Zeiten gewährt. Über</w:t>
      </w:r>
      <w:r w:rsidR="00CB700A">
        <w:t xml:space="preserve"> </w:t>
      </w:r>
      <w:r>
        <w:t>die Experimentierklausel des BayKiBiG wird es den Ganztagskooperationspartnern</w:t>
      </w:r>
      <w:r w:rsidR="00CB700A">
        <w:t xml:space="preserve"> </w:t>
      </w:r>
      <w:r>
        <w:t>von Anfang an ermöglicht, auf Mindestbuchungszeiten zu</w:t>
      </w:r>
      <w:r w:rsidR="00CB700A">
        <w:t xml:space="preserve"> </w:t>
      </w:r>
      <w:r>
        <w:t xml:space="preserve">verzichten. Eltern können damit die Betreuung auf Hortniveau </w:t>
      </w:r>
      <w:r>
        <w:lastRenderedPageBreak/>
        <w:t>in der</w:t>
      </w:r>
      <w:r w:rsidR="00CB700A">
        <w:t xml:space="preserve"> </w:t>
      </w:r>
      <w:r>
        <w:t>Kombieinrichtung nur für die Zeiten buchen, die sie auch tatsächlich benötigen und erhalten so größtmögliche Flexibilität. Zusätzliche Haushaltsmittel</w:t>
      </w:r>
      <w:r w:rsidR="00CB700A">
        <w:t xml:space="preserve"> </w:t>
      </w:r>
      <w:r>
        <w:t>werden dafür nicht benötigt. Eine Budgetierung der Modellstandorte</w:t>
      </w:r>
      <w:r w:rsidR="00CB700A">
        <w:t xml:space="preserve"> </w:t>
      </w:r>
      <w:r>
        <w:t>auf die Regierungsbezirke ist nicht vorgesehen.</w:t>
      </w:r>
    </w:p>
    <w:p w:rsidR="0034715F" w:rsidRDefault="0034715F">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34715F" w:rsidTr="007B0B33">
        <w:tc>
          <w:tcPr>
            <w:tcW w:w="2050" w:type="dxa"/>
          </w:tcPr>
          <w:p w:rsidR="0034715F" w:rsidRDefault="0034715F" w:rsidP="0034715F">
            <w:pPr>
              <w:pStyle w:val="LTAnfrageInitiator"/>
            </w:pPr>
            <w:r>
              <w:lastRenderedPageBreak/>
              <w:t>Abgeordneter</w:t>
            </w:r>
            <w:r>
              <w:rPr>
                <w:b/>
              </w:rPr>
              <w:br/>
              <w:t>Martin</w:t>
            </w:r>
            <w:r>
              <w:rPr>
                <w:b/>
              </w:rPr>
              <w:br/>
              <w:t>Hagen</w:t>
            </w:r>
            <w:r>
              <w:rPr>
                <w:b/>
              </w:rPr>
              <w:br/>
            </w:r>
            <w:r>
              <w:t>(FDP)</w:t>
            </w:r>
            <w:bookmarkStart w:id="105" w:name="Frage_Nr_52"/>
            <w:bookmarkEnd w:id="105"/>
          </w:p>
        </w:tc>
        <w:tc>
          <w:tcPr>
            <w:tcW w:w="7200" w:type="dxa"/>
          </w:tcPr>
          <w:p w:rsidR="0034715F" w:rsidRPr="00CF1266" w:rsidRDefault="00CF1266" w:rsidP="0034715F">
            <w:pPr>
              <w:pStyle w:val="LTAnfrageText"/>
            </w:pPr>
            <w:r w:rsidRPr="00CF1266">
              <w:rPr>
                <w:szCs w:val="24"/>
              </w:rPr>
              <w:t>Ich frage die Staatsregierung, vor welchem Hintergrund hat sich die Staatsregierung entschieden, das seit Oktober 2021 ausgesetzte Kinderwunschprogramm wieder aufzunehmen, warum ist sie diesen Schritt nicht bereits früher gegangen, obwohl die zusätzlichen Bundesmittel weiterhin ausstehen und wie werden die Betroffenen (die ggfs. in den letzten Monaten keinen Antrag stellen konnten) über die wieder gestartete Fördermöglichkeit informiert?</w:t>
            </w:r>
          </w:p>
        </w:tc>
      </w:tr>
    </w:tbl>
    <w:p w:rsidR="0034715F" w:rsidRDefault="0034715F" w:rsidP="0034715F">
      <w:pPr>
        <w:pStyle w:val="LTUeberschrAntwortRessort"/>
      </w:pPr>
      <w:r>
        <w:t>Antwort des Staatsministeriums für Familie, Arbeit und Soziales</w:t>
      </w:r>
    </w:p>
    <w:p w:rsidR="0034715F" w:rsidRDefault="0034715F" w:rsidP="0034715F">
      <w:pPr>
        <w:pStyle w:val="LTAntwortRessortText"/>
      </w:pPr>
      <w:r>
        <w:t>Seit dem 1. November 2020 beteiligt sich Bayern am Bund-Länder-Programm zur Förderung von Kinderwunschbehandlungen. Das paritätisch</w:t>
      </w:r>
      <w:r w:rsidR="00E40A48">
        <w:t xml:space="preserve"> </w:t>
      </w:r>
      <w:r>
        <w:t>finanzierte Förderprogramm wird in Bayern sehr rege in Anspruch</w:t>
      </w:r>
      <w:r w:rsidR="00E40A48">
        <w:t xml:space="preserve"> </w:t>
      </w:r>
      <w:r>
        <w:t>genommen. Die Finanzausstattung durch den Bund ist zu gering bemessen,</w:t>
      </w:r>
      <w:r w:rsidR="00E40A48">
        <w:t xml:space="preserve"> </w:t>
      </w:r>
      <w:r>
        <w:t>um durchgängig bedarfsgerecht bewilligen zu können. Deshalb</w:t>
      </w:r>
      <w:r w:rsidR="00E40A48">
        <w:t xml:space="preserve"> </w:t>
      </w:r>
      <w:r>
        <w:t>kam es Mitte Oktober 2021 zu einem Förderstopp.</w:t>
      </w:r>
    </w:p>
    <w:p w:rsidR="0034715F" w:rsidRDefault="0034715F" w:rsidP="0034715F">
      <w:pPr>
        <w:pStyle w:val="LTAntwortRessortText"/>
      </w:pPr>
      <w:r>
        <w:t>Trotz mehrfacher Vorstöße des Staatsministeriums für Familie, Arbeit</w:t>
      </w:r>
      <w:r w:rsidR="00D206E8">
        <w:t xml:space="preserve"> </w:t>
      </w:r>
      <w:r>
        <w:t>und Soziales auf politischer und auf Fachebene war eine Lösung mit</w:t>
      </w:r>
      <w:r w:rsidR="00D206E8">
        <w:t xml:space="preserve"> </w:t>
      </w:r>
      <w:r>
        <w:t>dem Bund nicht zu erreichen.</w:t>
      </w:r>
    </w:p>
    <w:p w:rsidR="0034715F" w:rsidRDefault="0034715F" w:rsidP="0034715F">
      <w:pPr>
        <w:pStyle w:val="LTAntwortRessortText"/>
      </w:pPr>
      <w:r>
        <w:t>Deshalb hat Bayern das als Land pragmatisch in die Hand genommen:</w:t>
      </w:r>
      <w:r w:rsidR="00D206E8">
        <w:t xml:space="preserve"> </w:t>
      </w:r>
      <w:r w:rsidR="00F45CE4">
        <w:t>Seit dem 2. </w:t>
      </w:r>
      <w:r>
        <w:t>Mai 2022 ist eine Antragstellung wieder möglich. Nach Antragstellung</w:t>
      </w:r>
      <w:r w:rsidR="00D206E8">
        <w:t xml:space="preserve"> </w:t>
      </w:r>
      <w:r>
        <w:t>können vorübergehend Zustimmungen zum vorzeitigen</w:t>
      </w:r>
      <w:r w:rsidR="00D206E8">
        <w:t xml:space="preserve"> </w:t>
      </w:r>
      <w:r>
        <w:t>Maßnahme</w:t>
      </w:r>
      <w:r w:rsidR="00F45CE4">
        <w:t>n</w:t>
      </w:r>
      <w:r>
        <w:t>beginn erteilt werden. Paare erhalten damit zwar keinen</w:t>
      </w:r>
      <w:r w:rsidR="00D206E8">
        <w:t xml:space="preserve"> </w:t>
      </w:r>
      <w:r>
        <w:t>Anspruch auf die Gewährung von Fördermitteln, können aber förderunschädlich</w:t>
      </w:r>
      <w:r w:rsidR="00D206E8">
        <w:t xml:space="preserve"> </w:t>
      </w:r>
      <w:r>
        <w:t>mit der Kinderwunschbehandlung starten. Regulär bewilligt</w:t>
      </w:r>
      <w:r w:rsidR="00D206E8">
        <w:t xml:space="preserve"> </w:t>
      </w:r>
      <w:r>
        <w:t>wird wieder, sobald zusätzliche Bundesmittel verfügbar sind. Dies ist</w:t>
      </w:r>
      <w:r w:rsidR="00D206E8">
        <w:t xml:space="preserve"> </w:t>
      </w:r>
      <w:r>
        <w:t>voraussichtlich im Sommer 2022 der Fall.</w:t>
      </w:r>
    </w:p>
    <w:p w:rsidR="0034715F" w:rsidRDefault="0034715F" w:rsidP="0034715F">
      <w:pPr>
        <w:pStyle w:val="LTAntwortRessortText"/>
      </w:pPr>
      <w:r>
        <w:t>Ein früherer Neustart bei der Kinderwunschförderung war nicht möglich,</w:t>
      </w:r>
      <w:r w:rsidR="00CF4A6F">
        <w:t xml:space="preserve"> </w:t>
      </w:r>
      <w:r>
        <w:t>da die Erteilung von Zustimmungen zum vorzeitigen Maßnahme</w:t>
      </w:r>
      <w:r w:rsidR="00F45CE4">
        <w:t>n</w:t>
      </w:r>
      <w:r>
        <w:t>beginn</w:t>
      </w:r>
      <w:r w:rsidR="00CF4A6F">
        <w:t xml:space="preserve"> </w:t>
      </w:r>
      <w:r>
        <w:t>nach Landesrecht voraussetzt, dass die Finanzierung des Vorhabens</w:t>
      </w:r>
      <w:r w:rsidR="00CF4A6F">
        <w:t xml:space="preserve"> </w:t>
      </w:r>
      <w:r w:rsidR="00F45CE4">
        <w:t>– zumindest überschlägig –</w:t>
      </w:r>
      <w:r>
        <w:t xml:space="preserve"> gesichert erscheint. Die Finanzierung</w:t>
      </w:r>
      <w:r w:rsidR="00CF4A6F">
        <w:t xml:space="preserve"> </w:t>
      </w:r>
      <w:r>
        <w:t>erscheint in dem Umfang gesichert, soweit Bundesmittel und Landesmittel</w:t>
      </w:r>
      <w:r w:rsidR="00CF4A6F">
        <w:t xml:space="preserve"> </w:t>
      </w:r>
      <w:r>
        <w:t>in entsprechender Höhe erwartbar bzw. vorhanden sind. Die</w:t>
      </w:r>
      <w:r w:rsidR="00CF4A6F">
        <w:t xml:space="preserve"> </w:t>
      </w:r>
      <w:r>
        <w:t>voraussichtlich verfügbaren Finanzmittel des Bundes (paritätisch aufgestockt</w:t>
      </w:r>
      <w:r w:rsidR="00CF4A6F">
        <w:t xml:space="preserve"> </w:t>
      </w:r>
      <w:r>
        <w:t>durch das Land) reichen anhand der bisherigen Erfahrung mit</w:t>
      </w:r>
      <w:r w:rsidR="00CF4A6F">
        <w:t xml:space="preserve"> </w:t>
      </w:r>
      <w:r>
        <w:t>dem Förderprogramm jedoch nur für ca. 8 Monate.</w:t>
      </w:r>
    </w:p>
    <w:p w:rsidR="0034715F" w:rsidRDefault="0034715F" w:rsidP="0034715F">
      <w:pPr>
        <w:pStyle w:val="LTAntwortRessortText"/>
      </w:pPr>
      <w:r>
        <w:t>Der Neustart zum 2. Mai wurde sowohl mittels Pressemitteilung als</w:t>
      </w:r>
      <w:r w:rsidR="009B00F1">
        <w:t xml:space="preserve"> </w:t>
      </w:r>
      <w:r>
        <w:t>auch über Instagram (@familienlandbayern, @bayerisches_sozialministerium)</w:t>
      </w:r>
      <w:r w:rsidR="009B00F1">
        <w:t xml:space="preserve"> </w:t>
      </w:r>
      <w:r>
        <w:t>kommuniziert. Auf der Seite des Zentrum Bayern Familie</w:t>
      </w:r>
      <w:r w:rsidR="009B00F1">
        <w:t xml:space="preserve"> </w:t>
      </w:r>
      <w:r>
        <w:t>und Soziales wurde der Online-Antrag wieder zur Verfügung gestellt.</w:t>
      </w:r>
      <w:r w:rsidR="009B00F1">
        <w:t xml:space="preserve"> </w:t>
      </w:r>
      <w:r>
        <w:t>Das überdurchschnittlich hohe Antragsvolumen in der ersten Maiwoche</w:t>
      </w:r>
      <w:r w:rsidR="009B00F1">
        <w:t xml:space="preserve"> </w:t>
      </w:r>
      <w:r>
        <w:t>belegt, dass die Nachricht über den Neustart bei der Kinderwunschförderung</w:t>
      </w:r>
      <w:r w:rsidR="009B00F1">
        <w:t xml:space="preserve"> </w:t>
      </w:r>
      <w:r>
        <w:t>in Bayern die betroffenen Paare erreicht hat.</w:t>
      </w:r>
    </w:p>
    <w:p w:rsidR="0034715F" w:rsidRDefault="0034715F">
      <w:bookmarkStart w:id="106" w:name="Frage_Nr_52_Ende"/>
      <w:bookmarkEnd w:id="106"/>
      <w:r>
        <w:br w:type="page"/>
      </w:r>
    </w:p>
    <w:p w:rsidR="0034715F" w:rsidRDefault="0034715F" w:rsidP="0034715F">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715F" w:rsidTr="007B0B33">
        <w:tc>
          <w:tcPr>
            <w:tcW w:w="2050" w:type="dxa"/>
          </w:tcPr>
          <w:p w:rsidR="0034715F" w:rsidRDefault="0034715F" w:rsidP="0034715F">
            <w:pPr>
              <w:pStyle w:val="LTAnfrageInitiator"/>
            </w:pPr>
            <w:r>
              <w:t>Abgeordneter</w:t>
            </w:r>
            <w:r>
              <w:rPr>
                <w:b/>
              </w:rPr>
              <w:br/>
              <w:t>Johannes</w:t>
            </w:r>
            <w:r>
              <w:rPr>
                <w:b/>
              </w:rPr>
              <w:br/>
              <w:t>Becher</w:t>
            </w:r>
            <w:r>
              <w:rPr>
                <w:b/>
              </w:rPr>
              <w:br/>
            </w:r>
            <w:r>
              <w:t>(BÜNDNIS 90/DIE GRÜNEN)</w:t>
            </w:r>
            <w:bookmarkStart w:id="107" w:name="Frage_Nr_53"/>
            <w:bookmarkEnd w:id="107"/>
          </w:p>
        </w:tc>
        <w:tc>
          <w:tcPr>
            <w:tcW w:w="7200" w:type="dxa"/>
          </w:tcPr>
          <w:p w:rsidR="0034715F" w:rsidRPr="00CF1266" w:rsidRDefault="00CF1266" w:rsidP="0034715F">
            <w:pPr>
              <w:pStyle w:val="LTAnfrageText"/>
            </w:pPr>
            <w:r w:rsidRPr="00CF1266">
              <w:rPr>
                <w:szCs w:val="24"/>
              </w:rPr>
              <w:t>Ich frage die Staatsregierung, wie viele Geburtshilfestationen wurden in den vergangenen vier Jahren in Bayern geschlossen, wie hat sich die Zahl der Geburten in den einzelnen Geburtshilfestationen entwickelt und wie viele Hebammen wurden in diesem Zeitraum ausgebildet (bitte nach Regierungsbezirken aufschlüsseln)?</w:t>
            </w:r>
          </w:p>
        </w:tc>
      </w:tr>
    </w:tbl>
    <w:p w:rsidR="0034715F" w:rsidRDefault="0034715F" w:rsidP="00EB6907">
      <w:pPr>
        <w:pStyle w:val="LTUeberschrAntwortRessort"/>
      </w:pPr>
      <w:r>
        <w:t>Antwort des Staatsministeriums für Gesundheit und Pflege</w:t>
      </w:r>
      <w:r w:rsidR="00EB6907">
        <w:t xml:space="preserve"> </w:t>
      </w:r>
      <w:r>
        <w:t>abgestimmt mit dem</w:t>
      </w:r>
      <w:r w:rsidR="00EB6907">
        <w:t xml:space="preserve"> </w:t>
      </w:r>
      <w:r>
        <w:t>Staatsministerium für Wissenschaft und Kunst (StMWK):</w:t>
      </w:r>
    </w:p>
    <w:p w:rsidR="0034715F" w:rsidRDefault="0034715F" w:rsidP="0034715F">
      <w:pPr>
        <w:pStyle w:val="LTAntwortRessortText"/>
      </w:pPr>
      <w:r>
        <w:t>Seit 1. Januar 2018 haben folgende Krankenhäuser ihre Geburtshilfeabteilungen dauerhaft oder</w:t>
      </w:r>
      <w:r w:rsidR="00875EE0">
        <w:t xml:space="preserve"> </w:t>
      </w:r>
      <w:r>
        <w:t>zumindest längerfristig geschlossen:</w:t>
      </w:r>
    </w:p>
    <w:p w:rsidR="0034715F" w:rsidRDefault="0034715F" w:rsidP="0034715F">
      <w:pPr>
        <w:pStyle w:val="LTAntwortRessortText"/>
      </w:pPr>
      <w:r>
        <w:t>a) Kliniken, bei denen die Geburtshilfe aus dem Krankenhausplan gestrichen wurde</w:t>
      </w:r>
    </w:p>
    <w:p w:rsidR="0034715F" w:rsidRDefault="0034715F" w:rsidP="00193893">
      <w:pPr>
        <w:pStyle w:val="LTAntwortRessortText"/>
        <w:numPr>
          <w:ilvl w:val="0"/>
          <w:numId w:val="32"/>
        </w:numPr>
        <w:spacing w:before="60"/>
        <w:ind w:left="1020" w:hanging="340"/>
      </w:pPr>
      <w:r>
        <w:t>Kreisklinik Wolfratshausen (aber: Außenstelle des Klinikums Starnberg an der Kreisklinik</w:t>
      </w:r>
      <w:r w:rsidR="00875EE0">
        <w:t xml:space="preserve"> </w:t>
      </w:r>
      <w:r>
        <w:t>Wolfratshausen mit 12 Betten der FR GUG)</w:t>
      </w:r>
    </w:p>
    <w:p w:rsidR="0034715F" w:rsidRDefault="0034715F" w:rsidP="00193893">
      <w:pPr>
        <w:pStyle w:val="LTAntwortRessortText"/>
        <w:numPr>
          <w:ilvl w:val="0"/>
          <w:numId w:val="32"/>
        </w:numPr>
        <w:spacing w:before="60"/>
        <w:ind w:left="1020" w:hanging="340"/>
      </w:pPr>
      <w:r>
        <w:t>Dr. Lubos Klinik Pasing (seit Ende März 2020, betreibt nur noch GYN)</w:t>
      </w:r>
    </w:p>
    <w:p w:rsidR="0034715F" w:rsidRDefault="0034715F" w:rsidP="00193893">
      <w:pPr>
        <w:pStyle w:val="LTAntwortRessortText"/>
        <w:numPr>
          <w:ilvl w:val="0"/>
          <w:numId w:val="32"/>
        </w:numPr>
        <w:spacing w:before="60"/>
        <w:ind w:left="1020" w:hanging="340"/>
      </w:pPr>
      <w:r>
        <w:t>ARBERLANDKlinik Viechtach (Geburtshilfe an ARBERLANDKlinik Zwiesel)</w:t>
      </w:r>
    </w:p>
    <w:p w:rsidR="0034715F" w:rsidRDefault="0034715F" w:rsidP="00193893">
      <w:pPr>
        <w:pStyle w:val="LTAntwortRessortText"/>
        <w:numPr>
          <w:ilvl w:val="0"/>
          <w:numId w:val="32"/>
        </w:numPr>
        <w:spacing w:before="60"/>
        <w:ind w:left="1020" w:hanging="340"/>
      </w:pPr>
      <w:r>
        <w:t>Asklepios Klinik Oberviechtach</w:t>
      </w:r>
    </w:p>
    <w:p w:rsidR="0034715F" w:rsidRDefault="0034715F" w:rsidP="00193893">
      <w:pPr>
        <w:pStyle w:val="LTAntwortRessortText"/>
        <w:numPr>
          <w:ilvl w:val="0"/>
          <w:numId w:val="32"/>
        </w:numPr>
        <w:spacing w:before="60"/>
        <w:ind w:left="1020" w:hanging="340"/>
      </w:pPr>
      <w:r>
        <w:t>ANRegiomed Klinik Dinkelsbühl (seit Ende Dezember 2018, nach Trägerangaben</w:t>
      </w:r>
      <w:r w:rsidR="00875EE0">
        <w:t xml:space="preserve"> </w:t>
      </w:r>
      <w:r>
        <w:t>vorübergehend, seit 2022 für dauerhaft erklärt)</w:t>
      </w:r>
    </w:p>
    <w:p w:rsidR="0034715F" w:rsidRDefault="0034715F" w:rsidP="0034715F">
      <w:pPr>
        <w:pStyle w:val="LTAntwortRessortText"/>
      </w:pPr>
      <w:r>
        <w:t>b) Kliniken, bei denen der Betrieb der Geburtshilfe laut Angaben der Träger längerfristig eingestellt</w:t>
      </w:r>
      <w:r w:rsidR="006B7084">
        <w:t xml:space="preserve"> </w:t>
      </w:r>
      <w:r>
        <w:t>wurde:</w:t>
      </w:r>
    </w:p>
    <w:p w:rsidR="0034715F" w:rsidRDefault="0034715F" w:rsidP="00193893">
      <w:pPr>
        <w:pStyle w:val="LTAntwortRessortText"/>
        <w:numPr>
          <w:ilvl w:val="0"/>
          <w:numId w:val="33"/>
        </w:numPr>
        <w:spacing w:before="60"/>
        <w:ind w:left="1020" w:hanging="340"/>
      </w:pPr>
      <w:r>
        <w:t>Kliniken an der Paar Krankenhaus Aichach (seit Mitte November 2018, nach</w:t>
      </w:r>
      <w:r w:rsidR="006B7084">
        <w:t xml:space="preserve"> </w:t>
      </w:r>
      <w:r>
        <w:t>Trägerangaben vorübergehend)</w:t>
      </w:r>
    </w:p>
    <w:p w:rsidR="0034715F" w:rsidRDefault="0034715F" w:rsidP="00193893">
      <w:pPr>
        <w:pStyle w:val="LTAntwortRessortText"/>
        <w:numPr>
          <w:ilvl w:val="0"/>
          <w:numId w:val="33"/>
        </w:numPr>
        <w:spacing w:before="60"/>
        <w:ind w:left="1020" w:hanging="340"/>
      </w:pPr>
      <w:r>
        <w:t>Wertachklinik Schwabmünchen (seit Mai 2018, nach Trägerangaben vorübergehend)</w:t>
      </w:r>
    </w:p>
    <w:p w:rsidR="0034715F" w:rsidRDefault="0034715F" w:rsidP="00193893">
      <w:pPr>
        <w:pStyle w:val="LTAntwortRessortText"/>
        <w:numPr>
          <w:ilvl w:val="0"/>
          <w:numId w:val="33"/>
        </w:numPr>
        <w:spacing w:before="60"/>
        <w:ind w:left="1020" w:hanging="340"/>
      </w:pPr>
      <w:r>
        <w:t>Klinik Naila (seit 2021)</w:t>
      </w:r>
    </w:p>
    <w:p w:rsidR="0034715F" w:rsidRDefault="0034715F" w:rsidP="00903596">
      <w:pPr>
        <w:pStyle w:val="LTAntwortRessortText"/>
      </w:pPr>
      <w:r>
        <w:t>Die Zahl der in Bayern lebend geborenen Kinder in den Geburtshilfestationen lag im Jahr 2018 bei</w:t>
      </w:r>
      <w:r w:rsidR="00903596">
        <w:t xml:space="preserve"> </w:t>
      </w:r>
      <w:r w:rsidR="00421373">
        <w:t>122 </w:t>
      </w:r>
      <w:r>
        <w:t>086, im Ja</w:t>
      </w:r>
      <w:r w:rsidR="00421373">
        <w:t>hr 2019 bei 122 354 und im Jahr 2020 bei 120 </w:t>
      </w:r>
      <w:r>
        <w:t>042. Für das Jahr 2021 liegen noch</w:t>
      </w:r>
      <w:r w:rsidR="00903596">
        <w:t xml:space="preserve"> </w:t>
      </w:r>
      <w:r>
        <w:t>keine krankenhausplanerischen Daten vor.</w:t>
      </w:r>
    </w:p>
    <w:p w:rsidR="0034715F" w:rsidRDefault="0034715F" w:rsidP="0034715F">
      <w:pPr>
        <w:pStyle w:val="LTAntwortRessortText"/>
      </w:pPr>
      <w:r>
        <w:t>In Oberbayern sank die Zahl der</w:t>
      </w:r>
      <w:r w:rsidR="00421373">
        <w:t xml:space="preserve"> lebend geborenen Kinder von 47 314 im Jahr 2018 auf 46 </w:t>
      </w:r>
      <w:r>
        <w:t>969 im</w:t>
      </w:r>
      <w:r w:rsidR="00903596">
        <w:t xml:space="preserve"> </w:t>
      </w:r>
      <w:r>
        <w:t>Jahr 2020. In Niederbayern stieg diese Za</w:t>
      </w:r>
      <w:r w:rsidR="00421373">
        <w:t>hl von 10 549 im Jahr 2018 auf 11 </w:t>
      </w:r>
      <w:r>
        <w:t>213 im Jahr 2020.</w:t>
      </w:r>
      <w:r w:rsidR="00903596">
        <w:t xml:space="preserve"> </w:t>
      </w:r>
      <w:r>
        <w:t>Auch in der Ob</w:t>
      </w:r>
      <w:r w:rsidR="00421373">
        <w:t>erpfalz stieg diese Zahl von 10 861 im Jahr 2018 auf 11 </w:t>
      </w:r>
      <w:r>
        <w:t>269 im Jahr 2020.</w:t>
      </w:r>
      <w:r w:rsidR="00903596">
        <w:t xml:space="preserve"> </w:t>
      </w:r>
      <w:r>
        <w:t>In den fränkischen Regierungsbezirken sank die Ge</w:t>
      </w:r>
      <w:r w:rsidR="00421373">
        <w:t>burtenzahl in Oberfranken von 8 </w:t>
      </w:r>
      <w:r>
        <w:t>946 im Jahr</w:t>
      </w:r>
      <w:r w:rsidR="00903596">
        <w:t xml:space="preserve"> </w:t>
      </w:r>
      <w:r w:rsidR="00421373">
        <w:t>2018 (9 </w:t>
      </w:r>
      <w:r>
        <w:t>006 im Jahr 201</w:t>
      </w:r>
      <w:r w:rsidR="00421373">
        <w:t>9) auf 7 </w:t>
      </w:r>
      <w:r>
        <w:t>158 im Jahr 2020 ebe</w:t>
      </w:r>
      <w:r w:rsidR="00421373">
        <w:t>nso wie in Mittelfranken von 17 </w:t>
      </w:r>
      <w:r>
        <w:t>152 im Jahr</w:t>
      </w:r>
      <w:r w:rsidR="00903596">
        <w:t xml:space="preserve"> </w:t>
      </w:r>
      <w:r w:rsidR="00421373">
        <w:t>2018 auf 15 </w:t>
      </w:r>
      <w:r>
        <w:t>972 im Jahr 2020. In Unterfranke</w:t>
      </w:r>
      <w:r w:rsidR="00421373">
        <w:t>n stieg die Geburtenzahl von 11 </w:t>
      </w:r>
      <w:r>
        <w:t>295 im Jahr 2018</w:t>
      </w:r>
      <w:r w:rsidR="00903596">
        <w:t xml:space="preserve"> </w:t>
      </w:r>
      <w:r w:rsidR="00421373">
        <w:t>auf 11 </w:t>
      </w:r>
      <w:r>
        <w:t>868 im Jahr 2020. In Schwaben sank die Zahl der lebend geborenen Kinder zwischen 2018</w:t>
      </w:r>
      <w:r w:rsidR="00903596">
        <w:t xml:space="preserve"> </w:t>
      </w:r>
      <w:r w:rsidR="00421373">
        <w:t>und 2020 von 15 969 auf 15 </w:t>
      </w:r>
      <w:r>
        <w:t>593.</w:t>
      </w:r>
    </w:p>
    <w:p w:rsidR="0034715F" w:rsidRDefault="0034715F" w:rsidP="0034715F">
      <w:pPr>
        <w:pStyle w:val="LTAntwortRessortText"/>
      </w:pPr>
      <w:r>
        <w:t>Zum Schutz der betroffenen Betriebs- und Geschäftsgeheimnisse können keine Geburtenzahlen</w:t>
      </w:r>
      <w:r w:rsidR="0062470E">
        <w:t xml:space="preserve"> </w:t>
      </w:r>
      <w:r>
        <w:t>der einzelnen Geburtshilfestationen herausgegeben werden.</w:t>
      </w:r>
    </w:p>
    <w:p w:rsidR="0034715F" w:rsidRDefault="0034715F" w:rsidP="0034715F">
      <w:pPr>
        <w:pStyle w:val="LTAntwortRessortText"/>
      </w:pPr>
      <w:r>
        <w:lastRenderedPageBreak/>
        <w:t>Die Zahl der Hebammen- / Entbindungspflegerschüler in diesem Ausbildungsberuf können</w:t>
      </w:r>
      <w:r w:rsidR="0062470E">
        <w:t xml:space="preserve"> </w:t>
      </w:r>
      <w:r>
        <w:t>nachfolgender Tabelle entnommen werden:</w:t>
      </w:r>
    </w:p>
    <w:p w:rsidR="0034715F" w:rsidRDefault="0034715F" w:rsidP="0034715F">
      <w:pPr>
        <w:pStyle w:val="LTAntwortRessortText"/>
      </w:pPr>
    </w:p>
    <w:tbl>
      <w:tblPr>
        <w:tblStyle w:val="TableNormal"/>
        <w:tblW w:w="6525" w:type="dxa"/>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7"/>
        <w:gridCol w:w="1134"/>
        <w:gridCol w:w="1134"/>
        <w:gridCol w:w="1134"/>
        <w:gridCol w:w="1276"/>
      </w:tblGrid>
      <w:tr w:rsidR="0062470E" w:rsidRPr="00421373" w:rsidTr="00421373">
        <w:trPr>
          <w:trHeight w:val="316"/>
        </w:trPr>
        <w:tc>
          <w:tcPr>
            <w:tcW w:w="6525" w:type="dxa"/>
            <w:gridSpan w:val="5"/>
            <w:vAlign w:val="center"/>
          </w:tcPr>
          <w:p w:rsidR="0062470E" w:rsidRPr="00421373" w:rsidRDefault="0062470E" w:rsidP="00421373">
            <w:pPr>
              <w:pStyle w:val="TableParagraph"/>
              <w:rPr>
                <w:rFonts w:ascii="Arial" w:hAnsi="Arial" w:cs="Arial"/>
                <w:b/>
                <w:sz w:val="18"/>
              </w:rPr>
            </w:pPr>
            <w:r w:rsidRPr="00421373">
              <w:rPr>
                <w:rFonts w:ascii="Arial" w:hAnsi="Arial" w:cs="Arial"/>
                <w:b/>
                <w:sz w:val="18"/>
              </w:rPr>
              <w:t>Schülerzahlen Hebammen/Entbindungspfleger</w:t>
            </w:r>
          </w:p>
        </w:tc>
      </w:tr>
      <w:tr w:rsidR="0062470E" w:rsidRPr="00421373" w:rsidTr="00421373">
        <w:trPr>
          <w:trHeight w:val="656"/>
        </w:trPr>
        <w:tc>
          <w:tcPr>
            <w:tcW w:w="1847" w:type="dxa"/>
            <w:vAlign w:val="center"/>
          </w:tcPr>
          <w:p w:rsidR="0062470E" w:rsidRPr="00421373" w:rsidRDefault="0062470E" w:rsidP="00421373">
            <w:pPr>
              <w:pStyle w:val="TableParagraph"/>
              <w:rPr>
                <w:rFonts w:ascii="Arial" w:hAnsi="Arial" w:cs="Arial"/>
                <w:b/>
                <w:sz w:val="18"/>
              </w:rPr>
            </w:pPr>
            <w:r w:rsidRPr="00421373">
              <w:rPr>
                <w:rFonts w:ascii="Arial" w:hAnsi="Arial" w:cs="Arial"/>
                <w:b/>
                <w:sz w:val="18"/>
              </w:rPr>
              <w:t>Regierungsbezirk</w:t>
            </w:r>
          </w:p>
        </w:tc>
        <w:tc>
          <w:tcPr>
            <w:tcW w:w="1134" w:type="dxa"/>
            <w:vAlign w:val="center"/>
          </w:tcPr>
          <w:p w:rsidR="0062470E" w:rsidRPr="00421373" w:rsidRDefault="0062470E" w:rsidP="00421373">
            <w:pPr>
              <w:pStyle w:val="TableParagraph"/>
              <w:jc w:val="center"/>
              <w:rPr>
                <w:rFonts w:ascii="Arial" w:hAnsi="Arial" w:cs="Arial"/>
                <w:b/>
                <w:sz w:val="18"/>
              </w:rPr>
            </w:pPr>
            <w:r w:rsidRPr="00421373">
              <w:rPr>
                <w:rFonts w:ascii="Arial" w:hAnsi="Arial" w:cs="Arial"/>
                <w:b/>
                <w:sz w:val="18"/>
              </w:rPr>
              <w:t>SJ 17/18</w:t>
            </w:r>
          </w:p>
        </w:tc>
        <w:tc>
          <w:tcPr>
            <w:tcW w:w="1134" w:type="dxa"/>
            <w:vAlign w:val="center"/>
          </w:tcPr>
          <w:p w:rsidR="0062470E" w:rsidRPr="00421373" w:rsidRDefault="0062470E" w:rsidP="00421373">
            <w:pPr>
              <w:pStyle w:val="TableParagraph"/>
              <w:jc w:val="center"/>
              <w:rPr>
                <w:rFonts w:ascii="Arial" w:hAnsi="Arial" w:cs="Arial"/>
                <w:b/>
                <w:sz w:val="18"/>
              </w:rPr>
            </w:pPr>
            <w:r w:rsidRPr="00421373">
              <w:rPr>
                <w:rFonts w:ascii="Arial" w:hAnsi="Arial" w:cs="Arial"/>
                <w:b/>
                <w:sz w:val="18"/>
              </w:rPr>
              <w:t>SJ 18/19</w:t>
            </w:r>
          </w:p>
        </w:tc>
        <w:tc>
          <w:tcPr>
            <w:tcW w:w="1134" w:type="dxa"/>
            <w:vAlign w:val="center"/>
          </w:tcPr>
          <w:p w:rsidR="0062470E" w:rsidRPr="00421373" w:rsidRDefault="0062470E" w:rsidP="00421373">
            <w:pPr>
              <w:pStyle w:val="TableParagraph"/>
              <w:jc w:val="center"/>
              <w:rPr>
                <w:rFonts w:ascii="Arial" w:hAnsi="Arial" w:cs="Arial"/>
                <w:b/>
                <w:sz w:val="18"/>
              </w:rPr>
            </w:pPr>
            <w:r w:rsidRPr="00421373">
              <w:rPr>
                <w:rFonts w:ascii="Arial" w:hAnsi="Arial" w:cs="Arial"/>
                <w:b/>
                <w:sz w:val="18"/>
              </w:rPr>
              <w:t>SJ 19/20</w:t>
            </w:r>
          </w:p>
        </w:tc>
        <w:tc>
          <w:tcPr>
            <w:tcW w:w="1276" w:type="dxa"/>
            <w:vAlign w:val="center"/>
          </w:tcPr>
          <w:p w:rsidR="0062470E" w:rsidRPr="00421373" w:rsidRDefault="0062470E" w:rsidP="00421373">
            <w:pPr>
              <w:pStyle w:val="TableParagraph"/>
              <w:jc w:val="center"/>
              <w:rPr>
                <w:rFonts w:ascii="Arial" w:hAnsi="Arial" w:cs="Arial"/>
                <w:b/>
                <w:sz w:val="18"/>
              </w:rPr>
            </w:pPr>
            <w:r w:rsidRPr="00421373">
              <w:rPr>
                <w:rFonts w:ascii="Arial" w:hAnsi="Arial" w:cs="Arial"/>
                <w:b/>
                <w:sz w:val="18"/>
              </w:rPr>
              <w:t>SJ 20/21</w:t>
            </w:r>
          </w:p>
        </w:tc>
      </w:tr>
      <w:tr w:rsidR="0062470E" w:rsidRPr="00421373" w:rsidTr="00421373">
        <w:trPr>
          <w:trHeight w:val="316"/>
        </w:trPr>
        <w:tc>
          <w:tcPr>
            <w:tcW w:w="1847" w:type="dxa"/>
            <w:vAlign w:val="center"/>
          </w:tcPr>
          <w:p w:rsidR="0062470E" w:rsidRPr="00421373" w:rsidRDefault="0062470E" w:rsidP="00421373">
            <w:pPr>
              <w:pStyle w:val="TableParagraph"/>
              <w:rPr>
                <w:rFonts w:ascii="Arial" w:hAnsi="Arial" w:cs="Arial"/>
                <w:sz w:val="18"/>
              </w:rPr>
            </w:pPr>
            <w:r w:rsidRPr="00421373">
              <w:rPr>
                <w:rFonts w:ascii="Arial" w:hAnsi="Arial" w:cs="Arial"/>
                <w:sz w:val="18"/>
              </w:rPr>
              <w:t>Oberbayern</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110</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115</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99</w:t>
            </w:r>
          </w:p>
        </w:tc>
        <w:tc>
          <w:tcPr>
            <w:tcW w:w="1276"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73</w:t>
            </w:r>
          </w:p>
        </w:tc>
      </w:tr>
      <w:tr w:rsidR="0062470E" w:rsidRPr="00421373" w:rsidTr="00421373">
        <w:trPr>
          <w:trHeight w:val="316"/>
        </w:trPr>
        <w:tc>
          <w:tcPr>
            <w:tcW w:w="1847" w:type="dxa"/>
            <w:vAlign w:val="center"/>
          </w:tcPr>
          <w:p w:rsidR="0062470E" w:rsidRPr="00421373" w:rsidRDefault="0062470E" w:rsidP="00421373">
            <w:pPr>
              <w:pStyle w:val="TableParagraph"/>
              <w:rPr>
                <w:rFonts w:ascii="Arial" w:hAnsi="Arial" w:cs="Arial"/>
                <w:sz w:val="18"/>
              </w:rPr>
            </w:pPr>
            <w:r w:rsidRPr="00421373">
              <w:rPr>
                <w:rFonts w:ascii="Arial" w:hAnsi="Arial" w:cs="Arial"/>
                <w:sz w:val="18"/>
              </w:rPr>
              <w:t>Oberfranken</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25</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48</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67</w:t>
            </w:r>
          </w:p>
        </w:tc>
        <w:tc>
          <w:tcPr>
            <w:tcW w:w="1276"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60</w:t>
            </w:r>
          </w:p>
        </w:tc>
      </w:tr>
      <w:tr w:rsidR="0062470E" w:rsidRPr="00421373" w:rsidTr="00421373">
        <w:trPr>
          <w:trHeight w:val="313"/>
        </w:trPr>
        <w:tc>
          <w:tcPr>
            <w:tcW w:w="1847" w:type="dxa"/>
            <w:vAlign w:val="center"/>
          </w:tcPr>
          <w:p w:rsidR="0062470E" w:rsidRPr="00421373" w:rsidRDefault="0062470E" w:rsidP="00421373">
            <w:pPr>
              <w:pStyle w:val="TableParagraph"/>
              <w:rPr>
                <w:rFonts w:ascii="Arial" w:hAnsi="Arial" w:cs="Arial"/>
                <w:sz w:val="18"/>
              </w:rPr>
            </w:pPr>
            <w:r w:rsidRPr="00421373">
              <w:rPr>
                <w:rFonts w:ascii="Arial" w:hAnsi="Arial" w:cs="Arial"/>
                <w:sz w:val="18"/>
              </w:rPr>
              <w:t>Mittelfranken</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96</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116</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112</w:t>
            </w:r>
          </w:p>
        </w:tc>
        <w:tc>
          <w:tcPr>
            <w:tcW w:w="1276"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115</w:t>
            </w:r>
          </w:p>
        </w:tc>
      </w:tr>
      <w:tr w:rsidR="0062470E" w:rsidRPr="00421373" w:rsidTr="00421373">
        <w:trPr>
          <w:trHeight w:val="316"/>
        </w:trPr>
        <w:tc>
          <w:tcPr>
            <w:tcW w:w="1847" w:type="dxa"/>
            <w:vAlign w:val="center"/>
          </w:tcPr>
          <w:p w:rsidR="0062470E" w:rsidRPr="00421373" w:rsidRDefault="0062470E" w:rsidP="00421373">
            <w:pPr>
              <w:pStyle w:val="TableParagraph"/>
              <w:rPr>
                <w:rFonts w:ascii="Arial" w:hAnsi="Arial" w:cs="Arial"/>
                <w:sz w:val="18"/>
              </w:rPr>
            </w:pPr>
            <w:r w:rsidRPr="00421373">
              <w:rPr>
                <w:rFonts w:ascii="Arial" w:hAnsi="Arial" w:cs="Arial"/>
                <w:sz w:val="18"/>
              </w:rPr>
              <w:t>Unterfranken</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49</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48</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68</w:t>
            </w:r>
          </w:p>
        </w:tc>
        <w:tc>
          <w:tcPr>
            <w:tcW w:w="1276"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66</w:t>
            </w:r>
          </w:p>
        </w:tc>
      </w:tr>
      <w:tr w:rsidR="0062470E" w:rsidRPr="00421373" w:rsidTr="00421373">
        <w:trPr>
          <w:trHeight w:val="313"/>
        </w:trPr>
        <w:tc>
          <w:tcPr>
            <w:tcW w:w="1847" w:type="dxa"/>
            <w:vAlign w:val="center"/>
          </w:tcPr>
          <w:p w:rsidR="0062470E" w:rsidRPr="00421373" w:rsidRDefault="0062470E" w:rsidP="00421373">
            <w:pPr>
              <w:pStyle w:val="TableParagraph"/>
              <w:rPr>
                <w:rFonts w:ascii="Arial" w:hAnsi="Arial" w:cs="Arial"/>
                <w:sz w:val="18"/>
              </w:rPr>
            </w:pPr>
            <w:r w:rsidRPr="00421373">
              <w:rPr>
                <w:rFonts w:ascii="Arial" w:hAnsi="Arial" w:cs="Arial"/>
                <w:sz w:val="18"/>
              </w:rPr>
              <w:t>Schwaben</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37</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38</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42</w:t>
            </w:r>
          </w:p>
        </w:tc>
        <w:tc>
          <w:tcPr>
            <w:tcW w:w="1276"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41</w:t>
            </w:r>
          </w:p>
        </w:tc>
      </w:tr>
      <w:tr w:rsidR="0062470E" w:rsidRPr="00421373" w:rsidTr="00421373">
        <w:trPr>
          <w:trHeight w:val="316"/>
        </w:trPr>
        <w:tc>
          <w:tcPr>
            <w:tcW w:w="1847" w:type="dxa"/>
            <w:vAlign w:val="center"/>
          </w:tcPr>
          <w:p w:rsidR="0062470E" w:rsidRPr="00421373" w:rsidRDefault="0062470E" w:rsidP="00421373">
            <w:pPr>
              <w:pStyle w:val="TableParagraph"/>
              <w:rPr>
                <w:rFonts w:ascii="Arial" w:hAnsi="Arial" w:cs="Arial"/>
                <w:sz w:val="18"/>
              </w:rPr>
            </w:pPr>
          </w:p>
        </w:tc>
        <w:tc>
          <w:tcPr>
            <w:tcW w:w="1134" w:type="dxa"/>
            <w:vAlign w:val="center"/>
          </w:tcPr>
          <w:p w:rsidR="0062470E" w:rsidRPr="00421373" w:rsidRDefault="0062470E" w:rsidP="00421373">
            <w:pPr>
              <w:pStyle w:val="TableParagraph"/>
              <w:jc w:val="center"/>
              <w:rPr>
                <w:rFonts w:ascii="Arial" w:hAnsi="Arial" w:cs="Arial"/>
                <w:sz w:val="18"/>
              </w:rPr>
            </w:pPr>
          </w:p>
        </w:tc>
        <w:tc>
          <w:tcPr>
            <w:tcW w:w="1134" w:type="dxa"/>
            <w:vAlign w:val="center"/>
          </w:tcPr>
          <w:p w:rsidR="0062470E" w:rsidRPr="00421373" w:rsidRDefault="0062470E" w:rsidP="00421373">
            <w:pPr>
              <w:pStyle w:val="TableParagraph"/>
              <w:jc w:val="center"/>
              <w:rPr>
                <w:rFonts w:ascii="Arial" w:hAnsi="Arial" w:cs="Arial"/>
                <w:sz w:val="18"/>
              </w:rPr>
            </w:pPr>
          </w:p>
        </w:tc>
        <w:tc>
          <w:tcPr>
            <w:tcW w:w="1134" w:type="dxa"/>
            <w:vAlign w:val="center"/>
          </w:tcPr>
          <w:p w:rsidR="0062470E" w:rsidRPr="00421373" w:rsidRDefault="0062470E" w:rsidP="00421373">
            <w:pPr>
              <w:pStyle w:val="TableParagraph"/>
              <w:jc w:val="center"/>
              <w:rPr>
                <w:rFonts w:ascii="Arial" w:hAnsi="Arial" w:cs="Arial"/>
                <w:sz w:val="18"/>
              </w:rPr>
            </w:pPr>
          </w:p>
        </w:tc>
        <w:tc>
          <w:tcPr>
            <w:tcW w:w="1276" w:type="dxa"/>
            <w:vAlign w:val="center"/>
          </w:tcPr>
          <w:p w:rsidR="0062470E" w:rsidRPr="00421373" w:rsidRDefault="0062470E" w:rsidP="00421373">
            <w:pPr>
              <w:pStyle w:val="TableParagraph"/>
              <w:jc w:val="center"/>
              <w:rPr>
                <w:rFonts w:ascii="Arial" w:hAnsi="Arial" w:cs="Arial"/>
                <w:sz w:val="18"/>
              </w:rPr>
            </w:pPr>
          </w:p>
        </w:tc>
      </w:tr>
      <w:tr w:rsidR="0062470E" w:rsidRPr="00421373" w:rsidTr="00421373">
        <w:trPr>
          <w:trHeight w:val="316"/>
        </w:trPr>
        <w:tc>
          <w:tcPr>
            <w:tcW w:w="1847" w:type="dxa"/>
            <w:vAlign w:val="center"/>
          </w:tcPr>
          <w:p w:rsidR="0062470E" w:rsidRPr="00421373" w:rsidRDefault="0062470E" w:rsidP="00421373">
            <w:pPr>
              <w:pStyle w:val="TableParagraph"/>
              <w:rPr>
                <w:rFonts w:ascii="Arial" w:hAnsi="Arial" w:cs="Arial"/>
                <w:sz w:val="18"/>
              </w:rPr>
            </w:pPr>
            <w:r w:rsidRPr="00421373">
              <w:rPr>
                <w:rFonts w:ascii="Arial" w:hAnsi="Arial" w:cs="Arial"/>
                <w:sz w:val="18"/>
              </w:rPr>
              <w:t>Gesamt</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317</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365</w:t>
            </w:r>
          </w:p>
        </w:tc>
        <w:tc>
          <w:tcPr>
            <w:tcW w:w="1134"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388</w:t>
            </w:r>
          </w:p>
        </w:tc>
        <w:tc>
          <w:tcPr>
            <w:tcW w:w="1276" w:type="dxa"/>
            <w:vAlign w:val="center"/>
          </w:tcPr>
          <w:p w:rsidR="0062470E" w:rsidRPr="00421373" w:rsidRDefault="0062470E" w:rsidP="00421373">
            <w:pPr>
              <w:pStyle w:val="TableParagraph"/>
              <w:jc w:val="center"/>
              <w:rPr>
                <w:rFonts w:ascii="Arial" w:hAnsi="Arial" w:cs="Arial"/>
                <w:sz w:val="18"/>
              </w:rPr>
            </w:pPr>
            <w:r w:rsidRPr="00421373">
              <w:rPr>
                <w:rFonts w:ascii="Arial" w:hAnsi="Arial" w:cs="Arial"/>
                <w:sz w:val="18"/>
              </w:rPr>
              <w:t>355</w:t>
            </w:r>
          </w:p>
        </w:tc>
      </w:tr>
    </w:tbl>
    <w:p w:rsidR="0034715F" w:rsidRDefault="0034715F" w:rsidP="0062470E">
      <w:pPr>
        <w:pStyle w:val="LTAntwortRessortText"/>
        <w:ind w:left="0"/>
      </w:pPr>
    </w:p>
    <w:p w:rsidR="0034715F" w:rsidRDefault="0034715F" w:rsidP="0034715F">
      <w:pPr>
        <w:pStyle w:val="LTAntwortRessortText"/>
      </w:pPr>
      <w:r>
        <w:t xml:space="preserve">Nach Mitteilung des </w:t>
      </w:r>
      <w:r w:rsidR="00765D84">
        <w:t>Staatsministeriums für Wissenschaft und Kunst</w:t>
      </w:r>
      <w:r>
        <w:t xml:space="preserve"> haben die Standorte der ersten Stufe der akademischen</w:t>
      </w:r>
      <w:r w:rsidR="0062470E">
        <w:t xml:space="preserve"> </w:t>
      </w:r>
      <w:r>
        <w:t xml:space="preserve">Hebammenausbildung, die </w:t>
      </w:r>
      <w:r w:rsidR="00765D84" w:rsidRPr="00765D84">
        <w:t xml:space="preserve">Ostbayerischen Technischen Hochschule </w:t>
      </w:r>
      <w:r w:rsidR="00765D84">
        <w:t>(</w:t>
      </w:r>
      <w:r>
        <w:t>OTH</w:t>
      </w:r>
      <w:r w:rsidR="00765D84">
        <w:t>)</w:t>
      </w:r>
      <w:r>
        <w:t xml:space="preserve"> Regensburg, die </w:t>
      </w:r>
      <w:r w:rsidR="00765D84" w:rsidRPr="00765D84">
        <w:t xml:space="preserve">Katholische Stiftungshochschule München </w:t>
      </w:r>
      <w:r w:rsidR="00765D84">
        <w:t>(</w:t>
      </w:r>
      <w:r>
        <w:t>KSH</w:t>
      </w:r>
      <w:r w:rsidR="00765D84">
        <w:t>)</w:t>
      </w:r>
      <w:r>
        <w:t xml:space="preserve"> München und die </w:t>
      </w:r>
      <w:r w:rsidR="00765D84" w:rsidRPr="00765D84">
        <w:t>Hochschule für angewandte Wissenschaften</w:t>
      </w:r>
      <w:r w:rsidR="00765D84">
        <w:t xml:space="preserve"> (</w:t>
      </w:r>
      <w:r>
        <w:t>HaW</w:t>
      </w:r>
      <w:r w:rsidR="00765D84">
        <w:t>)</w:t>
      </w:r>
      <w:r>
        <w:t xml:space="preserve"> Landshut, bisher</w:t>
      </w:r>
      <w:r w:rsidR="0062470E">
        <w:t xml:space="preserve"> </w:t>
      </w:r>
      <w:r>
        <w:t xml:space="preserve">noch keine Absolventinnen </w:t>
      </w:r>
      <w:r w:rsidR="001866B8">
        <w:t>bzw.</w:t>
      </w:r>
      <w:r>
        <w:t xml:space="preserve"> Absolventen in den Hebammenwissenschaften. Die ersten</w:t>
      </w:r>
      <w:r w:rsidR="0062470E">
        <w:t xml:space="preserve"> </w:t>
      </w:r>
      <w:r>
        <w:t>Studierenden der Hebammenwissenschaften werden voraussichtlich im Herbst 2022 ihr Studium</w:t>
      </w:r>
      <w:r w:rsidR="0062470E">
        <w:t xml:space="preserve"> </w:t>
      </w:r>
      <w:r>
        <w:t>abschließen.</w:t>
      </w:r>
    </w:p>
    <w:p w:rsidR="0034715F" w:rsidRDefault="0034715F">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tblGrid>
      <w:tr w:rsidR="0034715F" w:rsidTr="007B0B33">
        <w:tc>
          <w:tcPr>
            <w:tcW w:w="2050" w:type="dxa"/>
          </w:tcPr>
          <w:p w:rsidR="0034715F" w:rsidRDefault="0034715F" w:rsidP="0034715F">
            <w:pPr>
              <w:pStyle w:val="LTAnfrageInitiator"/>
            </w:pPr>
            <w:r>
              <w:lastRenderedPageBreak/>
              <w:t>Abgeordneter</w:t>
            </w:r>
            <w:r>
              <w:rPr>
                <w:b/>
              </w:rPr>
              <w:br/>
              <w:t>Franz</w:t>
            </w:r>
            <w:r>
              <w:rPr>
                <w:b/>
              </w:rPr>
              <w:br/>
              <w:t>Bergmüller</w:t>
            </w:r>
            <w:r>
              <w:rPr>
                <w:b/>
              </w:rPr>
              <w:br/>
            </w:r>
            <w:r>
              <w:t>(AfD)</w:t>
            </w:r>
            <w:bookmarkStart w:id="109" w:name="Frage_Nr_54"/>
            <w:bookmarkEnd w:id="109"/>
          </w:p>
        </w:tc>
        <w:tc>
          <w:tcPr>
            <w:tcW w:w="7200" w:type="dxa"/>
          </w:tcPr>
          <w:p w:rsidR="0034715F" w:rsidRPr="00CF1266" w:rsidRDefault="00CF1266" w:rsidP="0034715F">
            <w:pPr>
              <w:pStyle w:val="LTAnfrageText"/>
            </w:pPr>
            <w:r w:rsidRPr="00CF1266">
              <w:rPr>
                <w:szCs w:val="24"/>
              </w:rPr>
              <w:t>Ich frage die Staatsregierung, bis wann seit Februar 2022 die Ausgabe von KN95-Masken ausnahmsweise zulässig war, wie viele KN95-Masken an Hilfsbedürftige ausgegeben wurden (bitte jeweils auch auf Zeitpunkt eingehen) und auf welche Erkenntnisse sich die Vergleichbarkeit von KN95- und FFP2-Masken stützt, die die Grundlage der Ausnahmeregelung ist bzw. war?</w:t>
            </w:r>
          </w:p>
        </w:tc>
      </w:tr>
    </w:tbl>
    <w:p w:rsidR="0034715F" w:rsidRDefault="0034715F" w:rsidP="0034715F">
      <w:pPr>
        <w:pStyle w:val="LTUeberschrAntwortRessort"/>
      </w:pPr>
      <w:r>
        <w:t>Antwort des Staatsministeriums für Gesundheit und Pflege</w:t>
      </w:r>
    </w:p>
    <w:p w:rsidR="0034715F" w:rsidRDefault="0034715F" w:rsidP="0034715F">
      <w:pPr>
        <w:pStyle w:val="LTAntwortRessortText"/>
      </w:pPr>
      <w:r>
        <w:t xml:space="preserve">Aufgrund der </w:t>
      </w:r>
      <w:r w:rsidR="00190CE9">
        <w:t>„</w:t>
      </w:r>
      <w:r>
        <w:t xml:space="preserve">Empfehlung (EU) </w:t>
      </w:r>
      <w:r w:rsidR="0030115A">
        <w:t>2021/1433 der Kommission vom 1. September </w:t>
      </w:r>
      <w:r>
        <w:t>2021 über</w:t>
      </w:r>
      <w:r w:rsidR="00063257">
        <w:t xml:space="preserve"> </w:t>
      </w:r>
      <w:r>
        <w:t>Konformitätsbewertungs- und Marktüberwachungsverfahren im Kontext der COVID-19-Bedrohung</w:t>
      </w:r>
      <w:r w:rsidR="00190CE9">
        <w:t>“</w:t>
      </w:r>
      <w:r w:rsidR="00063257">
        <w:t xml:space="preserve"> </w:t>
      </w:r>
      <w:r>
        <w:t>ist eine Ausgabe von KN95-Masken grundsätzlich bis längstens 31.07.2022 möglich.</w:t>
      </w:r>
    </w:p>
    <w:p w:rsidR="0034715F" w:rsidRDefault="0034715F" w:rsidP="0034715F">
      <w:pPr>
        <w:pStyle w:val="LTAntwortRessortText"/>
      </w:pPr>
      <w:r>
        <w:t>Am 19.01.2021 wurden aus dem Pandemiezentrallager rd. 2,5 Mio. ausschließlich FFP2-Masken</w:t>
      </w:r>
      <w:r w:rsidR="00063257">
        <w:t xml:space="preserve"> </w:t>
      </w:r>
      <w:r>
        <w:t>an die Landratsämter und kreisfreien Städte ausgeliefert und von dort an die Hilfsbedürftigen</w:t>
      </w:r>
      <w:r w:rsidR="00063257">
        <w:t xml:space="preserve"> </w:t>
      </w:r>
      <w:r>
        <w:t>entsprechend weiterverteilt.</w:t>
      </w:r>
    </w:p>
    <w:p w:rsidR="0034715F" w:rsidRDefault="0034715F" w:rsidP="0034715F">
      <w:pPr>
        <w:pStyle w:val="LTAntwortRessortText"/>
      </w:pPr>
      <w:r>
        <w:t>Die Leistungseigenschaften, die Atemschutzmasken für eine Zertifizierung oder Zulassung in</w:t>
      </w:r>
      <w:r w:rsidR="00063257">
        <w:t xml:space="preserve"> </w:t>
      </w:r>
      <w:r>
        <w:t>einem bestimmten Land vorweisen müssen, werden überwiegend durch gesetzliche Normen</w:t>
      </w:r>
      <w:r w:rsidR="00063257">
        <w:t xml:space="preserve"> </w:t>
      </w:r>
      <w:r>
        <w:t>vorgegeben. Eine KN95-Maske muss die Anforderungen der chinesischen Norm GB2626-2006</w:t>
      </w:r>
      <w:r w:rsidR="00063257">
        <w:t xml:space="preserve"> </w:t>
      </w:r>
      <w:r>
        <w:t>erfüllen, analog gilt für FFP2-Masken die Erfüllung der Anforderungen der europäischen Norm EN</w:t>
      </w:r>
      <w:r w:rsidR="0030115A">
        <w:t> </w:t>
      </w:r>
      <w:r>
        <w:t>149. Eine Gegenüberstellung der beiden Normvorgaben lässt den Schluss zu, dass die technische</w:t>
      </w:r>
      <w:r w:rsidR="00063257">
        <w:t xml:space="preserve"> </w:t>
      </w:r>
      <w:r>
        <w:t>Wirksamkeit der beiden Maskentypen vergleichbar ist.</w:t>
      </w:r>
    </w:p>
    <w:p w:rsidR="0034715F" w:rsidRDefault="0034715F" w:rsidP="0034715F">
      <w:pPr>
        <w:pStyle w:val="LTAntwortRessortText"/>
      </w:pPr>
      <w:r>
        <w:t>Welche Erkenntnisse die Europäische Kommission für die in Rede stehenden</w:t>
      </w:r>
      <w:r w:rsidR="00063257">
        <w:t xml:space="preserve"> </w:t>
      </w:r>
      <w:r>
        <w:t xml:space="preserve">Ausnahmemöglichkeiten während der COVID-19-Bedrohung zugrunde gelegt hat, ist dem </w:t>
      </w:r>
      <w:r w:rsidR="0030115A">
        <w:t>Staatsministerium für Gesundheit und Pflege</w:t>
      </w:r>
      <w:r w:rsidR="00063257">
        <w:t xml:space="preserve"> </w:t>
      </w:r>
      <w:r>
        <w:t>nicht bekannt.</w:t>
      </w:r>
    </w:p>
    <w:p w:rsidR="0034715F" w:rsidRDefault="0034715F">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1"/>
        <w:gridCol w:w="5765"/>
      </w:tblGrid>
      <w:tr w:rsidR="0034715F" w:rsidTr="007B0B33">
        <w:tc>
          <w:tcPr>
            <w:tcW w:w="2050" w:type="dxa"/>
          </w:tcPr>
          <w:p w:rsidR="0034715F" w:rsidRDefault="0034715F" w:rsidP="0034715F">
            <w:pPr>
              <w:pStyle w:val="LTAnfrageInitiator"/>
            </w:pPr>
            <w:r>
              <w:lastRenderedPageBreak/>
              <w:t>Abgeordnete</w:t>
            </w:r>
            <w:r>
              <w:rPr>
                <w:b/>
              </w:rPr>
              <w:br/>
              <w:t>Kerstin</w:t>
            </w:r>
            <w:r>
              <w:rPr>
                <w:b/>
              </w:rPr>
              <w:br/>
              <w:t>Celina</w:t>
            </w:r>
            <w:r>
              <w:rPr>
                <w:b/>
              </w:rPr>
              <w:br/>
            </w:r>
            <w:r>
              <w:t>(BÜNDNIS 90/DIE GRÜNEN)</w:t>
            </w:r>
            <w:bookmarkStart w:id="111" w:name="Frage_Nr_55"/>
            <w:bookmarkEnd w:id="111"/>
          </w:p>
        </w:tc>
        <w:tc>
          <w:tcPr>
            <w:tcW w:w="7200" w:type="dxa"/>
          </w:tcPr>
          <w:p w:rsidR="0034715F" w:rsidRPr="00337DF6" w:rsidRDefault="00337DF6" w:rsidP="0034715F">
            <w:pPr>
              <w:pStyle w:val="LTAnfrageText"/>
            </w:pPr>
            <w:r w:rsidRPr="00337DF6">
              <w:rPr>
                <w:szCs w:val="24"/>
              </w:rPr>
              <w:t>Ich frage die Staatsregierung, wie hat sich die Zahl der Unterbringungen gemäß § 1631b (Unterbringung des Kindes, die mit Freiheitsentziehung verbunden ist) in den letzten fünf Jahren in Bayern entwickelt (bitte jährlich getrennt, Gesamtzahl und prozentual zur Altersgruppe auflisten), hat sich ihre Erwartung erfüllt, mit dem Psychisch-Kranken-Hilfe-Gesetz (PsychKHG) alternative Hilfsmöglichkeiten zur Unterbringung bereitzustellen und gelten die besonderen Sicherungsmaßnahmen nach Art. 29 PsychKHG auch für Kinder und Jugendliche unmittelbar?</w:t>
            </w:r>
          </w:p>
        </w:tc>
      </w:tr>
    </w:tbl>
    <w:p w:rsidR="0034715F" w:rsidRDefault="0034715F" w:rsidP="00A65E9D">
      <w:pPr>
        <w:pStyle w:val="LTUeberschrAntwortRessort"/>
      </w:pPr>
      <w:r>
        <w:t>Antwort des Staatsministeriums für Gesundheit und Pflege</w:t>
      </w:r>
      <w:r w:rsidR="00C2592F">
        <w:t xml:space="preserve"> </w:t>
      </w:r>
      <w:r>
        <w:t>in Abstimmung mit dem</w:t>
      </w:r>
      <w:r w:rsidR="00C2592F">
        <w:t xml:space="preserve"> </w:t>
      </w:r>
      <w:r>
        <w:t>Staatsministerium für Familie, Arbeit und Soziales (StMAS) und dem Staatsministerium der Justiz</w:t>
      </w:r>
      <w:r w:rsidR="00A65E9D">
        <w:t xml:space="preserve"> </w:t>
      </w:r>
      <w:r>
        <w:t>(StMJ):</w:t>
      </w:r>
    </w:p>
    <w:p w:rsidR="0034715F" w:rsidRDefault="0034715F" w:rsidP="0034715F">
      <w:pPr>
        <w:pStyle w:val="LTAntwortRessortText"/>
      </w:pPr>
      <w:r>
        <w:t>Laut StMJ stellt sich die zahlenmäßige Entwick</w:t>
      </w:r>
      <w:r w:rsidR="0088677A">
        <w:t>lung der Unterbringungen gem. § </w:t>
      </w:r>
      <w:r>
        <w:t>1631b Abs. 1</w:t>
      </w:r>
      <w:r w:rsidR="00A65E9D">
        <w:t xml:space="preserve"> </w:t>
      </w:r>
      <w:r w:rsidR="0088677A" w:rsidRPr="0088677A">
        <w:t xml:space="preserve">Bürgerliches Gesetzbuch </w:t>
      </w:r>
      <w:r w:rsidR="0088677A">
        <w:t>(</w:t>
      </w:r>
      <w:r>
        <w:t>BGB</w:t>
      </w:r>
      <w:r w:rsidR="0088677A">
        <w:t>)</w:t>
      </w:r>
      <w:r>
        <w:t xml:space="preserve"> in Bayern in den letzten fünf Jahren wie folgt dar:</w:t>
      </w:r>
    </w:p>
    <w:p w:rsidR="0034715F" w:rsidRDefault="0034715F" w:rsidP="0034715F">
      <w:pPr>
        <w:pStyle w:val="LTAntwortRessortText"/>
      </w:pPr>
    </w:p>
    <w:tbl>
      <w:tblPr>
        <w:tblStyle w:val="TableNormal"/>
        <w:tblW w:w="6143"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9"/>
        <w:gridCol w:w="850"/>
        <w:gridCol w:w="851"/>
        <w:gridCol w:w="850"/>
        <w:gridCol w:w="993"/>
        <w:gridCol w:w="850"/>
      </w:tblGrid>
      <w:tr w:rsidR="00A65E9D" w:rsidRPr="0088677A" w:rsidTr="00B574F2">
        <w:trPr>
          <w:trHeight w:val="378"/>
        </w:trPr>
        <w:tc>
          <w:tcPr>
            <w:tcW w:w="1749" w:type="dxa"/>
            <w:tcBorders>
              <w:top w:val="nil"/>
              <w:left w:val="nil"/>
            </w:tcBorders>
            <w:vAlign w:val="center"/>
          </w:tcPr>
          <w:p w:rsidR="00A65E9D" w:rsidRPr="0088677A" w:rsidRDefault="00A65E9D" w:rsidP="0088677A">
            <w:pPr>
              <w:pStyle w:val="TableParagraph"/>
              <w:rPr>
                <w:rFonts w:ascii="Arial" w:hAnsi="Arial" w:cs="Arial"/>
                <w:sz w:val="18"/>
              </w:rPr>
            </w:pPr>
          </w:p>
        </w:tc>
        <w:tc>
          <w:tcPr>
            <w:tcW w:w="850" w:type="dxa"/>
            <w:vAlign w:val="center"/>
          </w:tcPr>
          <w:p w:rsidR="00A65E9D" w:rsidRPr="0088677A" w:rsidRDefault="00A65E9D" w:rsidP="0088677A">
            <w:pPr>
              <w:pStyle w:val="TableParagraph"/>
              <w:spacing w:line="248" w:lineRule="exact"/>
              <w:jc w:val="center"/>
              <w:rPr>
                <w:rFonts w:ascii="Arial" w:hAnsi="Arial" w:cs="Arial"/>
                <w:b/>
                <w:sz w:val="18"/>
              </w:rPr>
            </w:pPr>
            <w:r w:rsidRPr="0088677A">
              <w:rPr>
                <w:rFonts w:ascii="Arial" w:hAnsi="Arial" w:cs="Arial"/>
                <w:b/>
                <w:sz w:val="18"/>
              </w:rPr>
              <w:t>2017</w:t>
            </w:r>
          </w:p>
        </w:tc>
        <w:tc>
          <w:tcPr>
            <w:tcW w:w="851" w:type="dxa"/>
            <w:vAlign w:val="center"/>
          </w:tcPr>
          <w:p w:rsidR="00A65E9D" w:rsidRPr="0088677A" w:rsidRDefault="00A65E9D" w:rsidP="0088677A">
            <w:pPr>
              <w:pStyle w:val="TableParagraph"/>
              <w:spacing w:line="248" w:lineRule="exact"/>
              <w:jc w:val="center"/>
              <w:rPr>
                <w:rFonts w:ascii="Arial" w:hAnsi="Arial" w:cs="Arial"/>
                <w:b/>
                <w:sz w:val="18"/>
              </w:rPr>
            </w:pPr>
            <w:r w:rsidRPr="0088677A">
              <w:rPr>
                <w:rFonts w:ascii="Arial" w:hAnsi="Arial" w:cs="Arial"/>
                <w:b/>
                <w:sz w:val="18"/>
              </w:rPr>
              <w:t>2018</w:t>
            </w:r>
          </w:p>
        </w:tc>
        <w:tc>
          <w:tcPr>
            <w:tcW w:w="850" w:type="dxa"/>
            <w:vAlign w:val="center"/>
          </w:tcPr>
          <w:p w:rsidR="00A65E9D" w:rsidRPr="0088677A" w:rsidRDefault="00A65E9D" w:rsidP="0088677A">
            <w:pPr>
              <w:pStyle w:val="TableParagraph"/>
              <w:spacing w:line="248" w:lineRule="exact"/>
              <w:jc w:val="center"/>
              <w:rPr>
                <w:rFonts w:ascii="Arial" w:hAnsi="Arial" w:cs="Arial"/>
                <w:b/>
                <w:sz w:val="18"/>
              </w:rPr>
            </w:pPr>
            <w:r w:rsidRPr="0088677A">
              <w:rPr>
                <w:rFonts w:ascii="Arial" w:hAnsi="Arial" w:cs="Arial"/>
                <w:b/>
                <w:sz w:val="18"/>
              </w:rPr>
              <w:t>2019</w:t>
            </w:r>
          </w:p>
        </w:tc>
        <w:tc>
          <w:tcPr>
            <w:tcW w:w="993" w:type="dxa"/>
            <w:vAlign w:val="center"/>
          </w:tcPr>
          <w:p w:rsidR="00A65E9D" w:rsidRPr="0088677A" w:rsidRDefault="00A65E9D" w:rsidP="0088677A">
            <w:pPr>
              <w:pStyle w:val="TableParagraph"/>
              <w:spacing w:line="248" w:lineRule="exact"/>
              <w:jc w:val="center"/>
              <w:rPr>
                <w:rFonts w:ascii="Arial" w:hAnsi="Arial" w:cs="Arial"/>
                <w:b/>
                <w:sz w:val="18"/>
              </w:rPr>
            </w:pPr>
            <w:r w:rsidRPr="0088677A">
              <w:rPr>
                <w:rFonts w:ascii="Arial" w:hAnsi="Arial" w:cs="Arial"/>
                <w:b/>
                <w:sz w:val="18"/>
              </w:rPr>
              <w:t>2020</w:t>
            </w:r>
          </w:p>
        </w:tc>
        <w:tc>
          <w:tcPr>
            <w:tcW w:w="850" w:type="dxa"/>
            <w:vAlign w:val="center"/>
          </w:tcPr>
          <w:p w:rsidR="00A65E9D" w:rsidRPr="0088677A" w:rsidRDefault="00A65E9D" w:rsidP="0088677A">
            <w:pPr>
              <w:pStyle w:val="TableParagraph"/>
              <w:spacing w:line="248" w:lineRule="exact"/>
              <w:jc w:val="center"/>
              <w:rPr>
                <w:rFonts w:ascii="Arial" w:hAnsi="Arial" w:cs="Arial"/>
                <w:b/>
                <w:sz w:val="18"/>
              </w:rPr>
            </w:pPr>
            <w:r w:rsidRPr="0088677A">
              <w:rPr>
                <w:rFonts w:ascii="Arial" w:hAnsi="Arial" w:cs="Arial"/>
                <w:b/>
                <w:sz w:val="18"/>
              </w:rPr>
              <w:t>2021</w:t>
            </w:r>
          </w:p>
        </w:tc>
      </w:tr>
      <w:tr w:rsidR="00A65E9D" w:rsidRPr="0088677A" w:rsidTr="00B574F2">
        <w:trPr>
          <w:trHeight w:val="1520"/>
        </w:trPr>
        <w:tc>
          <w:tcPr>
            <w:tcW w:w="1749" w:type="dxa"/>
            <w:vAlign w:val="center"/>
          </w:tcPr>
          <w:p w:rsidR="00A65E9D" w:rsidRPr="0088677A" w:rsidRDefault="00A65E9D" w:rsidP="0088677A">
            <w:pPr>
              <w:pStyle w:val="TableParagraph"/>
              <w:spacing w:line="360" w:lineRule="auto"/>
              <w:rPr>
                <w:rFonts w:ascii="Arial" w:hAnsi="Arial" w:cs="Arial"/>
                <w:sz w:val="18"/>
              </w:rPr>
            </w:pPr>
            <w:r w:rsidRPr="0088677A">
              <w:rPr>
                <w:rFonts w:ascii="Arial" w:hAnsi="Arial" w:cs="Arial"/>
                <w:sz w:val="18"/>
              </w:rPr>
              <w:t>freiheitsent</w:t>
            </w:r>
            <w:r w:rsidR="0088677A">
              <w:rPr>
                <w:rFonts w:ascii="Arial" w:hAnsi="Arial" w:cs="Arial"/>
                <w:sz w:val="18"/>
              </w:rPr>
              <w:t>ziehende Unterbringungen nach § </w:t>
            </w:r>
            <w:r w:rsidRPr="0088677A">
              <w:rPr>
                <w:rFonts w:ascii="Arial" w:hAnsi="Arial" w:cs="Arial"/>
                <w:sz w:val="18"/>
              </w:rPr>
              <w:t>1631b Abs.</w:t>
            </w:r>
            <w:r w:rsidR="0088677A">
              <w:rPr>
                <w:rFonts w:ascii="Arial" w:hAnsi="Arial" w:cs="Arial"/>
                <w:sz w:val="18"/>
              </w:rPr>
              <w:t> </w:t>
            </w:r>
            <w:r w:rsidRPr="0088677A">
              <w:rPr>
                <w:rFonts w:ascii="Arial" w:hAnsi="Arial" w:cs="Arial"/>
                <w:sz w:val="18"/>
              </w:rPr>
              <w:t>1</w:t>
            </w:r>
            <w:r w:rsidR="0088677A">
              <w:rPr>
                <w:rFonts w:ascii="Arial" w:hAnsi="Arial" w:cs="Arial"/>
                <w:sz w:val="18"/>
              </w:rPr>
              <w:t> </w:t>
            </w:r>
            <w:r w:rsidRPr="0088677A">
              <w:rPr>
                <w:rFonts w:ascii="Arial" w:hAnsi="Arial" w:cs="Arial"/>
                <w:sz w:val="18"/>
              </w:rPr>
              <w:t>BGB</w:t>
            </w:r>
          </w:p>
        </w:tc>
        <w:tc>
          <w:tcPr>
            <w:tcW w:w="850" w:type="dxa"/>
            <w:vAlign w:val="center"/>
          </w:tcPr>
          <w:p w:rsidR="00A65E9D" w:rsidRPr="0088677A" w:rsidRDefault="0088677A" w:rsidP="0088677A">
            <w:pPr>
              <w:pStyle w:val="TableParagraph"/>
              <w:jc w:val="center"/>
              <w:rPr>
                <w:rFonts w:ascii="Arial" w:hAnsi="Arial" w:cs="Arial"/>
                <w:sz w:val="18"/>
              </w:rPr>
            </w:pPr>
            <w:r>
              <w:rPr>
                <w:rFonts w:ascii="Arial" w:hAnsi="Arial" w:cs="Arial"/>
                <w:sz w:val="18"/>
              </w:rPr>
              <w:t>4 </w:t>
            </w:r>
            <w:r w:rsidR="00A65E9D" w:rsidRPr="0088677A">
              <w:rPr>
                <w:rFonts w:ascii="Arial" w:hAnsi="Arial" w:cs="Arial"/>
                <w:sz w:val="18"/>
              </w:rPr>
              <w:t>261</w:t>
            </w:r>
          </w:p>
        </w:tc>
        <w:tc>
          <w:tcPr>
            <w:tcW w:w="851" w:type="dxa"/>
            <w:vAlign w:val="center"/>
          </w:tcPr>
          <w:p w:rsidR="00A65E9D" w:rsidRPr="0088677A" w:rsidRDefault="0088677A" w:rsidP="0088677A">
            <w:pPr>
              <w:pStyle w:val="TableParagraph"/>
              <w:jc w:val="center"/>
              <w:rPr>
                <w:rFonts w:ascii="Arial" w:hAnsi="Arial" w:cs="Arial"/>
                <w:sz w:val="18"/>
              </w:rPr>
            </w:pPr>
            <w:r>
              <w:rPr>
                <w:rFonts w:ascii="Arial" w:hAnsi="Arial" w:cs="Arial"/>
                <w:sz w:val="18"/>
              </w:rPr>
              <w:t>4 </w:t>
            </w:r>
            <w:r w:rsidR="00A65E9D" w:rsidRPr="0088677A">
              <w:rPr>
                <w:rFonts w:ascii="Arial" w:hAnsi="Arial" w:cs="Arial"/>
                <w:sz w:val="18"/>
              </w:rPr>
              <w:t>242</w:t>
            </w:r>
          </w:p>
        </w:tc>
        <w:tc>
          <w:tcPr>
            <w:tcW w:w="850" w:type="dxa"/>
            <w:vAlign w:val="center"/>
          </w:tcPr>
          <w:p w:rsidR="00A65E9D" w:rsidRPr="0088677A" w:rsidRDefault="0088677A" w:rsidP="0088677A">
            <w:pPr>
              <w:pStyle w:val="TableParagraph"/>
              <w:jc w:val="center"/>
              <w:rPr>
                <w:rFonts w:ascii="Arial" w:hAnsi="Arial" w:cs="Arial"/>
                <w:sz w:val="18"/>
              </w:rPr>
            </w:pPr>
            <w:r>
              <w:rPr>
                <w:rFonts w:ascii="Arial" w:hAnsi="Arial" w:cs="Arial"/>
                <w:sz w:val="18"/>
              </w:rPr>
              <w:t>3 </w:t>
            </w:r>
            <w:r w:rsidR="00A65E9D" w:rsidRPr="0088677A">
              <w:rPr>
                <w:rFonts w:ascii="Arial" w:hAnsi="Arial" w:cs="Arial"/>
                <w:sz w:val="18"/>
              </w:rPr>
              <w:t>902</w:t>
            </w:r>
          </w:p>
        </w:tc>
        <w:tc>
          <w:tcPr>
            <w:tcW w:w="993" w:type="dxa"/>
            <w:vAlign w:val="center"/>
          </w:tcPr>
          <w:p w:rsidR="00A65E9D" w:rsidRPr="0088677A" w:rsidRDefault="0088677A" w:rsidP="0088677A">
            <w:pPr>
              <w:pStyle w:val="TableParagraph"/>
              <w:jc w:val="center"/>
              <w:rPr>
                <w:rFonts w:ascii="Arial" w:hAnsi="Arial" w:cs="Arial"/>
                <w:sz w:val="18"/>
              </w:rPr>
            </w:pPr>
            <w:r>
              <w:rPr>
                <w:rFonts w:ascii="Arial" w:hAnsi="Arial" w:cs="Arial"/>
                <w:sz w:val="18"/>
              </w:rPr>
              <w:t>4 </w:t>
            </w:r>
            <w:r w:rsidR="00A65E9D" w:rsidRPr="0088677A">
              <w:rPr>
                <w:rFonts w:ascii="Arial" w:hAnsi="Arial" w:cs="Arial"/>
                <w:sz w:val="18"/>
              </w:rPr>
              <w:t>491</w:t>
            </w:r>
          </w:p>
        </w:tc>
        <w:tc>
          <w:tcPr>
            <w:tcW w:w="850" w:type="dxa"/>
            <w:vAlign w:val="center"/>
          </w:tcPr>
          <w:p w:rsidR="00A65E9D" w:rsidRPr="0088677A" w:rsidRDefault="0088677A" w:rsidP="0088677A">
            <w:pPr>
              <w:pStyle w:val="TableParagraph"/>
              <w:jc w:val="center"/>
              <w:rPr>
                <w:rFonts w:ascii="Arial" w:hAnsi="Arial" w:cs="Arial"/>
                <w:sz w:val="18"/>
              </w:rPr>
            </w:pPr>
            <w:r>
              <w:rPr>
                <w:rFonts w:ascii="Arial" w:hAnsi="Arial" w:cs="Arial"/>
                <w:sz w:val="18"/>
              </w:rPr>
              <w:t>5 </w:t>
            </w:r>
            <w:r w:rsidR="00A65E9D" w:rsidRPr="0088677A">
              <w:rPr>
                <w:rFonts w:ascii="Arial" w:hAnsi="Arial" w:cs="Arial"/>
                <w:sz w:val="18"/>
              </w:rPr>
              <w:t>036</w:t>
            </w:r>
          </w:p>
        </w:tc>
      </w:tr>
    </w:tbl>
    <w:p w:rsidR="0034715F" w:rsidRDefault="0034715F" w:rsidP="00A65E9D">
      <w:pPr>
        <w:pStyle w:val="LTAntwortRessortText"/>
        <w:ind w:left="0"/>
      </w:pPr>
    </w:p>
    <w:p w:rsidR="0034715F" w:rsidRDefault="0034715F" w:rsidP="0034715F">
      <w:pPr>
        <w:pStyle w:val="LTAntwortRessortText"/>
      </w:pPr>
      <w:r>
        <w:t>Eine Unterteilung nach dem Alter der Betroffenen wird bei der Erhebung der Zahlen nicht</w:t>
      </w:r>
      <w:r w:rsidR="00A65E9D">
        <w:t xml:space="preserve"> </w:t>
      </w:r>
      <w:r>
        <w:t>vorgenommen.</w:t>
      </w:r>
    </w:p>
    <w:p w:rsidR="0034715F" w:rsidRDefault="0034715F" w:rsidP="0034715F">
      <w:pPr>
        <w:pStyle w:val="LTAntwortRessortText"/>
      </w:pPr>
      <w:r>
        <w:t>Zu der Frage, ob mit dem Bayerischen Psychisch-Kranken-Hilfe-Gesetz (BayPsychKHG)</w:t>
      </w:r>
      <w:r w:rsidR="00A65E9D">
        <w:t xml:space="preserve"> </w:t>
      </w:r>
      <w:r>
        <w:t>alternative Hilfsmöglichkeiten zu einer geringeren Zahl an öffentlich-rechtlichen Unterbringungen</w:t>
      </w:r>
      <w:r w:rsidR="00A65E9D">
        <w:t xml:space="preserve"> </w:t>
      </w:r>
      <w:r>
        <w:t>bei Kindern und Jugendlichen geführt haben, kann laut StMAS zum jetzigen Zeitpunkt keine</w:t>
      </w:r>
      <w:r w:rsidR="00A65E9D">
        <w:t xml:space="preserve"> </w:t>
      </w:r>
      <w:r>
        <w:t>Aussage getroffen werden, da Daten aus dem anonymi</w:t>
      </w:r>
      <w:r w:rsidR="00B6142A">
        <w:t>sierten Melderegister nach Art. </w:t>
      </w:r>
      <w:r>
        <w:t>33</w:t>
      </w:r>
      <w:r w:rsidR="00A65E9D">
        <w:t xml:space="preserve"> </w:t>
      </w:r>
      <w:r>
        <w:t>BayPsychKHG bisher nur für das Jahr 2020 vorliegen und daher eine Entwicklung der</w:t>
      </w:r>
      <w:r w:rsidR="00A65E9D">
        <w:t xml:space="preserve"> </w:t>
      </w:r>
      <w:r>
        <w:t>Unterbringungszahlen im Zeitverlauf noch nicht dargestellt werden kann. Im Jahr 2020 betrug die</w:t>
      </w:r>
      <w:r w:rsidR="00A65E9D">
        <w:t xml:space="preserve"> </w:t>
      </w:r>
      <w:r>
        <w:t>Anzahl der nach BayPsychKHG gerichtlich untergebrachten minderjährigen Personen nur sechs</w:t>
      </w:r>
      <w:r w:rsidR="00A65E9D">
        <w:t xml:space="preserve"> </w:t>
      </w:r>
      <w:r>
        <w:t>gemeldete Fälle. Grund für diese niedrige Zahl ist die Regelung in A</w:t>
      </w:r>
      <w:r w:rsidR="00B6142A">
        <w:t>rt. 5 Abs. 1 Satz </w:t>
      </w:r>
      <w:r>
        <w:t>3</w:t>
      </w:r>
      <w:r w:rsidR="00B6142A">
        <w:t> </w:t>
      </w:r>
      <w:r>
        <w:t>BayPsychKHG, wonach bei Kindern und Jugendl</w:t>
      </w:r>
      <w:r w:rsidR="00B6142A">
        <w:t>ichen eine Unterbringung nach § </w:t>
      </w:r>
      <w:r>
        <w:t>1631b BGB</w:t>
      </w:r>
      <w:r w:rsidR="00A65E9D">
        <w:t xml:space="preserve"> </w:t>
      </w:r>
      <w:r>
        <w:t>vorrangig gegenüber eine öffentlichen-rechtlichen Unterbringung nach BayPsychKHG ist.</w:t>
      </w:r>
    </w:p>
    <w:p w:rsidR="0034715F" w:rsidRDefault="0034715F" w:rsidP="0034715F">
      <w:pPr>
        <w:pStyle w:val="LTAntwortRessortText"/>
      </w:pPr>
      <w:r>
        <w:lastRenderedPageBreak/>
        <w:t xml:space="preserve">Weiter führt das StMAS </w:t>
      </w:r>
      <w:r w:rsidR="00B6142A">
        <w:t>aus, dass die Regelung des Art. </w:t>
      </w:r>
      <w:r>
        <w:t>29 BayPsychKHG zu besonderen</w:t>
      </w:r>
      <w:r w:rsidR="00A65E9D">
        <w:t xml:space="preserve"> </w:t>
      </w:r>
      <w:r>
        <w:t>Sicherungsmaßnahmen für alle Personen gilt, die nach dem BayPsychKHG öffentlich-rechtlich</w:t>
      </w:r>
      <w:r w:rsidR="00A65E9D">
        <w:t xml:space="preserve"> </w:t>
      </w:r>
      <w:r>
        <w:t xml:space="preserve">untergebracht </w:t>
      </w:r>
      <w:r w:rsidR="00B6142A">
        <w:t>sind. Allerdings ist gemäß Art. 5 Abs. 1 Satz </w:t>
      </w:r>
      <w:r>
        <w:t>3 BayPsychKHG eine Unterbringung</w:t>
      </w:r>
      <w:r w:rsidR="00A65E9D">
        <w:t xml:space="preserve"> </w:t>
      </w:r>
      <w:r w:rsidR="00B6142A">
        <w:t>nach § </w:t>
      </w:r>
      <w:r>
        <w:t>1631b BGB bei Kindern und Jugendlichen vorrangig, so dass sich besondere</w:t>
      </w:r>
      <w:r w:rsidR="00A65E9D">
        <w:t xml:space="preserve"> </w:t>
      </w:r>
      <w:r>
        <w:t>Sicherungsmaßnahmen in den von der Anfrage betroffenen Fäll</w:t>
      </w:r>
      <w:r w:rsidR="00B6142A">
        <w:t>en in der Regel nicht nach Art. </w:t>
      </w:r>
      <w:r>
        <w:t>29</w:t>
      </w:r>
      <w:r w:rsidR="00A65E9D">
        <w:t xml:space="preserve"> </w:t>
      </w:r>
      <w:r>
        <w:t>BayPsychKHG, sondern nach den Vorschriften zur zivilrechtlichen Unterbringung richten.</w:t>
      </w:r>
    </w:p>
    <w:p w:rsidR="0034715F" w:rsidRDefault="0034715F" w:rsidP="0034715F">
      <w:pPr>
        <w:pStyle w:val="LTAntwortRessortText"/>
      </w:pPr>
      <w:r>
        <w:t>Für weitere Informationen im Kontext von vorliegender Anfrage wird auf Kapitel 6.5</w:t>
      </w:r>
      <w:r w:rsidR="00A65E9D">
        <w:t xml:space="preserve"> </w:t>
      </w:r>
      <w:r>
        <w:t>(Unterbringungen) des ersten Psychiatrieberichtes (2021) verwiesen.</w:t>
      </w:r>
    </w:p>
    <w:p w:rsidR="0034715F" w:rsidRDefault="0034715F">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34715F" w:rsidTr="007B0B33">
        <w:tc>
          <w:tcPr>
            <w:tcW w:w="2050" w:type="dxa"/>
          </w:tcPr>
          <w:p w:rsidR="0034715F" w:rsidRDefault="0034715F" w:rsidP="0034715F">
            <w:pPr>
              <w:pStyle w:val="LTAnfrageInitiator"/>
            </w:pPr>
            <w:r>
              <w:lastRenderedPageBreak/>
              <w:t>Abgeordneter</w:t>
            </w:r>
            <w:r>
              <w:rPr>
                <w:b/>
              </w:rPr>
              <w:br/>
              <w:t>Prof. Dr. Ingo</w:t>
            </w:r>
            <w:r>
              <w:rPr>
                <w:b/>
              </w:rPr>
              <w:br/>
              <w:t>Hahn</w:t>
            </w:r>
            <w:r>
              <w:rPr>
                <w:b/>
              </w:rPr>
              <w:br/>
            </w:r>
            <w:r>
              <w:t>(AfD)</w:t>
            </w:r>
            <w:bookmarkStart w:id="113" w:name="Frage_Nr_56"/>
            <w:bookmarkEnd w:id="113"/>
          </w:p>
        </w:tc>
        <w:tc>
          <w:tcPr>
            <w:tcW w:w="7200" w:type="dxa"/>
          </w:tcPr>
          <w:p w:rsidR="0034715F" w:rsidRPr="00337DF6" w:rsidRDefault="00337DF6" w:rsidP="0034715F">
            <w:pPr>
              <w:pStyle w:val="LTAnfrageText"/>
            </w:pPr>
            <w:r w:rsidRPr="00337DF6">
              <w:rPr>
                <w:szCs w:val="24"/>
              </w:rPr>
              <w:t>Ich frage die Staatsregierung, in welchen Behörden, Bildungseinrichtungen und Institutionen (inkl. staatlicher Unternehmen) gelten derzeit weiterhin Zutritts- und Verhaltensregeln, die über die derzeitigen Vorgaben der aktuellen Infektionsschutzmaßnahmenverordnung hinausgehen (Testpflichten- und Maskenpflichten, bitte jeweils nach Bezirken und Kommunen aufschlüsseln und die, über die Infektionsschutzmaßnahmenverordnung hinausgehenden geltenden Regeln angeben), auf welcher rechtlichen Grundlage werden dort weiterhin strengere Regeln angewandt und inwieweit sieht sie im Hausrecht, das in vielen privaten und kommunalen Einrichtungen und Unternehmen zur Durchsetzung strengerer Regeln angewandt wird, die über die Infektionsschutzmaßnahmenverordnung hinausgehen, ein zulässiges rechtliches Instrument, um Grundrechte einzuschränken?</w:t>
            </w:r>
          </w:p>
        </w:tc>
      </w:tr>
    </w:tbl>
    <w:p w:rsidR="0034715F" w:rsidRDefault="0034715F" w:rsidP="0034715F">
      <w:pPr>
        <w:pStyle w:val="LTUeberschrAntwortRessort"/>
      </w:pPr>
      <w:r>
        <w:t>Antwort des Staatsministeriums für Gesundheit und Pflege</w:t>
      </w:r>
    </w:p>
    <w:p w:rsidR="0034715F" w:rsidRDefault="0034715F" w:rsidP="0034715F">
      <w:pPr>
        <w:pStyle w:val="LTAntwortRessortText"/>
      </w:pPr>
      <w:r>
        <w:t>Die Staatsregierung hat keine umfassende Kenntnis über die jeweils geltenden Zutritts- und</w:t>
      </w:r>
      <w:r w:rsidR="00F77C1B">
        <w:t xml:space="preserve"> </w:t>
      </w:r>
      <w:r>
        <w:t>Verhaltensregeln in sämtlichen Behörden, Bildungseinrichtungen und Institutionen (inkl. staatl.</w:t>
      </w:r>
      <w:r w:rsidR="00F77C1B">
        <w:t xml:space="preserve"> </w:t>
      </w:r>
      <w:r>
        <w:t>Unternehmen). Um diese Erkenntnis zu erhalten</w:t>
      </w:r>
      <w:r w:rsidR="00C208FB">
        <w:t>, wäre eine umfassende Abfrage –</w:t>
      </w:r>
      <w:r>
        <w:t xml:space="preserve"> unter anderem</w:t>
      </w:r>
      <w:r w:rsidR="00F77C1B">
        <w:t xml:space="preserve"> </w:t>
      </w:r>
      <w:r>
        <w:t xml:space="preserve">bei allen, also auch </w:t>
      </w:r>
      <w:r w:rsidR="00C208FB">
        <w:t>privaten Bildungseinrichtungen –</w:t>
      </w:r>
      <w:r>
        <w:t xml:space="preserve"> erforderlich, die einen unverhältnismäßigen</w:t>
      </w:r>
      <w:r w:rsidR="00F77C1B">
        <w:t xml:space="preserve"> </w:t>
      </w:r>
      <w:r>
        <w:t>Aufwand bedeutet</w:t>
      </w:r>
      <w:r w:rsidR="00F77C1B">
        <w:t>.</w:t>
      </w:r>
    </w:p>
    <w:p w:rsidR="0034715F" w:rsidRDefault="0034715F" w:rsidP="0034715F">
      <w:pPr>
        <w:pStyle w:val="LTAntwortRessortText"/>
      </w:pPr>
      <w:r>
        <w:t>Die infektionsschutzrechtlichen Regelungen der Infektionsschutzmaßnahmenverordnung</w:t>
      </w:r>
      <w:r w:rsidR="00F77C1B">
        <w:t xml:space="preserve"> </w:t>
      </w:r>
      <w:r>
        <w:t>stehen etwaigen strengeren Zugangsvoraussetzungen auf Grundlage des Hausrechts</w:t>
      </w:r>
      <w:r w:rsidR="00F77C1B">
        <w:t xml:space="preserve"> </w:t>
      </w:r>
      <w:r>
        <w:t>des jeweiligen Betreibers / Veranstalters nicht entgegen. Hierbei entspricht es der Rechtsprechung</w:t>
      </w:r>
      <w:r w:rsidR="00F77C1B">
        <w:t xml:space="preserve"> </w:t>
      </w:r>
      <w:r>
        <w:t>des Bundesverwaltungsgerichts, dass auf der Basis des Hausrechts auch in Behörden (dort:</w:t>
      </w:r>
      <w:r w:rsidR="00F77C1B">
        <w:t xml:space="preserve"> </w:t>
      </w:r>
      <w:r>
        <w:t>Gerichten) Maßnahmen zur Gewährleistung von Sicherheit und Ordnung ergriffen werden können,</w:t>
      </w:r>
      <w:r w:rsidR="00F77C1B">
        <w:t xml:space="preserve"> </w:t>
      </w:r>
      <w:r>
        <w:t xml:space="preserve">siehe </w:t>
      </w:r>
      <w:r w:rsidR="00FA112A" w:rsidRPr="00FA112A">
        <w:t xml:space="preserve">Bundesverwaltungsgericht </w:t>
      </w:r>
      <w:r w:rsidR="00FA112A">
        <w:t>(</w:t>
      </w:r>
      <w:r>
        <w:t>BVerwG</w:t>
      </w:r>
      <w:r w:rsidR="00FA112A">
        <w:t>)</w:t>
      </w:r>
      <w:r>
        <w:t>, Beschluss vom 17.</w:t>
      </w:r>
      <w:r w:rsidR="00FA112A">
        <w:t>0</w:t>
      </w:r>
      <w:r>
        <w:t>5.2011, NJW 2011, S. 2530, 2531.</w:t>
      </w:r>
    </w:p>
    <w:p w:rsidR="0034715F" w:rsidRDefault="0034715F" w:rsidP="0034715F">
      <w:pPr>
        <w:pStyle w:val="LTAntwortRessortText"/>
      </w:pPr>
      <w:r>
        <w:t>Bei öffentlichen Gebäuden ist im Rahmen einer Abwägung zu prüfen, ob und inwieweit das</w:t>
      </w:r>
      <w:r w:rsidR="00F77C1B">
        <w:t xml:space="preserve"> </w:t>
      </w:r>
      <w:r>
        <w:t>Hausrecht des Betreibers bzw. Veranstalters hinter einer Pflicht zur Zulassung von nicht</w:t>
      </w:r>
      <w:r w:rsidR="00F77C1B">
        <w:t xml:space="preserve"> </w:t>
      </w:r>
      <w:r>
        <w:t>geimpften, genesenen oder getesteten Personen bzw. das Tragen von Masken verweigernden</w:t>
      </w:r>
      <w:r w:rsidR="00F77C1B">
        <w:t xml:space="preserve"> </w:t>
      </w:r>
      <w:r>
        <w:t>Personen zum Zwecke der Gewährleistung des Zugangs dieser Personen zu öffentlichen</w:t>
      </w:r>
      <w:r w:rsidR="00F77C1B">
        <w:t xml:space="preserve"> </w:t>
      </w:r>
      <w:r>
        <w:t>Einrichtungen und Leistungen zurücktritt. Diese Prüfung wird insbesondere in Bereichen relevant,</w:t>
      </w:r>
      <w:r w:rsidR="00F77C1B">
        <w:t xml:space="preserve"> </w:t>
      </w:r>
      <w:r>
        <w:t>in denen die staatliche Monopolstellung zum Ausdruck kommt und die Betroffenen auf die</w:t>
      </w:r>
      <w:r w:rsidR="00F77C1B">
        <w:t xml:space="preserve"> </w:t>
      </w:r>
      <w:r>
        <w:t>staatlichen Leistungen angewiesen sind. Im Rahmen der Abwägung ist die hinter der</w:t>
      </w:r>
      <w:r w:rsidR="00F77C1B">
        <w:t xml:space="preserve"> </w:t>
      </w:r>
      <w:r>
        <w:t>Beschränkung</w:t>
      </w:r>
      <w:r w:rsidR="00444A03">
        <w:t xml:space="preserve"> der Befugnisregelungen durch § </w:t>
      </w:r>
      <w:r>
        <w:t>28a des Infektionsschutzgesetzes (IfSG) stehende</w:t>
      </w:r>
      <w:r w:rsidR="00F77C1B">
        <w:t xml:space="preserve"> </w:t>
      </w:r>
      <w:r>
        <w:t>Wertung zu berücksichtigen, wonach außerhalb der</w:t>
      </w:r>
      <w:r w:rsidR="00444A03">
        <w:t xml:space="preserve"> sog. Hot Spot-Regelungen des § </w:t>
      </w:r>
      <w:r>
        <w:t>28a Abs. 8</w:t>
      </w:r>
      <w:r w:rsidR="00F77C1B">
        <w:t xml:space="preserve"> </w:t>
      </w:r>
      <w:r w:rsidR="00444A03">
        <w:t>IfSG und außerhalb der in § </w:t>
      </w:r>
      <w:r>
        <w:t>28a Abs. 7 IfSG genannten Einrichtungen allein aus Gründen des</w:t>
      </w:r>
      <w:r w:rsidR="00F77C1B">
        <w:t xml:space="preserve"> </w:t>
      </w:r>
      <w:r>
        <w:t>Infektionsschutzes keine 3G-Regelung oder die Pflicht zur Maskentragung durch den</w:t>
      </w:r>
      <w:r w:rsidR="00F77C1B">
        <w:t xml:space="preserve"> </w:t>
      </w:r>
      <w:r>
        <w:t>Verordnungsgeber verpflichtend vorgegeben werden kann.</w:t>
      </w:r>
    </w:p>
    <w:p w:rsidR="0034715F" w:rsidRDefault="0034715F" w:rsidP="0034715F">
      <w:pPr>
        <w:pStyle w:val="LTAntwortRessortText"/>
      </w:pPr>
      <w:r>
        <w:t>Neben den Infektionsschutz treten im Rahmen der Abwägung auch Gesichtspunkte des</w:t>
      </w:r>
      <w:r w:rsidR="00F77C1B">
        <w:t xml:space="preserve"> </w:t>
      </w:r>
      <w:r>
        <w:t>Arbeitsschutzes und Fürsorgeerwägungen des Dienstherrn. Diese können unabhängig von der</w:t>
      </w:r>
      <w:r w:rsidR="00F77C1B">
        <w:t xml:space="preserve"> </w:t>
      </w:r>
      <w:r w:rsidR="00444A03">
        <w:t>nach Maßgabe von § </w:t>
      </w:r>
      <w:r>
        <w:t xml:space="preserve">28a Abs. 7 und Abs. 8 IfSG beschränkten </w:t>
      </w:r>
      <w:r>
        <w:lastRenderedPageBreak/>
        <w:t>infektionsschutzrechtlichen</w:t>
      </w:r>
      <w:r w:rsidR="00F77C1B">
        <w:t xml:space="preserve"> </w:t>
      </w:r>
      <w:r>
        <w:t>Befugnisgrundlage eine auf den Arbeitsschutz oder das Hausrecht gestützte Maskenpflicht oder</w:t>
      </w:r>
      <w:r w:rsidR="00F77C1B">
        <w:t xml:space="preserve"> </w:t>
      </w:r>
      <w:r>
        <w:t>eine 3G-Zugangsregelung rechtfertigen.</w:t>
      </w:r>
    </w:p>
    <w:p w:rsidR="0034715F" w:rsidRDefault="0034715F" w:rsidP="0034715F">
      <w:pPr>
        <w:pStyle w:val="LTAntwortRessortText"/>
      </w:pPr>
      <w:r>
        <w:t xml:space="preserve">Maskenpflicht und 3G-Zugangsregelung sind niedrigschwellige Eingriffe. So führt der </w:t>
      </w:r>
      <w:r w:rsidR="00444A03">
        <w:t>Bayerische Verfassungsgerichtshof (</w:t>
      </w:r>
      <w:r>
        <w:t>BayVerfGH</w:t>
      </w:r>
      <w:r w:rsidR="00444A03">
        <w:t>)</w:t>
      </w:r>
      <w:r w:rsidR="00F77C1B">
        <w:t xml:space="preserve"> </w:t>
      </w:r>
      <w:r>
        <w:t>zur Frage der Eingriffsintensität bei der Anordnung von Testnachweispflichten im Landtag in d</w:t>
      </w:r>
      <w:r w:rsidR="00444A03">
        <w:t>er Entscheidung vom 06.05.2021 –</w:t>
      </w:r>
      <w:r>
        <w:t xml:space="preserve"> Vf. 37-IVa-21 wie folgt aus: </w:t>
      </w:r>
      <w:r w:rsidR="00190CE9">
        <w:t>„</w:t>
      </w:r>
      <w:r>
        <w:t>Die</w:t>
      </w:r>
      <w:r w:rsidR="00F77C1B">
        <w:t xml:space="preserve"> </w:t>
      </w:r>
      <w:r>
        <w:t>Beeinträchtigungen durch eine solche Testung sind gegebenenfalls nur von kurzer Dauer und</w:t>
      </w:r>
      <w:r w:rsidR="00F77C1B">
        <w:t xml:space="preserve"> </w:t>
      </w:r>
      <w:r>
        <w:t>niedrigschwelliger Intensität, sodass nicht offenkundig von einem unverhältnismäßigen Eingriff</w:t>
      </w:r>
      <w:r w:rsidR="00F77C1B">
        <w:t xml:space="preserve"> </w:t>
      </w:r>
      <w:r>
        <w:t>ausgegangen werden kann [...]</w:t>
      </w:r>
      <w:r w:rsidR="00190CE9">
        <w:t>“</w:t>
      </w:r>
      <w:r>
        <w:t>. In Bezug auf die Anordnung eines 3G-Erfordernisses ist überdies</w:t>
      </w:r>
      <w:r w:rsidR="00F77C1B">
        <w:t xml:space="preserve"> </w:t>
      </w:r>
      <w:r>
        <w:t>zu berücksichtigen, dass auch nicht geimpfte und nicht genesene Besucher /</w:t>
      </w:r>
      <w:r w:rsidR="00F77C1B">
        <w:t xml:space="preserve"> </w:t>
      </w:r>
      <w:r>
        <w:t>Veranstaltungsteilnehmer durch Vorlage eines Testnachweises Zugang erhalten.</w:t>
      </w:r>
    </w:p>
    <w:p w:rsidR="0034715F" w:rsidRDefault="0034715F">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34715F" w:rsidTr="007B0B33">
        <w:tc>
          <w:tcPr>
            <w:tcW w:w="2050" w:type="dxa"/>
          </w:tcPr>
          <w:p w:rsidR="0034715F" w:rsidRDefault="0034715F" w:rsidP="0034715F">
            <w:pPr>
              <w:pStyle w:val="LTAnfrageInitiator"/>
            </w:pPr>
            <w:r>
              <w:lastRenderedPageBreak/>
              <w:t>Abgeordneter</w:t>
            </w:r>
            <w:r>
              <w:rPr>
                <w:b/>
              </w:rPr>
              <w:br/>
              <w:t>Sebastian</w:t>
            </w:r>
            <w:r>
              <w:rPr>
                <w:b/>
              </w:rPr>
              <w:br/>
              <w:t>Körber</w:t>
            </w:r>
            <w:r>
              <w:rPr>
                <w:b/>
              </w:rPr>
              <w:br/>
            </w:r>
            <w:r>
              <w:t>(FDP)</w:t>
            </w:r>
            <w:bookmarkStart w:id="115" w:name="Frage_Nr_57"/>
            <w:bookmarkEnd w:id="115"/>
          </w:p>
        </w:tc>
        <w:tc>
          <w:tcPr>
            <w:tcW w:w="7200" w:type="dxa"/>
          </w:tcPr>
          <w:p w:rsidR="0034715F" w:rsidRPr="003057E2" w:rsidRDefault="003057E2" w:rsidP="0034715F">
            <w:pPr>
              <w:pStyle w:val="LTAnfrageText"/>
            </w:pPr>
            <w:r w:rsidRPr="003057E2">
              <w:rPr>
                <w:szCs w:val="24"/>
              </w:rPr>
              <w:t>Ich frage die Staatsregierung, wie hoch ist die maximale Auslastung bezugnehmend auf die Anzahl von Beschäftigten (vgl. im Hinblick auf die Arbeitsstättenverordnung) je genutztem Dienstgebäude des Staatsministeriums für Gesundheit und Pflege (StMGP) (vgl. Haidenauplatz 1, Einsteinstraße 172, Lazarettstraße 67, Gewerbemuseumsplatz 2, Bahnhofstraße 40, Bahnhofstraße 70), wie verteilen sich die Gesamt-Mietflächen der Dienstgebäude des StMGP auf Büroflächen, Sanitäranlagen, Pausenräume, Lagerflächen und Verkehrsflächen etc. (bitte unter Angabe der genauen Quadratmeterzahlen je Dienstgebäude) und wie viele Mitarbeiterinnen und Mitarbeiter waren zum Stichtag 02.05.2022 in den einzelnen Dienstgebäuden jeweils beschäftigt (bitte um Angabe gesamt und je Dienstgebäude)?</w:t>
            </w:r>
          </w:p>
        </w:tc>
      </w:tr>
    </w:tbl>
    <w:p w:rsidR="0034715F" w:rsidRDefault="0034715F" w:rsidP="0034715F">
      <w:pPr>
        <w:pStyle w:val="LTUeberschrAntwortRessort"/>
      </w:pPr>
      <w:r>
        <w:t>Antwort des Staatsministeriums für Gesundheit und Pflege</w:t>
      </w:r>
    </w:p>
    <w:p w:rsidR="0034715F" w:rsidRDefault="0034715F" w:rsidP="0034715F">
      <w:pPr>
        <w:pStyle w:val="LTAntwortRessortText"/>
      </w:pPr>
      <w:r>
        <w:t xml:space="preserve">Das </w:t>
      </w:r>
      <w:r w:rsidR="000560AC">
        <w:t xml:space="preserve">Staatsministerium für Gesundheit </w:t>
      </w:r>
      <w:r w:rsidR="00F10D5B">
        <w:t xml:space="preserve">(StMGP) </w:t>
      </w:r>
      <w:r w:rsidR="000560AC">
        <w:t>und Pflege</w:t>
      </w:r>
      <w:r>
        <w:t xml:space="preserve"> nutzt derzeit sechs Dienstgebäude an zwei Standorten mit folgenden Flächen:</w:t>
      </w:r>
    </w:p>
    <w:p w:rsidR="0034715F" w:rsidRDefault="0034715F" w:rsidP="0034715F">
      <w:pPr>
        <w:pStyle w:val="LTAntwortRessortText"/>
      </w:pPr>
      <w:r>
        <w:t>München:</w:t>
      </w:r>
    </w:p>
    <w:p w:rsidR="0034715F" w:rsidRDefault="00245175" w:rsidP="00245175">
      <w:pPr>
        <w:pStyle w:val="LTAntwortRessortText"/>
        <w:spacing w:before="60"/>
      </w:pPr>
      <w:r>
        <w:t>Haidenauplatz 1</w:t>
      </w:r>
      <w:r>
        <w:tab/>
      </w:r>
      <w:r>
        <w:tab/>
        <w:t>9</w:t>
      </w:r>
      <w:r w:rsidR="00C749E8">
        <w:t> </w:t>
      </w:r>
      <w:r w:rsidR="0034715F">
        <w:t>140 m² (Bruttogrundfläche)</w:t>
      </w:r>
    </w:p>
    <w:p w:rsidR="0034715F" w:rsidRDefault="00245175" w:rsidP="00245175">
      <w:pPr>
        <w:pStyle w:val="LTAntwortRessortText"/>
        <w:spacing w:before="60"/>
      </w:pPr>
      <w:r>
        <w:t>Einsteinstraße 172</w:t>
      </w:r>
      <w:r>
        <w:tab/>
      </w:r>
      <w:r>
        <w:tab/>
        <w:t>1</w:t>
      </w:r>
      <w:r w:rsidR="00C749E8">
        <w:t> </w:t>
      </w:r>
      <w:r w:rsidR="0034715F">
        <w:t>246 m² (Bruttogrundfläche)</w:t>
      </w:r>
    </w:p>
    <w:p w:rsidR="0034715F" w:rsidRDefault="00245175" w:rsidP="00245175">
      <w:pPr>
        <w:pStyle w:val="LTAntwortRessortText"/>
        <w:spacing w:before="60"/>
      </w:pPr>
      <w:r>
        <w:t>Lazarettstraße 67</w:t>
      </w:r>
      <w:r>
        <w:tab/>
      </w:r>
      <w:r>
        <w:tab/>
        <w:t>1</w:t>
      </w:r>
      <w:r w:rsidR="00C749E8">
        <w:t> </w:t>
      </w:r>
      <w:r w:rsidR="0034715F">
        <w:t>036 m² Nutzfläche</w:t>
      </w:r>
    </w:p>
    <w:p w:rsidR="0034715F" w:rsidRDefault="0034715F" w:rsidP="0034715F">
      <w:pPr>
        <w:pStyle w:val="LTAntwortRessortText"/>
      </w:pPr>
      <w:r>
        <w:t>Nürnberg (auf Basis der auf dem Nürnberger Mietmarkt übelicherweise verwendeten Richtlinie zur</w:t>
      </w:r>
      <w:r w:rsidR="00245175">
        <w:t xml:space="preserve"> </w:t>
      </w:r>
      <w:r>
        <w:t>Berechnung der Mietfläche für gewerblichen Raum (MF/G)):</w:t>
      </w:r>
    </w:p>
    <w:p w:rsidR="0034715F" w:rsidRDefault="00245175" w:rsidP="0034715F">
      <w:pPr>
        <w:pStyle w:val="LTAntwortRessortText"/>
      </w:pPr>
      <w:r>
        <w:t>Gewerbemuseumsplatz 2</w:t>
      </w:r>
      <w:r>
        <w:tab/>
        <w:t>2</w:t>
      </w:r>
      <w:r w:rsidR="00C749E8">
        <w:t> </w:t>
      </w:r>
      <w:r w:rsidR="0034715F">
        <w:t>319 m² (MF/G)</w:t>
      </w:r>
    </w:p>
    <w:p w:rsidR="0034715F" w:rsidRDefault="00245175" w:rsidP="00245175">
      <w:pPr>
        <w:pStyle w:val="LTAntwortRessortText"/>
        <w:spacing w:before="60"/>
      </w:pPr>
      <w:r>
        <w:t>Bahnhofstraße 40</w:t>
      </w:r>
      <w:r>
        <w:tab/>
      </w:r>
      <w:r>
        <w:tab/>
        <w:t>2</w:t>
      </w:r>
      <w:r w:rsidR="00C749E8">
        <w:t> </w:t>
      </w:r>
      <w:r w:rsidR="0034715F">
        <w:t>423 m² (MF/G)</w:t>
      </w:r>
    </w:p>
    <w:p w:rsidR="0034715F" w:rsidRDefault="00245175" w:rsidP="00245175">
      <w:pPr>
        <w:pStyle w:val="LTAntwortRessortText"/>
        <w:spacing w:before="60"/>
      </w:pPr>
      <w:r>
        <w:t>Bahnhofstraße 70</w:t>
      </w:r>
      <w:r>
        <w:tab/>
      </w:r>
      <w:r>
        <w:tab/>
      </w:r>
      <w:r w:rsidR="0034715F">
        <w:t>975 m² (MF/G)</w:t>
      </w:r>
    </w:p>
    <w:p w:rsidR="0034715F" w:rsidRDefault="0034715F" w:rsidP="0034715F">
      <w:pPr>
        <w:pStyle w:val="LTAntwortRessortText"/>
      </w:pPr>
      <w:r>
        <w:t>Es handelt sich hierbei, mit Ausnahme der Lazarettstr. 67, um Anmietungen.</w:t>
      </w:r>
    </w:p>
    <w:p w:rsidR="0034715F" w:rsidRDefault="0034715F" w:rsidP="0034715F">
      <w:pPr>
        <w:pStyle w:val="LTAntwortRessortText"/>
      </w:pPr>
      <w:r>
        <w:t>Eine Aufteilung der Mietflächen auf die einzelnen in der Anfrage aufgelisteten Flächenarten nach</w:t>
      </w:r>
      <w:r w:rsidR="00EC42D1">
        <w:t xml:space="preserve"> </w:t>
      </w:r>
      <w:r>
        <w:t>GIF bzw. DIN 277 ist den Mietvertragsunterlagen nicht zu entnehmen und in der Kürze der für die</w:t>
      </w:r>
      <w:r w:rsidR="00EC42D1">
        <w:t xml:space="preserve"> </w:t>
      </w:r>
      <w:r>
        <w:t>Beantwortung einer Anfrage zum Plenum zur Verfügung stehenden Zeit nicht valide zu ermitteln.</w:t>
      </w:r>
    </w:p>
    <w:p w:rsidR="0034715F" w:rsidRDefault="0034715F" w:rsidP="0034715F">
      <w:pPr>
        <w:pStyle w:val="LTAntwortRessortText"/>
      </w:pPr>
      <w:r>
        <w:t>Zum Stichtag 02.05.2022 waren 544 Mitarbeiterinnen und Mitarbeiter beschäftigt. Am 30.04.2022</w:t>
      </w:r>
      <w:r w:rsidR="00EC42D1">
        <w:t xml:space="preserve"> </w:t>
      </w:r>
      <w:r>
        <w:t>waren 588 Beschäftigte im StMGP</w:t>
      </w:r>
      <w:r w:rsidR="00F10D5B">
        <w:t xml:space="preserve"> tätig. Zum Monatswechsel April / </w:t>
      </w:r>
      <w:r>
        <w:t>Mai wurden die Abordnungen</w:t>
      </w:r>
      <w:r w:rsidR="00EC42D1">
        <w:t xml:space="preserve"> </w:t>
      </w:r>
      <w:r>
        <w:t>von 44 Unterstützungskräften beendet.</w:t>
      </w:r>
    </w:p>
    <w:p w:rsidR="0034715F" w:rsidRDefault="0034715F" w:rsidP="0034715F">
      <w:pPr>
        <w:pStyle w:val="LTAntwortRessortText"/>
      </w:pPr>
      <w:r>
        <w:t>Der Monat Mai 2022 stellt insbesondere durch die vielen Abgänge einen Umbruch für das StMGP</w:t>
      </w:r>
      <w:r w:rsidR="00EC42D1">
        <w:t xml:space="preserve"> </w:t>
      </w:r>
      <w:r>
        <w:t>dar. Die Räume werden, auch gebäudeübergreifend, durch zahlreiche Umzüge in erheblichem</w:t>
      </w:r>
      <w:r w:rsidR="00EC42D1">
        <w:t xml:space="preserve"> </w:t>
      </w:r>
      <w:r>
        <w:t>Umfang neu belegt. Die Umzüge werden teilweise mit eigenem Personal umgesetzt und dauern</w:t>
      </w:r>
      <w:r w:rsidR="00EC42D1">
        <w:t xml:space="preserve"> </w:t>
      </w:r>
      <w:r>
        <w:t>voraussichtlich bis Juni 2022 an.</w:t>
      </w:r>
    </w:p>
    <w:p w:rsidR="0034715F" w:rsidRDefault="0034715F" w:rsidP="0034715F">
      <w:pPr>
        <w:pStyle w:val="LTAntwortRessortText"/>
      </w:pPr>
      <w:r>
        <w:lastRenderedPageBreak/>
        <w:t>Die Auslastung bezugnehmend auf die Anzahl von Beschäftigten je genutztem Dienstgebäude</w:t>
      </w:r>
      <w:r w:rsidR="00EC42D1">
        <w:t xml:space="preserve"> </w:t>
      </w:r>
      <w:r>
        <w:t>stellt sich zum Stand 02.05.2022 wie folgt dar:</w:t>
      </w:r>
    </w:p>
    <w:p w:rsidR="0034715F" w:rsidRPr="00EC42D1" w:rsidRDefault="0034715F" w:rsidP="0034715F">
      <w:pPr>
        <w:pStyle w:val="LTAntwortRessortText"/>
        <w:rPr>
          <w:b/>
        </w:rPr>
      </w:pPr>
      <w:r w:rsidRPr="00EC42D1">
        <w:rPr>
          <w:b/>
        </w:rPr>
        <w:t>Haidenauplatz 1 München</w:t>
      </w:r>
    </w:p>
    <w:p w:rsidR="0034715F" w:rsidRDefault="00EC42D1" w:rsidP="00EC42D1">
      <w:pPr>
        <w:pStyle w:val="LTAntwortRessortText"/>
        <w:spacing w:before="120"/>
      </w:pPr>
      <w:r>
        <w:t>Arbeitsplätze</w:t>
      </w:r>
      <w:r>
        <w:tab/>
      </w:r>
      <w:r w:rsidR="0034715F">
        <w:t>278</w:t>
      </w:r>
    </w:p>
    <w:p w:rsidR="0034715F" w:rsidRDefault="00EC42D1" w:rsidP="00EC42D1">
      <w:pPr>
        <w:pStyle w:val="LTAntwortRessortText"/>
        <w:spacing w:before="120"/>
      </w:pPr>
      <w:r>
        <w:t>Beschäftigte</w:t>
      </w:r>
      <w:r>
        <w:tab/>
      </w:r>
      <w:r w:rsidR="0034715F">
        <w:t>298</w:t>
      </w:r>
    </w:p>
    <w:p w:rsidR="0034715F" w:rsidRPr="00EC42D1" w:rsidRDefault="0034715F" w:rsidP="0034715F">
      <w:pPr>
        <w:pStyle w:val="LTAntwortRessortText"/>
        <w:rPr>
          <w:b/>
        </w:rPr>
      </w:pPr>
      <w:r w:rsidRPr="00EC42D1">
        <w:rPr>
          <w:b/>
        </w:rPr>
        <w:t>Einsteinstraße 172 München (Bavaria Towers)</w:t>
      </w:r>
    </w:p>
    <w:p w:rsidR="0034715F" w:rsidRDefault="00EC42D1" w:rsidP="00EC42D1">
      <w:pPr>
        <w:pStyle w:val="LTAntwortRessortText"/>
        <w:spacing w:before="120"/>
      </w:pPr>
      <w:r>
        <w:t>Arbeitsplätze</w:t>
      </w:r>
      <w:r>
        <w:tab/>
      </w:r>
      <w:r w:rsidR="0034715F">
        <w:t>30</w:t>
      </w:r>
    </w:p>
    <w:p w:rsidR="0034715F" w:rsidRDefault="00EC42D1" w:rsidP="00EC42D1">
      <w:pPr>
        <w:pStyle w:val="LTAntwortRessortText"/>
        <w:spacing w:before="120"/>
      </w:pPr>
      <w:r>
        <w:t>Beschäftigte</w:t>
      </w:r>
      <w:r>
        <w:tab/>
      </w:r>
      <w:r w:rsidR="0034715F">
        <w:t>28</w:t>
      </w:r>
    </w:p>
    <w:p w:rsidR="0034715F" w:rsidRPr="00EC42D1" w:rsidRDefault="0034715F" w:rsidP="0034715F">
      <w:pPr>
        <w:pStyle w:val="LTAntwortRessortText"/>
        <w:rPr>
          <w:b/>
        </w:rPr>
      </w:pPr>
      <w:r w:rsidRPr="00EC42D1">
        <w:rPr>
          <w:b/>
        </w:rPr>
        <w:t>Lazarettstraße 67 München</w:t>
      </w:r>
    </w:p>
    <w:p w:rsidR="0034715F" w:rsidRDefault="00EC42D1" w:rsidP="00EC42D1">
      <w:pPr>
        <w:pStyle w:val="LTAntwortRessortText"/>
        <w:spacing w:before="120"/>
      </w:pPr>
      <w:r>
        <w:t>Arbeitsplätze</w:t>
      </w:r>
      <w:r>
        <w:tab/>
      </w:r>
      <w:r w:rsidR="0034715F">
        <w:t>42</w:t>
      </w:r>
    </w:p>
    <w:p w:rsidR="0034715F" w:rsidRDefault="00EC42D1" w:rsidP="00EC42D1">
      <w:pPr>
        <w:pStyle w:val="LTAntwortRessortText"/>
        <w:spacing w:before="120"/>
      </w:pPr>
      <w:r>
        <w:t>Beschäftigte</w:t>
      </w:r>
      <w:r>
        <w:tab/>
      </w:r>
      <w:r w:rsidR="0034715F">
        <w:t>28</w:t>
      </w:r>
    </w:p>
    <w:p w:rsidR="0034715F" w:rsidRPr="00E0064D" w:rsidRDefault="0034715F" w:rsidP="0034715F">
      <w:pPr>
        <w:pStyle w:val="LTAntwortRessortText"/>
        <w:rPr>
          <w:b/>
        </w:rPr>
      </w:pPr>
      <w:r w:rsidRPr="00E0064D">
        <w:rPr>
          <w:b/>
        </w:rPr>
        <w:t>Gewerbemuseumsplatz 2 Nürnberg</w:t>
      </w:r>
    </w:p>
    <w:p w:rsidR="0034715F" w:rsidRDefault="00E0064D" w:rsidP="00E0064D">
      <w:pPr>
        <w:pStyle w:val="LTAntwortRessortText"/>
        <w:spacing w:before="120"/>
      </w:pPr>
      <w:r>
        <w:t>Arbeitsplätze</w:t>
      </w:r>
      <w:r>
        <w:tab/>
      </w:r>
      <w:r w:rsidR="0034715F">
        <w:t>62</w:t>
      </w:r>
    </w:p>
    <w:p w:rsidR="0034715F" w:rsidRDefault="00E0064D" w:rsidP="00E0064D">
      <w:pPr>
        <w:pStyle w:val="LTAntwortRessortText"/>
        <w:spacing w:before="120"/>
      </w:pPr>
      <w:r>
        <w:t>Beschäftigte</w:t>
      </w:r>
      <w:r>
        <w:tab/>
      </w:r>
      <w:r w:rsidR="0034715F">
        <w:t>67</w:t>
      </w:r>
    </w:p>
    <w:p w:rsidR="0034715F" w:rsidRPr="008B5934" w:rsidRDefault="0034715F" w:rsidP="0034715F">
      <w:pPr>
        <w:pStyle w:val="LTAntwortRessortText"/>
        <w:rPr>
          <w:b/>
        </w:rPr>
      </w:pPr>
      <w:r w:rsidRPr="008B5934">
        <w:rPr>
          <w:b/>
        </w:rPr>
        <w:t>Bahnhofstraße 40 Nürnberg</w:t>
      </w:r>
    </w:p>
    <w:p w:rsidR="0034715F" w:rsidRDefault="008B5934" w:rsidP="008B5934">
      <w:pPr>
        <w:pStyle w:val="LTAntwortRessortText"/>
        <w:spacing w:before="120"/>
      </w:pPr>
      <w:r>
        <w:t>Arbeitsplätze</w:t>
      </w:r>
      <w:r>
        <w:tab/>
      </w:r>
      <w:r w:rsidR="0034715F">
        <w:t>75</w:t>
      </w:r>
    </w:p>
    <w:p w:rsidR="0034715F" w:rsidRDefault="008B5934" w:rsidP="008B5934">
      <w:pPr>
        <w:pStyle w:val="LTAntwortRessortText"/>
        <w:spacing w:before="120"/>
      </w:pPr>
      <w:r>
        <w:t>Beschäftigte</w:t>
      </w:r>
      <w:r>
        <w:tab/>
      </w:r>
      <w:r w:rsidR="0034715F">
        <w:t>87</w:t>
      </w:r>
    </w:p>
    <w:p w:rsidR="0034715F" w:rsidRPr="00885BFE" w:rsidRDefault="0034715F" w:rsidP="0034715F">
      <w:pPr>
        <w:pStyle w:val="LTAntwortRessortText"/>
        <w:rPr>
          <w:b/>
        </w:rPr>
      </w:pPr>
      <w:r w:rsidRPr="00885BFE">
        <w:rPr>
          <w:b/>
        </w:rPr>
        <w:t>Bahnhofstraße 70 Nürnberg</w:t>
      </w:r>
    </w:p>
    <w:p w:rsidR="0034715F" w:rsidRDefault="00885BFE" w:rsidP="00885BFE">
      <w:pPr>
        <w:pStyle w:val="LTAntwortRessortText"/>
        <w:spacing w:before="120"/>
      </w:pPr>
      <w:r>
        <w:t>Arbeitsplätze</w:t>
      </w:r>
      <w:r>
        <w:tab/>
      </w:r>
      <w:r w:rsidR="0034715F">
        <w:t>38</w:t>
      </w:r>
    </w:p>
    <w:p w:rsidR="0034715F" w:rsidRDefault="00885BFE" w:rsidP="00885BFE">
      <w:pPr>
        <w:pStyle w:val="LTAntwortRessortText"/>
        <w:spacing w:before="120"/>
      </w:pPr>
      <w:r>
        <w:t>Beschäftigte</w:t>
      </w:r>
      <w:r>
        <w:tab/>
      </w:r>
      <w:r w:rsidR="0034715F">
        <w:t>36</w:t>
      </w:r>
    </w:p>
    <w:p w:rsidR="0034715F" w:rsidRDefault="0034715F">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715F" w:rsidTr="007B0B33">
        <w:tc>
          <w:tcPr>
            <w:tcW w:w="2050" w:type="dxa"/>
          </w:tcPr>
          <w:p w:rsidR="0034715F" w:rsidRDefault="0034715F" w:rsidP="0034715F">
            <w:pPr>
              <w:pStyle w:val="LTAnfrageInitiator"/>
            </w:pPr>
            <w:r>
              <w:lastRenderedPageBreak/>
              <w:t>Abgeordneter</w:t>
            </w:r>
            <w:r>
              <w:rPr>
                <w:b/>
              </w:rPr>
              <w:br/>
              <w:t>Andreas</w:t>
            </w:r>
            <w:r>
              <w:rPr>
                <w:b/>
              </w:rPr>
              <w:br/>
              <w:t>Krahl</w:t>
            </w:r>
            <w:r>
              <w:rPr>
                <w:b/>
              </w:rPr>
              <w:br/>
            </w:r>
            <w:r>
              <w:t>(BÜNDNIS 90/DIE GRÜNEN)</w:t>
            </w:r>
            <w:bookmarkStart w:id="117" w:name="Frage_Nr_58"/>
            <w:bookmarkEnd w:id="117"/>
          </w:p>
        </w:tc>
        <w:tc>
          <w:tcPr>
            <w:tcW w:w="7200" w:type="dxa"/>
          </w:tcPr>
          <w:p w:rsidR="0034715F" w:rsidRPr="000E3C5F" w:rsidRDefault="000E3C5F" w:rsidP="0034715F">
            <w:pPr>
              <w:pStyle w:val="LTAnfrageText"/>
            </w:pPr>
            <w:r w:rsidRPr="000E3C5F">
              <w:rPr>
                <w:szCs w:val="24"/>
              </w:rPr>
              <w:t>Welche beruflichen Rollen, die die Vielfalt der Pflege- und Gesundheitswissenschaften abbilden, wurden im Rahmen der Umsetzung und der neu geschaffenen Stellen des „Paktes für den ÖGD“ aufgebaut, wie viele lokale Primärversorgungszentren, die eine koordinierte und kontinuierliche Versorgung, auch über Sektorengrenzen hinweg, anbieten (z. B. PORT-Gesundheitszentren) gibt es in Bayern (bitte nach Trägerschaft aufschlüsseln) und liegen der Staatsregierung Untersuchungen dazu vor, wie hoch die tatsächlich notwendige Inanspruchnahme ärztlicher Leistungen nach Heilberufegesetz in den niedergelassenen Praxen im Durchschnitt ist?</w:t>
            </w:r>
          </w:p>
        </w:tc>
      </w:tr>
    </w:tbl>
    <w:p w:rsidR="0034715F" w:rsidRDefault="0034715F" w:rsidP="0034715F">
      <w:pPr>
        <w:pStyle w:val="LTUeberschrAntwortRessort"/>
      </w:pPr>
      <w:r>
        <w:t>Antwort des Staatsministeriums für Gesundheit und Pflege</w:t>
      </w:r>
    </w:p>
    <w:p w:rsidR="0034715F" w:rsidRDefault="0034715F" w:rsidP="0034715F">
      <w:pPr>
        <w:pStyle w:val="LTAntwortRessortText"/>
      </w:pPr>
      <w:r>
        <w:t>Durch den Pakt für den Öffentlichen Gesundheitsdienst (ÖGD) bietet sich die Möglichkeit, alle</w:t>
      </w:r>
      <w:r w:rsidR="004D77D8">
        <w:t xml:space="preserve"> </w:t>
      </w:r>
      <w:r>
        <w:t>Berufsgruppen des ÖGD personell zu stärken. Dazu gehört, neben Ärztinnen und Ärzten,</w:t>
      </w:r>
      <w:r w:rsidR="004D77D8">
        <w:t xml:space="preserve"> </w:t>
      </w:r>
      <w:r>
        <w:t>Hygienekontrolleurinnen und -kontrolleuren sowie Sozialpädagoginnen und -pädagogen auch die</w:t>
      </w:r>
      <w:r w:rsidR="004D77D8">
        <w:t xml:space="preserve"> </w:t>
      </w:r>
      <w:r>
        <w:t>Berufsgruppe der Fachkräfte der Sozialmedizin (FdS), welche sich ausschließlich aus dem</w:t>
      </w:r>
      <w:r w:rsidR="004D77D8">
        <w:t xml:space="preserve"> </w:t>
      </w:r>
      <w:r>
        <w:t>Pflegebereich rekrutiert.</w:t>
      </w:r>
    </w:p>
    <w:p w:rsidR="0034715F" w:rsidRDefault="0034715F" w:rsidP="0034715F">
      <w:pPr>
        <w:pStyle w:val="LTAntwortRessortText"/>
      </w:pPr>
      <w:r>
        <w:t>Aktuell wird zudem die neue Berufsgruppe der Hygiene- und Umweltingenieure in den ÖGD</w:t>
      </w:r>
      <w:r w:rsidR="004D77D8">
        <w:t xml:space="preserve"> </w:t>
      </w:r>
      <w:r>
        <w:t>integriert. Im Zuge dessen wird auch der Einsatz von Gesundheitswissenschaftlern an den</w:t>
      </w:r>
      <w:r w:rsidR="004D77D8">
        <w:t xml:space="preserve"> </w:t>
      </w:r>
      <w:r>
        <w:t>Gesundheitsämtern geprüft.</w:t>
      </w:r>
    </w:p>
    <w:p w:rsidR="0034715F" w:rsidRDefault="0034715F" w:rsidP="0034715F">
      <w:pPr>
        <w:pStyle w:val="LTAntwortRessortText"/>
      </w:pPr>
      <w:r>
        <w:t xml:space="preserve">Dem </w:t>
      </w:r>
      <w:r w:rsidR="004E1C99">
        <w:t>Staatsministerium für Gesundheit und Pflege (</w:t>
      </w:r>
      <w:r>
        <w:t>StMGP</w:t>
      </w:r>
      <w:r w:rsidR="004E1C99">
        <w:t>)</w:t>
      </w:r>
      <w:r>
        <w:t xml:space="preserve"> liegen keine eigenen Erkenntnisse zur Anzahl lokaler Primärversorgungszentren in</w:t>
      </w:r>
      <w:r w:rsidR="00D47934">
        <w:t xml:space="preserve"> </w:t>
      </w:r>
      <w:r>
        <w:t>Bayern vor. Nach Mitteilung der Kassenärztlichen Vereinigung Bayerns (KVB) ist lediglich ein</w:t>
      </w:r>
      <w:r w:rsidR="00D47934">
        <w:t xml:space="preserve"> </w:t>
      </w:r>
      <w:r w:rsidR="004E1C99">
        <w:t>PORT-Zentrum in Dachau bekannt –</w:t>
      </w:r>
      <w:r>
        <w:t xml:space="preserve"> zu weiteren Einrichtungen liegen dort keine Kenntnisse vor.</w:t>
      </w:r>
    </w:p>
    <w:p w:rsidR="0034715F" w:rsidRDefault="0034715F" w:rsidP="0034715F">
      <w:pPr>
        <w:pStyle w:val="LTAntwortRessortText"/>
      </w:pPr>
      <w:r>
        <w:t>Der Staatsregierung liegen keine Untersuchungen dazu vor, wie hoch die tatsächlich notwendige</w:t>
      </w:r>
      <w:r w:rsidR="00D47934">
        <w:t xml:space="preserve"> </w:t>
      </w:r>
      <w:r>
        <w:t xml:space="preserve">Inanspruchnahme ärztlicher Leistungen nach </w:t>
      </w:r>
      <w:r w:rsidR="00190CE9">
        <w:t>„</w:t>
      </w:r>
      <w:r>
        <w:t>Heilberufegesetz</w:t>
      </w:r>
      <w:r w:rsidR="00190CE9">
        <w:t>“</w:t>
      </w:r>
      <w:r>
        <w:t xml:space="preserve"> in den niedergelassenen Praxen</w:t>
      </w:r>
      <w:r w:rsidR="00D47934">
        <w:t xml:space="preserve"> </w:t>
      </w:r>
      <w:r>
        <w:t xml:space="preserve">im Durchschnitt ist. Es ist nicht nachvollziehbar, ob mit </w:t>
      </w:r>
      <w:r w:rsidR="00190CE9">
        <w:t>„</w:t>
      </w:r>
      <w:r>
        <w:t>Heilberufegesetz</w:t>
      </w:r>
      <w:r w:rsidR="00190CE9">
        <w:t>“</w:t>
      </w:r>
      <w:r>
        <w:t xml:space="preserve"> ein Berufsgesetz des</w:t>
      </w:r>
      <w:r w:rsidR="00D47934">
        <w:t xml:space="preserve"> </w:t>
      </w:r>
      <w:r>
        <w:t>Bundes, etwa die Bundesärzteordnung oder das Heilberufe-Kammergesetz gemeint ist.</w:t>
      </w:r>
      <w:r w:rsidR="00D47934">
        <w:t xml:space="preserve"> </w:t>
      </w:r>
      <w:r>
        <w:t>Beide Regelwerke enthalten jedoch ohnehin keine Untersuchungs- oder Behandlungspflichten</w:t>
      </w:r>
      <w:r w:rsidR="00D47934">
        <w:t xml:space="preserve"> </w:t>
      </w:r>
      <w:r>
        <w:t>oder ähnliches. Sie regeln vielmehr nur den Berufszugang bzw. die Berufsvertretung und die</w:t>
      </w:r>
      <w:r w:rsidR="00D47934">
        <w:t xml:space="preserve"> </w:t>
      </w:r>
      <w:r>
        <w:t>Berufsausübung der Berufsangehörigen.</w:t>
      </w:r>
    </w:p>
    <w:p w:rsidR="0034715F" w:rsidRDefault="0034715F" w:rsidP="0034715F">
      <w:pPr>
        <w:pStyle w:val="LTAntwortRessortText"/>
      </w:pPr>
      <w:r>
        <w:t>Die KVB weist auf Nachfrage darauf hin, dass Leistungen, die zu Lasten der GKV abgerechnet</w:t>
      </w:r>
      <w:r w:rsidR="00D47934">
        <w:t xml:space="preserve"> </w:t>
      </w:r>
      <w:r>
        <w:t>werden, grundsätzlich medizinisch notwendig seien. Dies sei auf das grundlegende Prinzip des</w:t>
      </w:r>
      <w:r w:rsidR="00D47934">
        <w:t xml:space="preserve"> </w:t>
      </w:r>
      <w:r>
        <w:t>Wirtschaftlichkeitsgebots g</w:t>
      </w:r>
      <w:r w:rsidR="004E1C99">
        <w:t>emäß § </w:t>
      </w:r>
      <w:r>
        <w:t xml:space="preserve">12 </w:t>
      </w:r>
      <w:r w:rsidR="004E1C99">
        <w:t>Fünften Buch Sozialgesetzbuch (</w:t>
      </w:r>
      <w:r>
        <w:t>SGB V</w:t>
      </w:r>
      <w:r w:rsidR="004E1C99">
        <w:t>)</w:t>
      </w:r>
      <w:r>
        <w:t xml:space="preserve"> zurückzuführen, nicht hingegen auf ein</w:t>
      </w:r>
      <w:r w:rsidR="00D47934">
        <w:t xml:space="preserve"> </w:t>
      </w:r>
      <w:r w:rsidR="00190CE9">
        <w:t>„</w:t>
      </w:r>
      <w:r>
        <w:t>Heilberufegesetz</w:t>
      </w:r>
      <w:r w:rsidR="00190CE9">
        <w:t>“</w:t>
      </w:r>
      <w:r>
        <w:t>. Über die erbrachte Leistungsmenge könne bei Bedarf durch Wiedergabe des</w:t>
      </w:r>
      <w:r w:rsidR="00D47934">
        <w:t xml:space="preserve"> </w:t>
      </w:r>
      <w:r>
        <w:t>tatsächlichen Vergütungsvolumens (ausbezahlte Honorare) oder des fiktiven Vergütungsvolumens</w:t>
      </w:r>
      <w:r w:rsidR="00D47934">
        <w:t xml:space="preserve"> </w:t>
      </w:r>
      <w:r>
        <w:t>(Leistungsmenge zu Preisen der Gebührenordnung) berichtet werden.</w:t>
      </w:r>
    </w:p>
    <w:p w:rsidR="0034715F" w:rsidRDefault="0034715F">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34715F" w:rsidTr="007B0B33">
        <w:tc>
          <w:tcPr>
            <w:tcW w:w="2050" w:type="dxa"/>
          </w:tcPr>
          <w:p w:rsidR="0034715F" w:rsidRDefault="0034715F" w:rsidP="0034715F">
            <w:pPr>
              <w:pStyle w:val="LTAnfrageInitiator"/>
            </w:pPr>
            <w:r>
              <w:lastRenderedPageBreak/>
              <w:t>Abgeordneter</w:t>
            </w:r>
            <w:r>
              <w:rPr>
                <w:b/>
              </w:rPr>
              <w:br/>
              <w:t>Gerd</w:t>
            </w:r>
            <w:r>
              <w:rPr>
                <w:b/>
              </w:rPr>
              <w:br/>
              <w:t>Mannes</w:t>
            </w:r>
            <w:r>
              <w:rPr>
                <w:b/>
              </w:rPr>
              <w:br/>
            </w:r>
            <w:r>
              <w:t>(AfD)</w:t>
            </w:r>
            <w:bookmarkStart w:id="119" w:name="Frage_Nr_59"/>
            <w:bookmarkEnd w:id="119"/>
          </w:p>
        </w:tc>
        <w:tc>
          <w:tcPr>
            <w:tcW w:w="7200" w:type="dxa"/>
          </w:tcPr>
          <w:p w:rsidR="0034715F" w:rsidRPr="005B6B0C" w:rsidRDefault="005B6B0C" w:rsidP="0034715F">
            <w:pPr>
              <w:pStyle w:val="LTAnfrageText"/>
            </w:pPr>
            <w:r w:rsidRPr="005B6B0C">
              <w:rPr>
                <w:szCs w:val="24"/>
              </w:rPr>
              <w:t>Ich frage die Staatsregierung, wie viele Masken der jeweiligen Typen (FFP2, KN95, etc.) hat sie zu welchen Preisen von der Firma Lomotex erworben, wann wurden diese von der Qualitätskontrolle freigegeben und an welche Empfänger wurden diese zu welchen Zeitpunkten ausgeliefert?</w:t>
            </w:r>
          </w:p>
        </w:tc>
      </w:tr>
    </w:tbl>
    <w:p w:rsidR="0034715F" w:rsidRDefault="0034715F" w:rsidP="0034715F">
      <w:pPr>
        <w:pStyle w:val="LTUeberschrAntwortRessort"/>
      </w:pPr>
      <w:r>
        <w:t>Antwort des Staatsministeriums für Gesundheit und Pflege</w:t>
      </w:r>
    </w:p>
    <w:p w:rsidR="0034715F" w:rsidRDefault="0034715F" w:rsidP="0034715F">
      <w:pPr>
        <w:pStyle w:val="LTAntwortRessortText"/>
      </w:pPr>
      <w:r>
        <w:t>Der mit der Lomotex GmbH und Co. KG geschlossene Vertrag beinhaltete den Kauf von</w:t>
      </w:r>
    </w:p>
    <w:p w:rsidR="0034715F" w:rsidRDefault="0034715F" w:rsidP="00EF33FF">
      <w:pPr>
        <w:pStyle w:val="LTAntwortRessortText"/>
        <w:numPr>
          <w:ilvl w:val="0"/>
          <w:numId w:val="29"/>
        </w:numPr>
        <w:ind w:left="680" w:hanging="340"/>
      </w:pPr>
      <w:r>
        <w:t>3 Mio. Atemschutzmasken mit dem Standard FFP2 oder KN95 zu je 3,60 Euro zzgl. MwSt.</w:t>
      </w:r>
    </w:p>
    <w:p w:rsidR="0034715F" w:rsidRDefault="0034715F" w:rsidP="00E76B3A">
      <w:pPr>
        <w:pStyle w:val="LTAntwortRessortText"/>
        <w:spacing w:before="120"/>
      </w:pPr>
      <w:r>
        <w:t>und</w:t>
      </w:r>
    </w:p>
    <w:p w:rsidR="0034715F" w:rsidRDefault="00B04C42" w:rsidP="00E76B3A">
      <w:pPr>
        <w:pStyle w:val="LTAntwortRessortText"/>
        <w:numPr>
          <w:ilvl w:val="0"/>
          <w:numId w:val="29"/>
        </w:numPr>
        <w:spacing w:before="120"/>
        <w:ind w:left="680" w:hanging="340"/>
      </w:pPr>
      <w:r>
        <w:t>500 </w:t>
      </w:r>
      <w:r w:rsidR="0034715F">
        <w:t>000 Atemschutzmasken mit dem Standard FFP3 zu je 6,90 Euro zzgl. MwSt.</w:t>
      </w:r>
    </w:p>
    <w:p w:rsidR="0034715F" w:rsidRDefault="0034715F" w:rsidP="0034715F">
      <w:pPr>
        <w:pStyle w:val="LTAntwortRessortText"/>
      </w:pPr>
      <w:r>
        <w:t xml:space="preserve">Der Fragensteller wird im Übrigen als Mitglied des Untersuchungsausschusses </w:t>
      </w:r>
      <w:r w:rsidR="00190CE9">
        <w:t>„</w:t>
      </w:r>
      <w:r>
        <w:t>Maske</w:t>
      </w:r>
      <w:r w:rsidR="00190CE9">
        <w:t>“</w:t>
      </w:r>
      <w:r>
        <w:t xml:space="preserve"> auf die</w:t>
      </w:r>
      <w:r w:rsidR="00C154B3">
        <w:t xml:space="preserve"> </w:t>
      </w:r>
      <w:r>
        <w:t>dort vorliegenden Akten verwiesen.</w:t>
      </w:r>
    </w:p>
    <w:p w:rsidR="0034715F" w:rsidRDefault="0034715F" w:rsidP="0034715F">
      <w:pPr>
        <w:pStyle w:val="LTAntwortRessortText"/>
      </w:pPr>
      <w:r>
        <w:t>Eine erste Teill</w:t>
      </w:r>
      <w:r w:rsidR="00B04C42">
        <w:t>ieferung am 11.04.2020 über 100 </w:t>
      </w:r>
      <w:r>
        <w:t>800 KN95-Masken wurde wegen fehlerhafter</w:t>
      </w:r>
      <w:r w:rsidR="00FB23EC">
        <w:t xml:space="preserve"> </w:t>
      </w:r>
      <w:r>
        <w:t>Kennzeichnung bzw. mangelhaften Prüfberichten reklamiert und gesperrt. Keine dieser Masken</w:t>
      </w:r>
      <w:r w:rsidR="00FB23EC">
        <w:t xml:space="preserve"> </w:t>
      </w:r>
      <w:r>
        <w:t>wurde ausgeliefert.</w:t>
      </w:r>
    </w:p>
    <w:p w:rsidR="0034715F" w:rsidRDefault="0034715F" w:rsidP="0034715F">
      <w:pPr>
        <w:pStyle w:val="LTAntwortRessortText"/>
      </w:pPr>
      <w:r>
        <w:t>Alle weiteren Teillieferungen enthielten FFP2- bzw. FFP3-Masken.</w:t>
      </w:r>
    </w:p>
    <w:p w:rsidR="0034715F" w:rsidRDefault="0034715F" w:rsidP="0034715F">
      <w:pPr>
        <w:pStyle w:val="LTAntwortRessortText"/>
      </w:pPr>
      <w:r>
        <w:t xml:space="preserve">Die FFP2-Masken wurden durch die Prüfstelle für Schutzgüter (BayPfS) des </w:t>
      </w:r>
      <w:r w:rsidR="00B04C42">
        <w:t>Landesamtes für Gesundheit und Lebensmittelsicherheit (</w:t>
      </w:r>
      <w:r>
        <w:t>LGL</w:t>
      </w:r>
      <w:r w:rsidR="00B04C42">
        <w:t>)</w:t>
      </w:r>
      <w:r>
        <w:t xml:space="preserve"> am</w:t>
      </w:r>
      <w:r w:rsidR="00FC4BD2">
        <w:t xml:space="preserve"> </w:t>
      </w:r>
      <w:r>
        <w:t>13.08.2020 geprüft und als ordnungsgemäß freigegeben. Die gelieferten FFP3-Masken wurden</w:t>
      </w:r>
      <w:r w:rsidR="00FC4BD2">
        <w:t xml:space="preserve"> </w:t>
      </w:r>
      <w:r>
        <w:t>am 07.12.2020 überprüft und ebenfalls als ordnungsgemäß freigegeben.</w:t>
      </w:r>
    </w:p>
    <w:p w:rsidR="0034715F" w:rsidRDefault="0034715F" w:rsidP="0034715F">
      <w:pPr>
        <w:pStyle w:val="LTAntwortRessortText"/>
      </w:pPr>
      <w:r>
        <w:t>Die Masken wurden an folgende Empfänger ausgeliefert:</w:t>
      </w:r>
    </w:p>
    <w:p w:rsidR="0034715F" w:rsidRDefault="0034715F" w:rsidP="0034715F">
      <w:pPr>
        <w:pStyle w:val="LTAntwortRessortText"/>
      </w:pPr>
    </w:p>
    <w:tbl>
      <w:tblPr>
        <w:tblStyle w:val="TableNormal"/>
        <w:tblW w:w="61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6"/>
        <w:gridCol w:w="1276"/>
        <w:gridCol w:w="1275"/>
      </w:tblGrid>
      <w:tr w:rsidR="00290E9F" w:rsidRPr="00B04C42" w:rsidTr="004B256E">
        <w:trPr>
          <w:trHeight w:val="378"/>
        </w:trPr>
        <w:tc>
          <w:tcPr>
            <w:tcW w:w="3566" w:type="dxa"/>
            <w:vAlign w:val="center"/>
          </w:tcPr>
          <w:p w:rsidR="00290E9F" w:rsidRPr="00B04C42" w:rsidRDefault="00290E9F" w:rsidP="00B04C42">
            <w:pPr>
              <w:pStyle w:val="TableParagraph"/>
              <w:spacing w:line="248" w:lineRule="exact"/>
              <w:rPr>
                <w:rFonts w:ascii="Arial" w:hAnsi="Arial" w:cs="Arial"/>
                <w:b/>
                <w:sz w:val="18"/>
                <w:szCs w:val="18"/>
              </w:rPr>
            </w:pPr>
            <w:r w:rsidRPr="00B04C42">
              <w:rPr>
                <w:rFonts w:ascii="Arial" w:hAnsi="Arial" w:cs="Arial"/>
                <w:b/>
                <w:sz w:val="18"/>
                <w:szCs w:val="18"/>
              </w:rPr>
              <w:t>Empfänger</w:t>
            </w:r>
          </w:p>
        </w:tc>
        <w:tc>
          <w:tcPr>
            <w:tcW w:w="1276" w:type="dxa"/>
            <w:vAlign w:val="center"/>
          </w:tcPr>
          <w:p w:rsidR="00290E9F" w:rsidRPr="00B04C42" w:rsidRDefault="00290E9F" w:rsidP="00B04C42">
            <w:pPr>
              <w:pStyle w:val="TableParagraph"/>
              <w:spacing w:line="248" w:lineRule="exact"/>
              <w:jc w:val="center"/>
              <w:rPr>
                <w:rFonts w:ascii="Arial" w:hAnsi="Arial" w:cs="Arial"/>
                <w:b/>
                <w:sz w:val="18"/>
                <w:szCs w:val="18"/>
              </w:rPr>
            </w:pPr>
            <w:r w:rsidRPr="00B04C42">
              <w:rPr>
                <w:rFonts w:ascii="Arial" w:hAnsi="Arial" w:cs="Arial"/>
                <w:b/>
                <w:sz w:val="18"/>
                <w:szCs w:val="18"/>
              </w:rPr>
              <w:t>Maskentyp</w:t>
            </w:r>
          </w:p>
        </w:tc>
        <w:tc>
          <w:tcPr>
            <w:tcW w:w="1275" w:type="dxa"/>
            <w:vAlign w:val="center"/>
          </w:tcPr>
          <w:p w:rsidR="00290E9F" w:rsidRPr="00B04C42" w:rsidRDefault="00290E9F" w:rsidP="00B04C42">
            <w:pPr>
              <w:pStyle w:val="TableParagraph"/>
              <w:spacing w:line="248" w:lineRule="exact"/>
              <w:jc w:val="center"/>
              <w:rPr>
                <w:rFonts w:ascii="Arial" w:hAnsi="Arial" w:cs="Arial"/>
                <w:b/>
                <w:sz w:val="18"/>
                <w:szCs w:val="18"/>
              </w:rPr>
            </w:pPr>
            <w:r w:rsidRPr="00B04C42">
              <w:rPr>
                <w:rFonts w:ascii="Arial" w:hAnsi="Arial" w:cs="Arial"/>
                <w:b/>
                <w:sz w:val="18"/>
                <w:szCs w:val="18"/>
              </w:rPr>
              <w:t>Auslieferung</w:t>
            </w:r>
          </w:p>
        </w:tc>
      </w:tr>
      <w:tr w:rsidR="00290E9F" w:rsidRPr="00B04C42" w:rsidTr="004B256E">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Ecolog Deutschland GmbH für Testzentrum</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29.09.2020</w:t>
            </w:r>
          </w:p>
        </w:tc>
      </w:tr>
      <w:tr w:rsidR="00290E9F" w:rsidRPr="00B04C42" w:rsidTr="004B256E">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06.10.2020</w:t>
            </w:r>
          </w:p>
        </w:tc>
      </w:tr>
      <w:tr w:rsidR="00290E9F" w:rsidRPr="00B04C42" w:rsidTr="004B256E">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Bayerisches Staatsbad Bad Brückenau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06.10.2020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Bayerisches Staatsbad Bad Brückenau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08.10.2020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Helmholtz Zentrum München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20.10.2020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Oberlandesgericht Bamberg</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06.11.2020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09.11.2020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lastRenderedPageBreak/>
              <w:t>JVA Nürnberg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10.11.2020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Gesundheitsamt Starnberg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10.11.2020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JVA München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10.11.2020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12.11.2020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16.11.2020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24.11.2020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Regierung von Mittelfranken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26.11.2020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01.12.2020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FFP3-Maske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01.12.2020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Oberlandesgericht Nürnberg</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16.12.2020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Traunstein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Starnberg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Bamberg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Weilheim-Schongau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Ingolstadt</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Landeshauptstadt München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Stadt Rosenheim</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Amberg-Sulzbach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LK Cham</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Neustadt a. d. Waldnaab</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Regensburg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Schwandorf</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Tirschenreuth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Stadt Amberg</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Regensburg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Weiden i. d. Oberpfalz</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Bamberg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Bayreuth</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Coburg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Forchheim</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Hof</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Kronach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lastRenderedPageBreak/>
              <w:t>Landkreis Kulmbach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Lichtenfels</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Wunsiedel i. Fichtelgebirge</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München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Memmingen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Kempten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Kaufbeuren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Donau-Ries</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Altötting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Berchtesgadener Land</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Bad Tölz-Wolfratshausen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Dachau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Ebersberg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Eichstätt</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Erding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Freising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Fürstenfeldbruck</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Garmisch-Partenkirchen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Landsberg am Lech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Miesbach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Mühldorf am Inn</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Neuburg-Schrobenhausen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Pf</w:t>
            </w:r>
            <w:r w:rsidR="004B256E">
              <w:rPr>
                <w:rFonts w:ascii="Arial" w:hAnsi="Arial" w:cs="Arial"/>
                <w:sz w:val="18"/>
                <w:szCs w:val="18"/>
              </w:rPr>
              <w:t>affenhofen a. </w:t>
            </w:r>
            <w:r w:rsidRPr="00B04C42">
              <w:rPr>
                <w:rFonts w:ascii="Arial" w:hAnsi="Arial" w:cs="Arial"/>
                <w:sz w:val="18"/>
                <w:szCs w:val="18"/>
              </w:rPr>
              <w:t>d. Ilm</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Erlangen-Höchstadt</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Roth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Ansbach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Erlangen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Neu-Ulm</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Unterallgäu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22.12.2020</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FFP3-Maske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11.01.2021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Dillingen a. d. Donau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Lindau</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lastRenderedPageBreak/>
              <w:t>Stadt Aschaffenburg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Kaufbeuren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Erlangen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Augsburg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Würzburg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Oberallgäu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Aichach-Friedberg</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Donau-Ries</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Augsburg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Unterallgäu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Aschaffenburg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Ostallgäu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Memmingen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Günzburg</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Kempten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Neu-Ulm</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Schweinfurt</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Stadt Schweinfurt</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Schweinfurt</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Erlangen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Oberallgäu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Donau-Ries</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Unterallgäu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Lindau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Neu-Ulm</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Günzburg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Augsburg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Aichach-Friedberg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Memmingen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Kempten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Augsburg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Würzburg</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lastRenderedPageBreak/>
              <w:t>Landkreis Ostallgäu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Aschaffenburg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Landeshauptstadt München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Main-Spessart</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Miltenberg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Kitzingen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Haßberge</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Rhön-Grabfeld</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Bad Kissingen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Würzburg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Rosenheim</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Berchtesgadener Land</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Rhön-Grabfeld</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Landeshauptstadt München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Berchtesgadener Land</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Miltenberg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Haßberge</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Kitzingen</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Bad Kissingen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Main-Spessart</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Würzburg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Rosenheim</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Coburg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Altötting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Coburg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Wunsiedel i. Fichtelgebirge</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Bayreuth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Lichtenfels</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Stadt Bamberg</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Kulmbach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Bamberg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Kronach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lastRenderedPageBreak/>
              <w:t>Stadt Bayreuth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Hof</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Hof</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Forchheim</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Ingolstadt</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Ingolstadt</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Wunsiedel i. Fichtelgebirge</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Lichtenfels</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Kulmbach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Kronach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Hof</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Coburg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Bayreuth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Bamberg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Stadt Hof</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Coburg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Bayreuth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Bamberg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Forchheim</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Altötting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Weilheim-Schongau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Starnberg</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Mühldorf am Inn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Miesbach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Freising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Erding</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Eichstätt</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Ebersberg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Dachau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Rosenheim</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Starnberg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Erding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lastRenderedPageBreak/>
              <w:t>Landkreis Eichstätt</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Miesbach</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Ebersberg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Weilheim-Schongau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Freising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Rosenheim</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Mühldorf am Inn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Dachau</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Bad Tölz-Wolfratshausen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Traunstein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w:t>
            </w:r>
            <w:r w:rsidR="001B232D">
              <w:rPr>
                <w:rFonts w:ascii="Arial" w:hAnsi="Arial" w:cs="Arial"/>
                <w:sz w:val="18"/>
                <w:szCs w:val="18"/>
              </w:rPr>
              <w:t xml:space="preserve"> Pfaffenhofen a. </w:t>
            </w:r>
            <w:r w:rsidRPr="00B04C42">
              <w:rPr>
                <w:rFonts w:ascii="Arial" w:hAnsi="Arial" w:cs="Arial"/>
                <w:sz w:val="18"/>
                <w:szCs w:val="18"/>
              </w:rPr>
              <w:t>d. Ilm</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München</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Garmisch-Partenkirchen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Fürstenfeldbruck</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Neuburg-Schrobenhausen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Traunstein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1B232D" w:rsidP="00B04C42">
            <w:pPr>
              <w:pStyle w:val="TableParagraph"/>
              <w:rPr>
                <w:rFonts w:ascii="Arial" w:hAnsi="Arial" w:cs="Arial"/>
                <w:sz w:val="18"/>
                <w:szCs w:val="18"/>
              </w:rPr>
            </w:pPr>
            <w:r>
              <w:rPr>
                <w:rFonts w:ascii="Arial" w:hAnsi="Arial" w:cs="Arial"/>
                <w:sz w:val="18"/>
                <w:szCs w:val="18"/>
              </w:rPr>
              <w:t>Landkreis Pfaffenhofen a. </w:t>
            </w:r>
            <w:r w:rsidR="00290E9F" w:rsidRPr="00B04C42">
              <w:rPr>
                <w:rFonts w:ascii="Arial" w:hAnsi="Arial" w:cs="Arial"/>
                <w:sz w:val="18"/>
                <w:szCs w:val="18"/>
              </w:rPr>
              <w:t>d. Ilm</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Neuburg-Schrobenhausen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München</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Garmisch-Partenkirchen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Fürstenfeldbruck</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Landkreis Bad Tölz-Wolfratshausen</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19.01.2021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20.01.2021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Stadt Straubing</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28.01.2021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Bayerisches Staatsbad Bad Brückenau</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03.02.2021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Landkreis Lichtenfels</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FFP3-Maske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02.03.2021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07.06.2021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Testzentrum Rosenheim</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28.09.2021</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17.12.2021</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spacing w:line="240" w:lineRule="auto"/>
              <w:rPr>
                <w:rFonts w:ascii="Arial" w:hAnsi="Arial" w:cs="Arial"/>
                <w:sz w:val="18"/>
                <w:szCs w:val="18"/>
              </w:rPr>
            </w:pPr>
            <w:r w:rsidRPr="00B04C42">
              <w:rPr>
                <w:rFonts w:ascii="Arial" w:hAnsi="Arial" w:cs="Arial"/>
                <w:sz w:val="18"/>
                <w:szCs w:val="18"/>
              </w:rPr>
              <w:t>Testzentrum Rosenheim</w:t>
            </w:r>
          </w:p>
        </w:tc>
        <w:tc>
          <w:tcPr>
            <w:tcW w:w="1276"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spacing w:line="240" w:lineRule="auto"/>
              <w:jc w:val="center"/>
              <w:rPr>
                <w:rFonts w:ascii="Arial" w:hAnsi="Arial" w:cs="Arial"/>
                <w:sz w:val="18"/>
                <w:szCs w:val="18"/>
              </w:rPr>
            </w:pPr>
            <w:r w:rsidRPr="00B04C42">
              <w:rPr>
                <w:rFonts w:ascii="Arial" w:hAnsi="Arial" w:cs="Arial"/>
                <w:sz w:val="18"/>
                <w:szCs w:val="18"/>
              </w:rPr>
              <w:t>25.01.2022</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15.02.2022</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23.03.2022</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lastRenderedPageBreak/>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FFP3-Maske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12.04.2022</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20.04.2022</w:t>
            </w:r>
          </w:p>
        </w:tc>
      </w:tr>
      <w:tr w:rsidR="00290E9F" w:rsidRPr="00B04C42" w:rsidTr="004B256E">
        <w:tblPrEx>
          <w:tblLook w:val="04A0" w:firstRow="1" w:lastRow="0" w:firstColumn="1" w:lastColumn="0" w:noHBand="0" w:noVBand="1"/>
        </w:tblPrEx>
        <w:trPr>
          <w:trHeight w:val="378"/>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FFP3-Maske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20.04.2022</w:t>
            </w:r>
          </w:p>
        </w:tc>
      </w:tr>
      <w:tr w:rsidR="00290E9F" w:rsidRPr="00B04C42" w:rsidTr="004B256E">
        <w:tblPrEx>
          <w:tblLook w:val="04A0" w:firstRow="1" w:lastRow="0" w:firstColumn="1" w:lastColumn="0" w:noHBand="0" w:noVBand="1"/>
        </w:tblPrEx>
        <w:trPr>
          <w:trHeight w:val="381"/>
        </w:trPr>
        <w:tc>
          <w:tcPr>
            <w:tcW w:w="3566" w:type="dxa"/>
            <w:vAlign w:val="center"/>
          </w:tcPr>
          <w:p w:rsidR="00290E9F" w:rsidRPr="00B04C42" w:rsidRDefault="00290E9F" w:rsidP="00B04C42">
            <w:pPr>
              <w:pStyle w:val="TableParagraph"/>
              <w:rPr>
                <w:rFonts w:ascii="Arial" w:hAnsi="Arial" w:cs="Arial"/>
                <w:sz w:val="18"/>
                <w:szCs w:val="18"/>
              </w:rPr>
            </w:pPr>
            <w:r w:rsidRPr="00B04C42">
              <w:rPr>
                <w:rFonts w:ascii="Arial" w:hAnsi="Arial" w:cs="Arial"/>
                <w:sz w:val="18"/>
                <w:szCs w:val="18"/>
              </w:rPr>
              <w:t>LGL</w:t>
            </w:r>
          </w:p>
        </w:tc>
        <w:tc>
          <w:tcPr>
            <w:tcW w:w="1276"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FFP2-Maske</w:t>
            </w:r>
          </w:p>
        </w:tc>
        <w:tc>
          <w:tcPr>
            <w:tcW w:w="1275" w:type="dxa"/>
            <w:vAlign w:val="center"/>
          </w:tcPr>
          <w:p w:rsidR="00290E9F" w:rsidRPr="00B04C42" w:rsidRDefault="00290E9F" w:rsidP="00B04C42">
            <w:pPr>
              <w:pStyle w:val="TableParagraph"/>
              <w:jc w:val="center"/>
              <w:rPr>
                <w:rFonts w:ascii="Arial" w:hAnsi="Arial" w:cs="Arial"/>
                <w:sz w:val="18"/>
                <w:szCs w:val="18"/>
              </w:rPr>
            </w:pPr>
            <w:r w:rsidRPr="00B04C42">
              <w:rPr>
                <w:rFonts w:ascii="Arial" w:hAnsi="Arial" w:cs="Arial"/>
                <w:sz w:val="18"/>
                <w:szCs w:val="18"/>
              </w:rPr>
              <w:t>22.04.2022</w:t>
            </w:r>
          </w:p>
        </w:tc>
      </w:tr>
    </w:tbl>
    <w:p w:rsidR="0034715F" w:rsidRDefault="0034715F" w:rsidP="0034715F">
      <w:pPr>
        <w:pStyle w:val="LTAntwortRessortText"/>
      </w:pPr>
    </w:p>
    <w:p w:rsidR="0034715F" w:rsidRDefault="0034715F">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34715F" w:rsidTr="007B0B33">
        <w:tc>
          <w:tcPr>
            <w:tcW w:w="2050" w:type="dxa"/>
          </w:tcPr>
          <w:p w:rsidR="0034715F" w:rsidRDefault="0034715F" w:rsidP="0034715F">
            <w:pPr>
              <w:pStyle w:val="LTAnfrageInitiator"/>
            </w:pPr>
            <w:r>
              <w:lastRenderedPageBreak/>
              <w:t>Abgeordneter</w:t>
            </w:r>
            <w:r>
              <w:rPr>
                <w:b/>
              </w:rPr>
              <w:br/>
              <w:t>Tim</w:t>
            </w:r>
            <w:r>
              <w:rPr>
                <w:b/>
              </w:rPr>
              <w:br/>
              <w:t>Pargent</w:t>
            </w:r>
            <w:r>
              <w:rPr>
                <w:b/>
              </w:rPr>
              <w:br/>
            </w:r>
            <w:r>
              <w:t>(BÜNDNIS 90/DIE GRÜNEN)</w:t>
            </w:r>
            <w:bookmarkStart w:id="121" w:name="Frage_Nr_60"/>
            <w:bookmarkEnd w:id="121"/>
          </w:p>
        </w:tc>
        <w:tc>
          <w:tcPr>
            <w:tcW w:w="7200" w:type="dxa"/>
          </w:tcPr>
          <w:p w:rsidR="0034715F" w:rsidRPr="005B6B0C" w:rsidRDefault="005B6B0C" w:rsidP="0034715F">
            <w:pPr>
              <w:pStyle w:val="LTAnfrageText"/>
            </w:pPr>
            <w:r w:rsidRPr="005B6B0C">
              <w:rPr>
                <w:szCs w:val="24"/>
              </w:rPr>
              <w:t>Ich frage die Staatsregierung, wie viele Masken unter Vermittlung der hessischen Textilfirma Lomotex und der Schweizer Handelsfirma Emix sind in den Regierungsbezirk Oberfranken gelangt (bitte aufschlüsseln nach Landkreis), wann wurden diese ausgeliefert und wurden aus dem Lomotex- und Emix-Masken-Bestand auch das Staatsministerium für Unterricht und Kultus und damit bayerische Schulen versorgt?</w:t>
            </w:r>
          </w:p>
        </w:tc>
      </w:tr>
    </w:tbl>
    <w:p w:rsidR="0034715F" w:rsidRDefault="0034715F" w:rsidP="0034715F">
      <w:pPr>
        <w:pStyle w:val="LTUeberschrAntwortRessort"/>
      </w:pPr>
      <w:r>
        <w:t>Antwort des Staatsministeriums für Gesundheit und Pflege</w:t>
      </w:r>
    </w:p>
    <w:p w:rsidR="0034715F" w:rsidRDefault="0034715F" w:rsidP="0034715F">
      <w:pPr>
        <w:pStyle w:val="LTAntwortRessortText"/>
      </w:pPr>
      <w:r>
        <w:t>Der Beantwortung liegt die Annahme zugrunde, dass nach der Eigenschaft der Lomotex GmbH &amp;</w:t>
      </w:r>
      <w:r w:rsidR="00203DE7">
        <w:t xml:space="preserve"> </w:t>
      </w:r>
      <w:r>
        <w:t>Co. KG bzw. der Emix Trading GmbH als Verkäufer bzw. Zwischenhändlerin von Masken gefragt</w:t>
      </w:r>
      <w:r w:rsidR="00203DE7">
        <w:t xml:space="preserve"> </w:t>
      </w:r>
      <w:r>
        <w:t>ist; eine Vermittlung von Masken an die Staatsregierung fand durch die Unternehmen nicht statt.</w:t>
      </w:r>
    </w:p>
    <w:p w:rsidR="0034715F" w:rsidRDefault="0034715F" w:rsidP="0034715F">
      <w:pPr>
        <w:pStyle w:val="LTAntwortRessortText"/>
      </w:pPr>
      <w:r>
        <w:t>Hinsichtlich der Lieferungen der Lomotex GmbH &amp; Co. KG ist klarzustellen, dass der geschlossene</w:t>
      </w:r>
      <w:r w:rsidR="00203DE7">
        <w:t xml:space="preserve"> </w:t>
      </w:r>
      <w:r>
        <w:t>Vertrag den Kauf von 3 Millionen Atemschutzmasken mit dem Standard FFP2 oder KN95 und den</w:t>
      </w:r>
      <w:r w:rsidR="00203DE7">
        <w:t xml:space="preserve"> </w:t>
      </w:r>
      <w:r w:rsidR="003B6DDF">
        <w:t>Kauf von 500 </w:t>
      </w:r>
      <w:r>
        <w:t>000 Atemschutzmasken mit dem Standard FFP3 beinhaltete. Eine erste Teillieferung</w:t>
      </w:r>
      <w:r w:rsidR="00203DE7">
        <w:t xml:space="preserve"> </w:t>
      </w:r>
      <w:r w:rsidR="003B6DDF">
        <w:t>am 11.04.2020 über 100 800 </w:t>
      </w:r>
      <w:r>
        <w:t>KN-95 Masken wurde wegen fehlerhafter Kennzeichnung bzw.</w:t>
      </w:r>
      <w:r w:rsidR="00203DE7">
        <w:t xml:space="preserve"> </w:t>
      </w:r>
      <w:r>
        <w:t>mangelhaften Prüfberichten reklamiert und gesperrt. Keine dieser Masken wurde ausgeliefert.</w:t>
      </w:r>
      <w:r w:rsidR="00203DE7">
        <w:t xml:space="preserve"> </w:t>
      </w:r>
      <w:r>
        <w:t>Alle weiteren Teillieferungen der Lomotex GmbH &amp; Co. KG enthielten FFP2- und FFP3- Masken.</w:t>
      </w:r>
      <w:r w:rsidR="00203DE7">
        <w:t xml:space="preserve"> </w:t>
      </w:r>
      <w:r>
        <w:t xml:space="preserve">Die FFP2-Masken wurden durch die Prüfstelle für Schutzgüter (BayPfS) des </w:t>
      </w:r>
      <w:r w:rsidR="003B6DDF">
        <w:t>Landesamt</w:t>
      </w:r>
      <w:r w:rsidR="00724046">
        <w:t>es</w:t>
      </w:r>
      <w:r w:rsidR="003B6DDF">
        <w:t xml:space="preserve"> für Gesundheit und Lebensmittelsicherheit (</w:t>
      </w:r>
      <w:r>
        <w:t>LGL</w:t>
      </w:r>
      <w:r w:rsidR="003B6DDF">
        <w:t>)</w:t>
      </w:r>
      <w:r>
        <w:t xml:space="preserve"> am</w:t>
      </w:r>
      <w:r w:rsidR="00203DE7">
        <w:t xml:space="preserve"> </w:t>
      </w:r>
      <w:r>
        <w:t>13.08.2020 geprüft und als ordnungsgemäß freigegeben. Die gelieferten FFP3-Masken wurden am</w:t>
      </w:r>
      <w:r w:rsidR="00203DE7">
        <w:t xml:space="preserve"> </w:t>
      </w:r>
      <w:r>
        <w:t>07.12.2020 überprüft und ebenfalls als ordnungsgemäß freigegeben.</w:t>
      </w:r>
    </w:p>
    <w:p w:rsidR="0034715F" w:rsidRDefault="0034715F" w:rsidP="0034715F">
      <w:pPr>
        <w:pStyle w:val="LTAntwortRessortText"/>
      </w:pPr>
      <w:r>
        <w:t>Folgende Landkreise im Regierungsbezirk Oberfranken haben Masken der Lomotex GmbH &amp; Co.</w:t>
      </w:r>
      <w:r w:rsidR="00203DE7">
        <w:t xml:space="preserve"> </w:t>
      </w:r>
      <w:r>
        <w:t>KG und der Emix Trading GmbH aus dem Pandemiezentrallager (PZB) erhalten:</w:t>
      </w:r>
    </w:p>
    <w:p w:rsidR="0034715F" w:rsidRDefault="0034715F" w:rsidP="0034715F">
      <w:pPr>
        <w:pStyle w:val="LTAntwortRessortText"/>
      </w:pPr>
    </w:p>
    <w:tbl>
      <w:tblPr>
        <w:tblStyle w:val="TableNormal"/>
        <w:tblW w:w="725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1134"/>
        <w:gridCol w:w="2126"/>
        <w:gridCol w:w="1417"/>
      </w:tblGrid>
      <w:tr w:rsidR="00FA5442" w:rsidRPr="00875195" w:rsidTr="00B55411">
        <w:trPr>
          <w:trHeight w:val="378"/>
        </w:trPr>
        <w:tc>
          <w:tcPr>
            <w:tcW w:w="2574" w:type="dxa"/>
            <w:vAlign w:val="center"/>
          </w:tcPr>
          <w:p w:rsidR="00FA5442" w:rsidRPr="00875195" w:rsidRDefault="00FA5442" w:rsidP="00875195">
            <w:pPr>
              <w:pStyle w:val="TableParagraph"/>
              <w:spacing w:line="248" w:lineRule="exact"/>
              <w:rPr>
                <w:rFonts w:ascii="Arial" w:hAnsi="Arial" w:cs="Arial"/>
                <w:b/>
                <w:sz w:val="18"/>
                <w:szCs w:val="18"/>
              </w:rPr>
            </w:pPr>
            <w:r w:rsidRPr="00875195">
              <w:rPr>
                <w:rFonts w:ascii="Arial" w:hAnsi="Arial" w:cs="Arial"/>
                <w:b/>
                <w:sz w:val="18"/>
                <w:szCs w:val="18"/>
              </w:rPr>
              <w:t>Landkreis/Stadt</w:t>
            </w:r>
          </w:p>
        </w:tc>
        <w:tc>
          <w:tcPr>
            <w:tcW w:w="1134" w:type="dxa"/>
            <w:vAlign w:val="center"/>
          </w:tcPr>
          <w:p w:rsidR="00FA5442" w:rsidRPr="00875195" w:rsidRDefault="00FA5442" w:rsidP="00875195">
            <w:pPr>
              <w:pStyle w:val="TableParagraph"/>
              <w:spacing w:line="248" w:lineRule="exact"/>
              <w:jc w:val="center"/>
              <w:rPr>
                <w:rFonts w:ascii="Arial" w:hAnsi="Arial" w:cs="Arial"/>
                <w:b/>
                <w:sz w:val="18"/>
                <w:szCs w:val="18"/>
              </w:rPr>
            </w:pPr>
            <w:r w:rsidRPr="00875195">
              <w:rPr>
                <w:rFonts w:ascii="Arial" w:hAnsi="Arial" w:cs="Arial"/>
                <w:b/>
                <w:sz w:val="18"/>
                <w:szCs w:val="18"/>
              </w:rPr>
              <w:t>Menge</w:t>
            </w:r>
          </w:p>
        </w:tc>
        <w:tc>
          <w:tcPr>
            <w:tcW w:w="2126" w:type="dxa"/>
            <w:vAlign w:val="center"/>
          </w:tcPr>
          <w:p w:rsidR="00FA5442" w:rsidRPr="00875195" w:rsidRDefault="00FA5442" w:rsidP="00875195">
            <w:pPr>
              <w:pStyle w:val="TableParagraph"/>
              <w:spacing w:line="248" w:lineRule="exact"/>
              <w:jc w:val="center"/>
              <w:rPr>
                <w:rFonts w:ascii="Arial" w:hAnsi="Arial" w:cs="Arial"/>
                <w:b/>
                <w:sz w:val="18"/>
                <w:szCs w:val="18"/>
              </w:rPr>
            </w:pPr>
            <w:r w:rsidRPr="00875195">
              <w:rPr>
                <w:rFonts w:ascii="Arial" w:hAnsi="Arial" w:cs="Arial"/>
                <w:b/>
                <w:sz w:val="18"/>
                <w:szCs w:val="18"/>
              </w:rPr>
              <w:t>Warenausgang</w:t>
            </w:r>
          </w:p>
        </w:tc>
        <w:tc>
          <w:tcPr>
            <w:tcW w:w="1417" w:type="dxa"/>
            <w:vAlign w:val="center"/>
          </w:tcPr>
          <w:p w:rsidR="00FA5442" w:rsidRPr="00875195" w:rsidRDefault="00FA5442" w:rsidP="00875195">
            <w:pPr>
              <w:pStyle w:val="TableParagraph"/>
              <w:spacing w:line="248" w:lineRule="exact"/>
              <w:jc w:val="center"/>
              <w:rPr>
                <w:rFonts w:ascii="Arial" w:hAnsi="Arial" w:cs="Arial"/>
                <w:b/>
                <w:sz w:val="18"/>
                <w:szCs w:val="18"/>
              </w:rPr>
            </w:pPr>
            <w:r w:rsidRPr="00875195">
              <w:rPr>
                <w:rFonts w:ascii="Arial" w:hAnsi="Arial" w:cs="Arial"/>
                <w:b/>
                <w:sz w:val="18"/>
                <w:szCs w:val="18"/>
              </w:rPr>
              <w:t>Unternehmen</w:t>
            </w:r>
          </w:p>
        </w:tc>
      </w:tr>
      <w:tr w:rsidR="00FA5442" w:rsidRPr="00875195" w:rsidTr="00B55411">
        <w:trPr>
          <w:trHeight w:val="381"/>
        </w:trPr>
        <w:tc>
          <w:tcPr>
            <w:tcW w:w="2574" w:type="dxa"/>
            <w:vAlign w:val="center"/>
          </w:tcPr>
          <w:p w:rsidR="00FA5442" w:rsidRPr="00875195" w:rsidRDefault="00FA5442" w:rsidP="00875195">
            <w:pPr>
              <w:pStyle w:val="TableParagraph"/>
              <w:spacing w:line="240" w:lineRule="auto"/>
              <w:rPr>
                <w:rFonts w:ascii="Arial" w:hAnsi="Arial" w:cs="Arial"/>
                <w:sz w:val="18"/>
                <w:szCs w:val="18"/>
              </w:rPr>
            </w:pPr>
            <w:r w:rsidRPr="00875195">
              <w:rPr>
                <w:rFonts w:ascii="Arial" w:hAnsi="Arial" w:cs="Arial"/>
                <w:sz w:val="18"/>
                <w:szCs w:val="18"/>
              </w:rPr>
              <w:t>Stadt und Landkreis Bamberg</w:t>
            </w:r>
          </w:p>
        </w:tc>
        <w:tc>
          <w:tcPr>
            <w:tcW w:w="1134"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5</w:t>
            </w:r>
            <w:r w:rsidR="00875195">
              <w:rPr>
                <w:rFonts w:ascii="Arial" w:hAnsi="Arial" w:cs="Arial"/>
                <w:sz w:val="18"/>
                <w:szCs w:val="18"/>
              </w:rPr>
              <w:t> </w:t>
            </w:r>
            <w:r w:rsidRPr="00875195">
              <w:rPr>
                <w:rFonts w:ascii="Arial" w:hAnsi="Arial" w:cs="Arial"/>
                <w:sz w:val="18"/>
                <w:szCs w:val="18"/>
              </w:rPr>
              <w:t>506</w:t>
            </w:r>
          </w:p>
        </w:tc>
        <w:tc>
          <w:tcPr>
            <w:tcW w:w="2126"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23.03.2020</w:t>
            </w:r>
          </w:p>
        </w:tc>
        <w:tc>
          <w:tcPr>
            <w:tcW w:w="1417"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Emix</w:t>
            </w:r>
          </w:p>
        </w:tc>
      </w:tr>
      <w:tr w:rsidR="00FA5442" w:rsidRPr="00875195" w:rsidTr="00B55411">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Stadt und Landkreis Coburg</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4</w:t>
            </w:r>
            <w:r w:rsidR="00875195">
              <w:rPr>
                <w:rFonts w:ascii="Arial" w:hAnsi="Arial" w:cs="Arial"/>
                <w:sz w:val="18"/>
                <w:szCs w:val="18"/>
              </w:rPr>
              <w:t> </w:t>
            </w:r>
            <w:r w:rsidRPr="00875195">
              <w:rPr>
                <w:rFonts w:ascii="Arial" w:hAnsi="Arial" w:cs="Arial"/>
                <w:sz w:val="18"/>
                <w:szCs w:val="18"/>
              </w:rPr>
              <w:t>518</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23.03.2020</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Emix</w:t>
            </w:r>
          </w:p>
        </w:tc>
      </w:tr>
      <w:tr w:rsidR="00FA5442" w:rsidRPr="00875195" w:rsidTr="00B55411">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Stadt und Landkreis Kronach</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w:t>
            </w:r>
            <w:r w:rsidR="00875195">
              <w:rPr>
                <w:rFonts w:ascii="Arial" w:hAnsi="Arial" w:cs="Arial"/>
                <w:sz w:val="18"/>
                <w:szCs w:val="18"/>
              </w:rPr>
              <w:t> </w:t>
            </w:r>
            <w:r w:rsidRPr="00875195">
              <w:rPr>
                <w:rFonts w:ascii="Arial" w:hAnsi="Arial" w:cs="Arial"/>
                <w:sz w:val="18"/>
                <w:szCs w:val="18"/>
              </w:rPr>
              <w:t>506</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23.03.2020</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Emix</w:t>
            </w:r>
          </w:p>
        </w:tc>
      </w:tr>
      <w:tr w:rsidR="00FA5442" w:rsidRPr="00875195" w:rsidTr="00B55411">
        <w:trPr>
          <w:trHeight w:val="381"/>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Stadt und Landkreis Kulmbach</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w:t>
            </w:r>
            <w:r w:rsidR="00875195">
              <w:rPr>
                <w:rFonts w:ascii="Arial" w:hAnsi="Arial" w:cs="Arial"/>
                <w:sz w:val="18"/>
                <w:szCs w:val="18"/>
              </w:rPr>
              <w:t> </w:t>
            </w:r>
            <w:r w:rsidRPr="00875195">
              <w:rPr>
                <w:rFonts w:ascii="Arial" w:hAnsi="Arial" w:cs="Arial"/>
                <w:sz w:val="18"/>
                <w:szCs w:val="18"/>
              </w:rPr>
              <w:t>506</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23.03.2020</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Emix</w:t>
            </w:r>
          </w:p>
        </w:tc>
      </w:tr>
      <w:tr w:rsidR="00FA5442" w:rsidRPr="00875195" w:rsidTr="00B55411">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LK Bamberg</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52</w:t>
            </w:r>
            <w:r w:rsidR="00875195">
              <w:rPr>
                <w:rFonts w:ascii="Arial" w:hAnsi="Arial" w:cs="Arial"/>
                <w:sz w:val="18"/>
                <w:szCs w:val="18"/>
              </w:rPr>
              <w:t> </w:t>
            </w:r>
            <w:r w:rsidRPr="00875195">
              <w:rPr>
                <w:rFonts w:ascii="Arial" w:hAnsi="Arial" w:cs="Arial"/>
                <w:sz w:val="18"/>
                <w:szCs w:val="18"/>
              </w:rPr>
              <w:t>575</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22.12.2020/19.01.2021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LK Bayreuth</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37</w:t>
            </w:r>
            <w:r w:rsidR="00875195">
              <w:rPr>
                <w:rFonts w:ascii="Arial" w:hAnsi="Arial" w:cs="Arial"/>
                <w:sz w:val="18"/>
                <w:szCs w:val="18"/>
              </w:rPr>
              <w:t> </w:t>
            </w:r>
            <w:r w:rsidRPr="00875195">
              <w:rPr>
                <w:rFonts w:ascii="Arial" w:hAnsi="Arial" w:cs="Arial"/>
                <w:sz w:val="18"/>
                <w:szCs w:val="18"/>
              </w:rPr>
              <w:t>725</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22.12.2020/19.01.2021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LK Coburg</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33</w:t>
            </w:r>
            <w:r w:rsidR="00875195">
              <w:rPr>
                <w:rFonts w:ascii="Arial" w:hAnsi="Arial" w:cs="Arial"/>
                <w:sz w:val="18"/>
                <w:szCs w:val="18"/>
              </w:rPr>
              <w:t> </w:t>
            </w:r>
            <w:r w:rsidRPr="00875195">
              <w:rPr>
                <w:rFonts w:ascii="Arial" w:hAnsi="Arial" w:cs="Arial"/>
                <w:sz w:val="18"/>
                <w:szCs w:val="18"/>
              </w:rPr>
              <w:t>475</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22.12.2020/19.01.2021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LK Forchheim</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33</w:t>
            </w:r>
            <w:r w:rsidR="00875195">
              <w:rPr>
                <w:rFonts w:ascii="Arial" w:hAnsi="Arial" w:cs="Arial"/>
                <w:sz w:val="18"/>
                <w:szCs w:val="18"/>
              </w:rPr>
              <w:t> </w:t>
            </w:r>
            <w:r w:rsidRPr="00875195">
              <w:rPr>
                <w:rFonts w:ascii="Arial" w:hAnsi="Arial" w:cs="Arial"/>
                <w:sz w:val="18"/>
                <w:szCs w:val="18"/>
              </w:rPr>
              <w:t>000</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17.05.2020</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Emix</w:t>
            </w:r>
          </w:p>
        </w:tc>
      </w:tr>
      <w:tr w:rsidR="00FA5442" w:rsidRPr="00875195" w:rsidTr="00B55411">
        <w:tblPrEx>
          <w:tblLook w:val="04A0" w:firstRow="1" w:lastRow="0" w:firstColumn="1" w:lastColumn="0" w:noHBand="0" w:noVBand="1"/>
        </w:tblPrEx>
        <w:trPr>
          <w:trHeight w:val="381"/>
        </w:trPr>
        <w:tc>
          <w:tcPr>
            <w:tcW w:w="2574" w:type="dxa"/>
            <w:vAlign w:val="center"/>
          </w:tcPr>
          <w:p w:rsidR="00FA5442" w:rsidRPr="00875195" w:rsidRDefault="00FA5442" w:rsidP="00875195">
            <w:pPr>
              <w:pStyle w:val="TableParagraph"/>
              <w:spacing w:line="240" w:lineRule="auto"/>
              <w:rPr>
                <w:rFonts w:ascii="Arial" w:hAnsi="Arial" w:cs="Arial"/>
                <w:sz w:val="18"/>
                <w:szCs w:val="18"/>
              </w:rPr>
            </w:pPr>
            <w:r w:rsidRPr="00875195">
              <w:rPr>
                <w:rFonts w:ascii="Arial" w:hAnsi="Arial" w:cs="Arial"/>
                <w:sz w:val="18"/>
                <w:szCs w:val="18"/>
              </w:rPr>
              <w:t>LK Forchheim</w:t>
            </w:r>
          </w:p>
        </w:tc>
        <w:tc>
          <w:tcPr>
            <w:tcW w:w="1134"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40</w:t>
            </w:r>
            <w:r w:rsidR="00875195">
              <w:rPr>
                <w:rFonts w:ascii="Arial" w:hAnsi="Arial" w:cs="Arial"/>
                <w:sz w:val="18"/>
                <w:szCs w:val="18"/>
              </w:rPr>
              <w:t> </w:t>
            </w:r>
            <w:r w:rsidRPr="00875195">
              <w:rPr>
                <w:rFonts w:ascii="Arial" w:hAnsi="Arial" w:cs="Arial"/>
                <w:sz w:val="18"/>
                <w:szCs w:val="18"/>
              </w:rPr>
              <w:t>200</w:t>
            </w:r>
          </w:p>
        </w:tc>
        <w:tc>
          <w:tcPr>
            <w:tcW w:w="2126"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22.12.2020/19.01.2021</w:t>
            </w:r>
          </w:p>
        </w:tc>
        <w:tc>
          <w:tcPr>
            <w:tcW w:w="1417"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lastRenderedPageBreak/>
              <w:t>LK Hof</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50</w:t>
            </w:r>
            <w:r w:rsidR="00875195">
              <w:rPr>
                <w:rFonts w:ascii="Arial" w:hAnsi="Arial" w:cs="Arial"/>
                <w:sz w:val="18"/>
                <w:szCs w:val="18"/>
              </w:rPr>
              <w:t> </w:t>
            </w:r>
            <w:r w:rsidRPr="00875195">
              <w:rPr>
                <w:rFonts w:ascii="Arial" w:hAnsi="Arial" w:cs="Arial"/>
                <w:sz w:val="18"/>
                <w:szCs w:val="18"/>
              </w:rPr>
              <w:t>025</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22.12.2020/19.01.2021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LK Kronach</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18</w:t>
            </w:r>
            <w:r w:rsidR="00875195">
              <w:rPr>
                <w:rFonts w:ascii="Arial" w:hAnsi="Arial" w:cs="Arial"/>
                <w:sz w:val="18"/>
                <w:szCs w:val="18"/>
              </w:rPr>
              <w:t> </w:t>
            </w:r>
            <w:r w:rsidRPr="00875195">
              <w:rPr>
                <w:rFonts w:ascii="Arial" w:hAnsi="Arial" w:cs="Arial"/>
                <w:sz w:val="18"/>
                <w:szCs w:val="18"/>
              </w:rPr>
              <w:t>600</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17.05.2020</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Emix</w:t>
            </w:r>
          </w:p>
        </w:tc>
      </w:tr>
      <w:tr w:rsidR="00FA5442" w:rsidRPr="00875195" w:rsidTr="00B55411">
        <w:tblPrEx>
          <w:tblLook w:val="04A0" w:firstRow="1" w:lastRow="0" w:firstColumn="1" w:lastColumn="0" w:noHBand="0" w:noVBand="1"/>
        </w:tblPrEx>
        <w:trPr>
          <w:trHeight w:val="381"/>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LK Kronach</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27</w:t>
            </w:r>
            <w:r w:rsidR="00875195">
              <w:rPr>
                <w:rFonts w:ascii="Arial" w:hAnsi="Arial" w:cs="Arial"/>
                <w:sz w:val="18"/>
                <w:szCs w:val="18"/>
              </w:rPr>
              <w:t> </w:t>
            </w:r>
            <w:r w:rsidRPr="00875195">
              <w:rPr>
                <w:rFonts w:ascii="Arial" w:hAnsi="Arial" w:cs="Arial"/>
                <w:sz w:val="18"/>
                <w:szCs w:val="18"/>
              </w:rPr>
              <w:t>650</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22.12.2020/19.01.2021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LK Kulmbach</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37</w:t>
            </w:r>
            <w:r w:rsidR="00875195">
              <w:rPr>
                <w:rFonts w:ascii="Arial" w:hAnsi="Arial" w:cs="Arial"/>
                <w:sz w:val="18"/>
                <w:szCs w:val="18"/>
              </w:rPr>
              <w:t> </w:t>
            </w:r>
            <w:r w:rsidRPr="00875195">
              <w:rPr>
                <w:rFonts w:ascii="Arial" w:hAnsi="Arial" w:cs="Arial"/>
                <w:sz w:val="18"/>
                <w:szCs w:val="18"/>
              </w:rPr>
              <w:t>625</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22.12.2020/19.01.2021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LK Lichtenfels</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36</w:t>
            </w:r>
            <w:r w:rsidR="00875195">
              <w:rPr>
                <w:rFonts w:ascii="Arial" w:hAnsi="Arial" w:cs="Arial"/>
                <w:sz w:val="18"/>
                <w:szCs w:val="18"/>
              </w:rPr>
              <w:t> </w:t>
            </w:r>
            <w:r w:rsidRPr="00875195">
              <w:rPr>
                <w:rFonts w:ascii="Arial" w:hAnsi="Arial" w:cs="Arial"/>
                <w:sz w:val="18"/>
                <w:szCs w:val="18"/>
              </w:rPr>
              <w:t>725</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22.12.2020/19.01.2021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LK Lichtenfels</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1</w:t>
            </w:r>
            <w:r w:rsidR="00875195">
              <w:rPr>
                <w:rFonts w:ascii="Arial" w:hAnsi="Arial" w:cs="Arial"/>
                <w:sz w:val="18"/>
                <w:szCs w:val="18"/>
              </w:rPr>
              <w:t> </w:t>
            </w:r>
            <w:r w:rsidRPr="00875195">
              <w:rPr>
                <w:rFonts w:ascii="Arial" w:hAnsi="Arial" w:cs="Arial"/>
                <w:sz w:val="18"/>
                <w:szCs w:val="18"/>
              </w:rPr>
              <w:t>300</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02.03.2021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81"/>
        </w:trPr>
        <w:tc>
          <w:tcPr>
            <w:tcW w:w="2574" w:type="dxa"/>
            <w:vAlign w:val="center"/>
          </w:tcPr>
          <w:p w:rsidR="00FA5442" w:rsidRPr="00875195" w:rsidRDefault="00FA5442" w:rsidP="00875195">
            <w:pPr>
              <w:pStyle w:val="TableParagraph"/>
              <w:spacing w:line="240" w:lineRule="auto"/>
              <w:rPr>
                <w:rFonts w:ascii="Arial" w:hAnsi="Arial" w:cs="Arial"/>
                <w:sz w:val="18"/>
                <w:szCs w:val="18"/>
              </w:rPr>
            </w:pPr>
            <w:r w:rsidRPr="00875195">
              <w:rPr>
                <w:rFonts w:ascii="Arial" w:hAnsi="Arial" w:cs="Arial"/>
                <w:sz w:val="18"/>
                <w:szCs w:val="18"/>
              </w:rPr>
              <w:t>LK Wunsiedel</w:t>
            </w:r>
          </w:p>
        </w:tc>
        <w:tc>
          <w:tcPr>
            <w:tcW w:w="1134"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31</w:t>
            </w:r>
            <w:r w:rsidR="00875195">
              <w:rPr>
                <w:rFonts w:ascii="Arial" w:hAnsi="Arial" w:cs="Arial"/>
                <w:sz w:val="18"/>
                <w:szCs w:val="18"/>
              </w:rPr>
              <w:t> </w:t>
            </w:r>
            <w:r w:rsidRPr="00875195">
              <w:rPr>
                <w:rFonts w:ascii="Arial" w:hAnsi="Arial" w:cs="Arial"/>
                <w:sz w:val="18"/>
                <w:szCs w:val="18"/>
              </w:rPr>
              <w:t>750</w:t>
            </w:r>
          </w:p>
        </w:tc>
        <w:tc>
          <w:tcPr>
            <w:tcW w:w="2126"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22.12.2020/19.01.2021</w:t>
            </w:r>
          </w:p>
        </w:tc>
        <w:tc>
          <w:tcPr>
            <w:tcW w:w="1417"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OLG Bamberg</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3</w:t>
            </w:r>
            <w:r w:rsidR="00875195">
              <w:rPr>
                <w:rFonts w:ascii="Arial" w:hAnsi="Arial" w:cs="Arial"/>
                <w:sz w:val="18"/>
                <w:szCs w:val="18"/>
              </w:rPr>
              <w:t> </w:t>
            </w:r>
            <w:r w:rsidRPr="00875195">
              <w:rPr>
                <w:rFonts w:ascii="Arial" w:hAnsi="Arial" w:cs="Arial"/>
                <w:sz w:val="18"/>
                <w:szCs w:val="18"/>
              </w:rPr>
              <w:t>500</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06.11.2020</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Stadt Bamberg</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32</w:t>
            </w:r>
            <w:r w:rsidR="00875195">
              <w:rPr>
                <w:rFonts w:ascii="Arial" w:hAnsi="Arial" w:cs="Arial"/>
                <w:sz w:val="18"/>
                <w:szCs w:val="18"/>
              </w:rPr>
              <w:t> </w:t>
            </w:r>
            <w:r w:rsidRPr="00875195">
              <w:rPr>
                <w:rFonts w:ascii="Arial" w:hAnsi="Arial" w:cs="Arial"/>
                <w:sz w:val="18"/>
                <w:szCs w:val="18"/>
              </w:rPr>
              <w:t>025</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22.12.2020/19.01.2021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Stadt Bayreuth</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14</w:t>
            </w:r>
            <w:r w:rsidR="00875195">
              <w:rPr>
                <w:rFonts w:ascii="Arial" w:hAnsi="Arial" w:cs="Arial"/>
                <w:sz w:val="18"/>
                <w:szCs w:val="18"/>
              </w:rPr>
              <w:t> </w:t>
            </w:r>
            <w:r w:rsidRPr="00875195">
              <w:rPr>
                <w:rFonts w:ascii="Arial" w:hAnsi="Arial" w:cs="Arial"/>
                <w:sz w:val="18"/>
                <w:szCs w:val="18"/>
              </w:rPr>
              <w:t>025</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19.01.2021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81"/>
        </w:trPr>
        <w:tc>
          <w:tcPr>
            <w:tcW w:w="2574" w:type="dxa"/>
            <w:vAlign w:val="center"/>
          </w:tcPr>
          <w:p w:rsidR="00FA5442" w:rsidRPr="00875195" w:rsidRDefault="00FA5442" w:rsidP="00875195">
            <w:pPr>
              <w:pStyle w:val="TableParagraph"/>
              <w:spacing w:line="240" w:lineRule="auto"/>
              <w:rPr>
                <w:rFonts w:ascii="Arial" w:hAnsi="Arial" w:cs="Arial"/>
                <w:sz w:val="18"/>
                <w:szCs w:val="18"/>
              </w:rPr>
            </w:pPr>
            <w:r w:rsidRPr="00875195">
              <w:rPr>
                <w:rFonts w:ascii="Arial" w:hAnsi="Arial" w:cs="Arial"/>
                <w:sz w:val="18"/>
                <w:szCs w:val="18"/>
              </w:rPr>
              <w:t>Stadt Coburg</w:t>
            </w:r>
          </w:p>
        </w:tc>
        <w:tc>
          <w:tcPr>
            <w:tcW w:w="1134"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7</w:t>
            </w:r>
            <w:r w:rsidR="00875195">
              <w:rPr>
                <w:rFonts w:ascii="Arial" w:hAnsi="Arial" w:cs="Arial"/>
                <w:sz w:val="18"/>
                <w:szCs w:val="18"/>
              </w:rPr>
              <w:t> </w:t>
            </w:r>
            <w:r w:rsidRPr="00875195">
              <w:rPr>
                <w:rFonts w:ascii="Arial" w:hAnsi="Arial" w:cs="Arial"/>
                <w:sz w:val="18"/>
                <w:szCs w:val="18"/>
              </w:rPr>
              <w:t>800</w:t>
            </w:r>
          </w:p>
        </w:tc>
        <w:tc>
          <w:tcPr>
            <w:tcW w:w="2126"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19.01.2021</w:t>
            </w:r>
          </w:p>
        </w:tc>
        <w:tc>
          <w:tcPr>
            <w:tcW w:w="1417" w:type="dxa"/>
            <w:vAlign w:val="center"/>
          </w:tcPr>
          <w:p w:rsidR="00FA5442" w:rsidRPr="00875195" w:rsidRDefault="00FA5442" w:rsidP="00875195">
            <w:pPr>
              <w:pStyle w:val="TableParagraph"/>
              <w:spacing w:line="240" w:lineRule="auto"/>
              <w:jc w:val="center"/>
              <w:rPr>
                <w:rFonts w:ascii="Arial" w:hAnsi="Arial" w:cs="Arial"/>
                <w:sz w:val="18"/>
                <w:szCs w:val="18"/>
              </w:rPr>
            </w:pPr>
            <w:r w:rsidRPr="00875195">
              <w:rPr>
                <w:rFonts w:ascii="Arial" w:hAnsi="Arial" w:cs="Arial"/>
                <w:sz w:val="18"/>
                <w:szCs w:val="18"/>
              </w:rPr>
              <w:t>Lomotex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Stadt Hof</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12</w:t>
            </w:r>
            <w:r w:rsidR="00875195">
              <w:rPr>
                <w:rFonts w:ascii="Arial" w:hAnsi="Arial" w:cs="Arial"/>
                <w:sz w:val="18"/>
                <w:szCs w:val="18"/>
              </w:rPr>
              <w:t> </w:t>
            </w:r>
            <w:r w:rsidRPr="00875195">
              <w:rPr>
                <w:rFonts w:ascii="Arial" w:hAnsi="Arial" w:cs="Arial"/>
                <w:sz w:val="18"/>
                <w:szCs w:val="18"/>
              </w:rPr>
              <w:t>600</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17.05.2020</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Emix</w:t>
            </w:r>
          </w:p>
        </w:tc>
      </w:tr>
      <w:tr w:rsidR="00FA5442" w:rsidRPr="00875195" w:rsidTr="00B55411">
        <w:tblPrEx>
          <w:tblLook w:val="04A0" w:firstRow="1" w:lastRow="0" w:firstColumn="1" w:lastColumn="0" w:noHBand="0" w:noVBand="1"/>
        </w:tblPrEx>
        <w:trPr>
          <w:trHeight w:val="378"/>
        </w:trPr>
        <w:tc>
          <w:tcPr>
            <w:tcW w:w="2574" w:type="dxa"/>
            <w:vAlign w:val="center"/>
          </w:tcPr>
          <w:p w:rsidR="00FA5442" w:rsidRPr="00875195" w:rsidRDefault="00FA5442" w:rsidP="00875195">
            <w:pPr>
              <w:pStyle w:val="TableParagraph"/>
              <w:rPr>
                <w:rFonts w:ascii="Arial" w:hAnsi="Arial" w:cs="Arial"/>
                <w:sz w:val="18"/>
                <w:szCs w:val="18"/>
              </w:rPr>
            </w:pPr>
            <w:r w:rsidRPr="00875195">
              <w:rPr>
                <w:rFonts w:ascii="Arial" w:hAnsi="Arial" w:cs="Arial"/>
                <w:sz w:val="18"/>
                <w:szCs w:val="18"/>
              </w:rPr>
              <w:t>Stadt Hof</w:t>
            </w:r>
          </w:p>
        </w:tc>
        <w:tc>
          <w:tcPr>
            <w:tcW w:w="1134"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8</w:t>
            </w:r>
            <w:r w:rsidR="00875195">
              <w:rPr>
                <w:rFonts w:ascii="Arial" w:hAnsi="Arial" w:cs="Arial"/>
                <w:sz w:val="18"/>
                <w:szCs w:val="18"/>
              </w:rPr>
              <w:t> </w:t>
            </w:r>
            <w:r w:rsidRPr="00875195">
              <w:rPr>
                <w:rFonts w:ascii="Arial" w:hAnsi="Arial" w:cs="Arial"/>
                <w:sz w:val="18"/>
                <w:szCs w:val="18"/>
              </w:rPr>
              <w:t>625</w:t>
            </w:r>
          </w:p>
        </w:tc>
        <w:tc>
          <w:tcPr>
            <w:tcW w:w="2126"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19.01.2021</w:t>
            </w:r>
          </w:p>
        </w:tc>
        <w:tc>
          <w:tcPr>
            <w:tcW w:w="1417" w:type="dxa"/>
            <w:vAlign w:val="center"/>
          </w:tcPr>
          <w:p w:rsidR="00FA5442" w:rsidRPr="00875195" w:rsidRDefault="00FA5442" w:rsidP="00875195">
            <w:pPr>
              <w:pStyle w:val="TableParagraph"/>
              <w:jc w:val="center"/>
              <w:rPr>
                <w:rFonts w:ascii="Arial" w:hAnsi="Arial" w:cs="Arial"/>
                <w:sz w:val="18"/>
                <w:szCs w:val="18"/>
              </w:rPr>
            </w:pPr>
            <w:r w:rsidRPr="00875195">
              <w:rPr>
                <w:rFonts w:ascii="Arial" w:hAnsi="Arial" w:cs="Arial"/>
                <w:sz w:val="18"/>
                <w:szCs w:val="18"/>
              </w:rPr>
              <w:t>Lomotex</w:t>
            </w:r>
          </w:p>
        </w:tc>
      </w:tr>
    </w:tbl>
    <w:p w:rsidR="0034715F" w:rsidRDefault="0034715F" w:rsidP="00FA5442">
      <w:pPr>
        <w:pStyle w:val="LTAntwortRessortText"/>
        <w:ind w:left="0"/>
      </w:pPr>
    </w:p>
    <w:p w:rsidR="0034715F" w:rsidRDefault="0034715F" w:rsidP="0034715F">
      <w:pPr>
        <w:pStyle w:val="LTAntwortRessortText"/>
      </w:pPr>
      <w:r>
        <w:t>Das Staatsministerium für Unterricht und Kultus und bayerische Schulen wurden nicht aus dem</w:t>
      </w:r>
      <w:r w:rsidR="00FA5442">
        <w:t xml:space="preserve"> </w:t>
      </w:r>
      <w:r>
        <w:t>PZB mit diesen Masken beliefert.</w:t>
      </w:r>
    </w:p>
    <w:p w:rsidR="0034715F" w:rsidRDefault="0034715F">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5746"/>
      </w:tblGrid>
      <w:tr w:rsidR="0034715F" w:rsidTr="007B0B33">
        <w:tc>
          <w:tcPr>
            <w:tcW w:w="2050" w:type="dxa"/>
          </w:tcPr>
          <w:p w:rsidR="0034715F" w:rsidRDefault="0034715F" w:rsidP="0034715F">
            <w:pPr>
              <w:pStyle w:val="LTAnfrageInitiator"/>
            </w:pPr>
            <w:r>
              <w:lastRenderedPageBreak/>
              <w:t>Abgeordnete</w:t>
            </w:r>
            <w:r>
              <w:rPr>
                <w:b/>
              </w:rPr>
              <w:br/>
              <w:t>Diana</w:t>
            </w:r>
            <w:r>
              <w:rPr>
                <w:b/>
              </w:rPr>
              <w:br/>
              <w:t>Stachowitz</w:t>
            </w:r>
            <w:r>
              <w:rPr>
                <w:b/>
              </w:rPr>
              <w:br/>
            </w:r>
            <w:r>
              <w:t>(SPD)</w:t>
            </w:r>
            <w:bookmarkStart w:id="123" w:name="Frage_Nr_61"/>
            <w:bookmarkEnd w:id="123"/>
          </w:p>
        </w:tc>
        <w:tc>
          <w:tcPr>
            <w:tcW w:w="7200" w:type="dxa"/>
          </w:tcPr>
          <w:p w:rsidR="0034715F" w:rsidRPr="0047523B" w:rsidRDefault="0047523B" w:rsidP="0034715F">
            <w:pPr>
              <w:pStyle w:val="LTAnfrageText"/>
            </w:pPr>
            <w:r w:rsidRPr="0047523B">
              <w:rPr>
                <w:szCs w:val="24"/>
              </w:rPr>
              <w:t>Ich frage die Staatsregierung, wie viele Anträge von ukrainischen Pflegefachkräften zur Anerkennung ihrer beruflichen Qualifikation liegen derzeit bei der zuständigen Regierung von Oberbayern, wie lange wird die Bearbeitung der Anträge dauern und welche Maßnahmen wird sie zur Beschleunigung der Genehmigungsverfahren ergreifen?</w:t>
            </w:r>
          </w:p>
        </w:tc>
      </w:tr>
    </w:tbl>
    <w:p w:rsidR="0034715F" w:rsidRDefault="0034715F" w:rsidP="0034715F">
      <w:pPr>
        <w:pStyle w:val="LTUeberschrAntwortRessort"/>
      </w:pPr>
      <w:r>
        <w:t>Antwort des Staatsministeriums für Gesundheit und Pflege</w:t>
      </w:r>
    </w:p>
    <w:p w:rsidR="0034715F" w:rsidRDefault="0034715F" w:rsidP="0034715F">
      <w:pPr>
        <w:pStyle w:val="LTAntwortRessortText"/>
      </w:pPr>
      <w:r>
        <w:t>Bei der Regierung von Oberbayern wurden im Jahr 2022 insgesamt neun Anträge auf</w:t>
      </w:r>
      <w:r w:rsidR="009344AC">
        <w:t xml:space="preserve"> </w:t>
      </w:r>
      <w:r>
        <w:t>Anerkennung einer in der Ukraine erworbenen Berufsqualifikation in der Pflege gestellt.</w:t>
      </w:r>
      <w:r w:rsidR="009344AC">
        <w:t xml:space="preserve"> </w:t>
      </w:r>
      <w:r>
        <w:t>Wie lange die Bearbeitung im Einzelnen dauern wird, kann nicht vorhergesagt werden. Allerdings</w:t>
      </w:r>
      <w:r w:rsidR="009344AC">
        <w:t xml:space="preserve"> </w:t>
      </w:r>
      <w:r>
        <w:t>hat die Staatsregierung in Absprache mit den Anerkennungsbehörden für Ukraine-Flüchtlinge</w:t>
      </w:r>
      <w:r w:rsidR="009344AC">
        <w:t xml:space="preserve"> </w:t>
      </w:r>
      <w:r>
        <w:t>folgende Maßnahmen zur Erleichterung bereits verbindlich abgestimmt:</w:t>
      </w:r>
    </w:p>
    <w:p w:rsidR="0034715F" w:rsidRDefault="0034715F" w:rsidP="001402AE">
      <w:pPr>
        <w:pStyle w:val="LTAntwortRessortText"/>
        <w:numPr>
          <w:ilvl w:val="0"/>
          <w:numId w:val="29"/>
        </w:numPr>
        <w:spacing w:before="120"/>
        <w:ind w:left="680" w:hanging="340"/>
      </w:pPr>
      <w:r>
        <w:t>Entfallen der Vorlage der Antragsunterlagen / Gleichwertigkeitsprüfung. Die ukrainischen</w:t>
      </w:r>
      <w:r w:rsidR="00287D8E">
        <w:t xml:space="preserve"> </w:t>
      </w:r>
      <w:r w:rsidR="007B1547">
        <w:t>Flüchtlinge könnten gem. § </w:t>
      </w:r>
      <w:r>
        <w:t>40 Abs. 3 Pflegeberufegesetz sofort in eine Kenntnisprüfung gehen</w:t>
      </w:r>
      <w:r w:rsidR="00287D8E">
        <w:t xml:space="preserve"> </w:t>
      </w:r>
      <w:r>
        <w:t>(und nur sofern möglich, soll Nachweis des Referenzberufes vorgelegt werden, bspw.</w:t>
      </w:r>
      <w:r w:rsidR="00287D8E">
        <w:t xml:space="preserve"> </w:t>
      </w:r>
      <w:r>
        <w:t>Abschlusszeugnis, Berufsurkunde etc.).</w:t>
      </w:r>
    </w:p>
    <w:p w:rsidR="0034715F" w:rsidRDefault="0034715F" w:rsidP="001402AE">
      <w:pPr>
        <w:pStyle w:val="LTAntwortRessortText"/>
        <w:numPr>
          <w:ilvl w:val="0"/>
          <w:numId w:val="29"/>
        </w:numPr>
        <w:spacing w:before="120"/>
        <w:ind w:left="680" w:hanging="340"/>
      </w:pPr>
      <w:r>
        <w:t>Entfallen der Visa Erteilung / Einreise- und Arbeitserlaubnis. Die ukrainischen Flüchtlinge</w:t>
      </w:r>
      <w:r w:rsidR="00287D8E">
        <w:t xml:space="preserve"> </w:t>
      </w:r>
      <w:r>
        <w:t>bekommen unter Anwendung der</w:t>
      </w:r>
      <w:r w:rsidR="007B1547">
        <w:t xml:space="preserve"> Massenzustromrichtlinie gem. § </w:t>
      </w:r>
      <w:r>
        <w:t>24 Aufenthaltsgesetz einen</w:t>
      </w:r>
      <w:r w:rsidR="00287D8E">
        <w:t xml:space="preserve"> </w:t>
      </w:r>
      <w:r>
        <w:t xml:space="preserve">Aufenthaltstitel, der bereits die Nebenbestimmung </w:t>
      </w:r>
      <w:r w:rsidR="00190CE9">
        <w:t>„</w:t>
      </w:r>
      <w:r>
        <w:t>Erwerbstätigkeit erlaubt</w:t>
      </w:r>
      <w:r w:rsidR="00190CE9">
        <w:t>“</w:t>
      </w:r>
      <w:r>
        <w:t xml:space="preserve"> enthält. Eine</w:t>
      </w:r>
      <w:r w:rsidR="00287D8E">
        <w:t xml:space="preserve"> </w:t>
      </w:r>
      <w:r>
        <w:t>Vorrangprüfung oder Zustimmung der Bundesagentur für Arbeit sind somit nicht erforderlich.</w:t>
      </w:r>
    </w:p>
    <w:p w:rsidR="001402AE" w:rsidRDefault="0034715F" w:rsidP="001402AE">
      <w:pPr>
        <w:pStyle w:val="LTAntwortRessortText"/>
        <w:numPr>
          <w:ilvl w:val="0"/>
          <w:numId w:val="29"/>
        </w:numPr>
        <w:spacing w:before="120"/>
        <w:ind w:left="680" w:hanging="340"/>
      </w:pPr>
      <w:r>
        <w:t>Nachweis der persönlichen Eignung: Statt der Vorlage eines Führungszeugnisses aus dem</w:t>
      </w:r>
      <w:r w:rsidR="001402AE">
        <w:t xml:space="preserve"> </w:t>
      </w:r>
      <w:r>
        <w:t>Herkunftsland wird eine Eidesstattliche Versicherung des Anerkennungssuchenden akzeptiert,</w:t>
      </w:r>
      <w:r w:rsidR="001402AE">
        <w:t xml:space="preserve"> </w:t>
      </w:r>
      <w:r>
        <w:t>sofern sich die antragstellende Person nicht bereits seit einem Jahr in Deutschland befindet</w:t>
      </w:r>
      <w:r w:rsidR="001402AE">
        <w:t xml:space="preserve"> </w:t>
      </w:r>
      <w:r>
        <w:t>und ein deutsches Führungszeugnis vorlegbar wäre. Die Vorlage eines</w:t>
      </w:r>
      <w:r w:rsidR="001402AE">
        <w:t xml:space="preserve"> </w:t>
      </w:r>
      <w:r>
        <w:t>Gesundheitszeugnisses durch einen deutschen Arzt ist unproblematisch.</w:t>
      </w:r>
    </w:p>
    <w:p w:rsidR="0034715F" w:rsidRDefault="0034715F" w:rsidP="0034715F">
      <w:pPr>
        <w:pStyle w:val="LTAntwortRessortText"/>
      </w:pPr>
      <w:r>
        <w:t xml:space="preserve">Darüber hinaus erarbeitet das </w:t>
      </w:r>
      <w:r w:rsidR="007B1547">
        <w:t>Staatsministerium für Gesundheit und Pflege (</w:t>
      </w:r>
      <w:r>
        <w:t>StMGP</w:t>
      </w:r>
      <w:r w:rsidR="007B1547">
        <w:t>)</w:t>
      </w:r>
      <w:r>
        <w:t xml:space="preserve"> derzeit mit dem Landesamt für Pflege (LfP) und einigen</w:t>
      </w:r>
      <w:r w:rsidR="001402AE">
        <w:t xml:space="preserve"> </w:t>
      </w:r>
      <w:r>
        <w:t>Anbietern von Vorbereitungskursen zur Beschleunigung von</w:t>
      </w:r>
      <w:r w:rsidR="001402AE">
        <w:t xml:space="preserve"> </w:t>
      </w:r>
      <w:r>
        <w:t xml:space="preserve">Nachqualifizierungsmaßnahmen / Sprachnachweis ein Pilotprojekt </w:t>
      </w:r>
      <w:r w:rsidR="00190CE9">
        <w:t>„</w:t>
      </w:r>
      <w:r>
        <w:t>Kenntnisprüfung mit</w:t>
      </w:r>
      <w:r w:rsidR="001402AE">
        <w:t xml:space="preserve"> </w:t>
      </w:r>
      <w:r>
        <w:t>integrierter Fachsprachprüfung</w:t>
      </w:r>
      <w:r w:rsidR="00190CE9">
        <w:t>“</w:t>
      </w:r>
      <w:r>
        <w:t xml:space="preserve"> für die Zielgruppe der ukrainischen Flüchtlinge. Es ist geplant:</w:t>
      </w:r>
    </w:p>
    <w:p w:rsidR="0034715F" w:rsidRDefault="0034715F" w:rsidP="007A61DF">
      <w:pPr>
        <w:pStyle w:val="LTAntwortRessortText"/>
        <w:numPr>
          <w:ilvl w:val="0"/>
          <w:numId w:val="30"/>
        </w:numPr>
        <w:spacing w:before="120"/>
        <w:ind w:left="680" w:hanging="340"/>
      </w:pPr>
      <w:r>
        <w:t>Koppelung des Vorbereitungskurses auf die Kenntnisprüfung mit der Vorbereitung auf die</w:t>
      </w:r>
      <w:r w:rsidR="007A61DF">
        <w:t xml:space="preserve"> </w:t>
      </w:r>
      <w:r>
        <w:t>Fachsprachprüfung im Online Format.</w:t>
      </w:r>
    </w:p>
    <w:p w:rsidR="0034715F" w:rsidRDefault="0034715F" w:rsidP="007A61DF">
      <w:pPr>
        <w:pStyle w:val="LTAntwortRessortText"/>
        <w:numPr>
          <w:ilvl w:val="0"/>
          <w:numId w:val="30"/>
        </w:numPr>
        <w:spacing w:before="120"/>
        <w:ind w:left="680" w:hanging="340"/>
      </w:pPr>
      <w:r>
        <w:t>Zentrale Kenntnisprüfung an max. zwei Standorten mit integrierter</w:t>
      </w:r>
      <w:r w:rsidR="007A61DF">
        <w:t xml:space="preserve"> </w:t>
      </w:r>
      <w:r>
        <w:t>Fachsprachprüfung durch das LfP statt B2 Erfordernis.</w:t>
      </w:r>
    </w:p>
    <w:p w:rsidR="0034715F" w:rsidRDefault="0034715F">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34715F" w:rsidTr="007B0B33">
        <w:tc>
          <w:tcPr>
            <w:tcW w:w="2050" w:type="dxa"/>
          </w:tcPr>
          <w:p w:rsidR="0034715F" w:rsidRDefault="0034715F" w:rsidP="0034715F">
            <w:pPr>
              <w:pStyle w:val="LTAnfrageInitiator"/>
            </w:pPr>
            <w:r>
              <w:lastRenderedPageBreak/>
              <w:t>Abgeordnete</w:t>
            </w:r>
            <w:r>
              <w:rPr>
                <w:b/>
              </w:rPr>
              <w:br/>
              <w:t>Margit</w:t>
            </w:r>
            <w:r>
              <w:rPr>
                <w:b/>
              </w:rPr>
              <w:br/>
              <w:t>Wild</w:t>
            </w:r>
            <w:r>
              <w:rPr>
                <w:b/>
              </w:rPr>
              <w:br/>
            </w:r>
            <w:r>
              <w:t>(SPD)</w:t>
            </w:r>
            <w:bookmarkStart w:id="125" w:name="Frage_Nr_62"/>
            <w:bookmarkEnd w:id="125"/>
          </w:p>
        </w:tc>
        <w:tc>
          <w:tcPr>
            <w:tcW w:w="7200" w:type="dxa"/>
          </w:tcPr>
          <w:p w:rsidR="0034715F" w:rsidRPr="0047523B" w:rsidRDefault="0047523B" w:rsidP="0034715F">
            <w:pPr>
              <w:pStyle w:val="LTAnfrageText"/>
            </w:pPr>
            <w:r w:rsidRPr="0047523B">
              <w:rPr>
                <w:szCs w:val="24"/>
              </w:rPr>
              <w:t>Ich frage die Staatsregierung, wie viele Kinder haben im laufenden Jahr (2022) eine Schuleingangsuntersuchung für das nächste Schuljahr durchlaufen, welche Defizite wurden ggf. festgestellt und wie sahen die Zahlen für das Jahr 2019 aus (bitte gegliedert nach Regierungsbezirken angeben)?</w:t>
            </w:r>
          </w:p>
        </w:tc>
      </w:tr>
    </w:tbl>
    <w:p w:rsidR="0034715F" w:rsidRDefault="0034715F" w:rsidP="0034715F">
      <w:pPr>
        <w:pStyle w:val="LTUeberschrAntwortRessort"/>
      </w:pPr>
      <w:r>
        <w:t>Antwort des Staatsministeriums für Gesundheit und Pflege</w:t>
      </w:r>
    </w:p>
    <w:p w:rsidR="0034715F" w:rsidRDefault="0034715F" w:rsidP="0034715F">
      <w:pPr>
        <w:pStyle w:val="LTAntwortRessortText"/>
      </w:pPr>
      <w:r>
        <w:t>Die aktuellen Schuleingangsuntersuchungen für das laufende Untersuchungsjahr 2021/2022 sind</w:t>
      </w:r>
      <w:r w:rsidR="00DA74DF">
        <w:t xml:space="preserve"> </w:t>
      </w:r>
      <w:r>
        <w:t>noch nicht beendet. Da die Daten erst nach Abschluss aller Schuleingangsuntersuchungen des</w:t>
      </w:r>
      <w:r w:rsidR="00DA74DF">
        <w:t xml:space="preserve"> </w:t>
      </w:r>
      <w:r>
        <w:t>jeweiligen Gesundheitsamtes gesammelt an das Bayerische Landesamt für Gesundheit und</w:t>
      </w:r>
      <w:r w:rsidR="00DA74DF">
        <w:t xml:space="preserve"> </w:t>
      </w:r>
      <w:r>
        <w:t>Lebensmittelsicherheit (LGL) übermittelt werden, sind aktuell auch noch keine dahingehenden</w:t>
      </w:r>
      <w:r w:rsidR="00DA74DF">
        <w:t xml:space="preserve"> </w:t>
      </w:r>
      <w:r>
        <w:t>Analysen vorhanden.</w:t>
      </w:r>
    </w:p>
    <w:p w:rsidR="0034715F" w:rsidRDefault="0034715F" w:rsidP="0034715F">
      <w:pPr>
        <w:pStyle w:val="LTAntwortRessortText"/>
      </w:pPr>
      <w:r>
        <w:t>Bei der Aufbereitung der Daten aus dem angefragten Untersuchungsjahr 2019/2020 kam es</w:t>
      </w:r>
      <w:r w:rsidR="00DA74DF">
        <w:t xml:space="preserve"> </w:t>
      </w:r>
      <w:r>
        <w:t>aufgrund der enormen pandemiebedingten Zusatzbelastungen im Öffentlichen Gesundheitsdienst</w:t>
      </w:r>
      <w:r w:rsidR="00DA74DF">
        <w:t xml:space="preserve"> </w:t>
      </w:r>
      <w:r>
        <w:t>und beim LGL zu Verzögerungen. Die Auswertungen laufen zurzeit, sind aber noch nicht</w:t>
      </w:r>
      <w:r w:rsidR="00DA74DF">
        <w:t xml:space="preserve"> </w:t>
      </w:r>
      <w:r>
        <w:t>abgeschlossen.</w:t>
      </w:r>
    </w:p>
    <w:p w:rsidR="0034715F" w:rsidRDefault="0034715F">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34715F" w:rsidTr="007B0B33">
        <w:tc>
          <w:tcPr>
            <w:tcW w:w="2050" w:type="dxa"/>
          </w:tcPr>
          <w:p w:rsidR="0034715F" w:rsidRDefault="0034715F" w:rsidP="0034715F">
            <w:pPr>
              <w:pStyle w:val="LTAnfrageInitiator"/>
            </w:pPr>
            <w:r>
              <w:lastRenderedPageBreak/>
              <w:t>Abgeordneter</w:t>
            </w:r>
            <w:r>
              <w:rPr>
                <w:b/>
              </w:rPr>
              <w:br/>
              <w:t>Andreas</w:t>
            </w:r>
            <w:r>
              <w:rPr>
                <w:b/>
              </w:rPr>
              <w:br/>
              <w:t>Winhart</w:t>
            </w:r>
            <w:r>
              <w:rPr>
                <w:b/>
              </w:rPr>
              <w:br/>
            </w:r>
            <w:r>
              <w:t>(AfD)</w:t>
            </w:r>
            <w:bookmarkStart w:id="127" w:name="Frage_Nr_63"/>
            <w:bookmarkEnd w:id="127"/>
          </w:p>
        </w:tc>
        <w:tc>
          <w:tcPr>
            <w:tcW w:w="7200" w:type="dxa"/>
          </w:tcPr>
          <w:p w:rsidR="0034715F" w:rsidRPr="0047523B" w:rsidRDefault="0047523B" w:rsidP="0034715F">
            <w:pPr>
              <w:pStyle w:val="LTAnfrageText"/>
            </w:pPr>
            <w:r w:rsidRPr="0047523B">
              <w:rPr>
                <w:szCs w:val="24"/>
              </w:rPr>
              <w:t>Ich frage die Staatsregierung, wie viele Masken von der Staatsregierung insgesamt seit Februar 2020 bis zum Zeitpunkt der Beantwortung der Anfrage gekauft wurden (bitte tabellarisch auflisten: Summe in Euro, welcher Typ,  zu welchem Preis pro Maske) und an welche Empfänger die Masken ausgeliefert wurden (bitte tabellarisch auflisten)?</w:t>
            </w:r>
          </w:p>
        </w:tc>
      </w:tr>
    </w:tbl>
    <w:p w:rsidR="0034715F" w:rsidRDefault="0034715F" w:rsidP="0034715F">
      <w:pPr>
        <w:pStyle w:val="LTUeberschrAntwortRessort"/>
      </w:pPr>
      <w:r>
        <w:t>Antwort des Staatsministeriums für Gesundheit und Pflege</w:t>
      </w:r>
    </w:p>
    <w:p w:rsidR="0034715F" w:rsidRDefault="0034715F" w:rsidP="0034715F">
      <w:pPr>
        <w:pStyle w:val="LTAntwortRessortText"/>
      </w:pPr>
      <w:r>
        <w:t xml:space="preserve">Das </w:t>
      </w:r>
      <w:r w:rsidR="007B1547">
        <w:t>Staatsministerium für Gesundheit und Pflege</w:t>
      </w:r>
      <w:r>
        <w:t xml:space="preserve"> hat dem Landtag bereits mehrfach umfassend über die Beschaffung von</w:t>
      </w:r>
      <w:r w:rsidR="00E95A45">
        <w:t xml:space="preserve"> </w:t>
      </w:r>
      <w:r>
        <w:t xml:space="preserve">Schutzausrüstung berichtet, </w:t>
      </w:r>
      <w:r w:rsidR="00190CE9">
        <w:t>u. a.</w:t>
      </w:r>
      <w:r>
        <w:t xml:space="preserve"> durch Herrn Staatsminister Holetschek am 4. Mai 2021 im</w:t>
      </w:r>
      <w:r w:rsidR="00E95A45">
        <w:t xml:space="preserve"> </w:t>
      </w:r>
      <w:r>
        <w:t>Ausschuss für Gesundheit und Pflege inklusive Verteilung entsprechender schriftlicher Unterlagen.</w:t>
      </w:r>
      <w:r w:rsidR="00E95A45">
        <w:t xml:space="preserve"> </w:t>
      </w:r>
      <w:r>
        <w:t xml:space="preserve">Es wird ferner auf die Antworten zu den Schriftlichen Anfragen der Abgeordneten Sowa </w:t>
      </w:r>
      <w:r w:rsidR="00190CE9">
        <w:t>u. a.</w:t>
      </w:r>
      <w:r>
        <w:t xml:space="preserve"> vom</w:t>
      </w:r>
      <w:r w:rsidR="00E95A45">
        <w:t xml:space="preserve"> </w:t>
      </w:r>
      <w:r>
        <w:t>03.02.2021 (</w:t>
      </w:r>
      <w:r w:rsidR="007B1547">
        <w:t>Drs. </w:t>
      </w:r>
      <w:r>
        <w:t>18/16661), Haubrich vom 03.03.2021 (</w:t>
      </w:r>
      <w:r w:rsidR="007B1547">
        <w:t>Drs. 18/17545), Hartmann </w:t>
      </w:r>
      <w:r w:rsidR="00190CE9">
        <w:t>u. a.</w:t>
      </w:r>
      <w:r>
        <w:t xml:space="preserve"> vom</w:t>
      </w:r>
      <w:r w:rsidR="00E95A45">
        <w:t xml:space="preserve"> </w:t>
      </w:r>
      <w:r>
        <w:t xml:space="preserve">09.03.2021 (Drs. 18/17550), Klingen </w:t>
      </w:r>
      <w:r w:rsidR="00190CE9">
        <w:t>u. a.</w:t>
      </w:r>
      <w:r>
        <w:t xml:space="preserve"> vom 11.03.2021 (Drs. 18/17548), Arnold vom</w:t>
      </w:r>
      <w:r w:rsidR="00E95A45">
        <w:t xml:space="preserve"> </w:t>
      </w:r>
      <w:r>
        <w:t>12.03.2021 (Drs. 18/17549), Siekmann vom 24.03.2021 (Drs. 18/16889) sowie von Brunn</w:t>
      </w:r>
      <w:r w:rsidR="00E95A45">
        <w:t xml:space="preserve"> </w:t>
      </w:r>
      <w:r w:rsidR="00190CE9">
        <w:t>u. a.</w:t>
      </w:r>
      <w:r>
        <w:t xml:space="preserve"> vom 03.05.2021 (Drs. 18/17552) verwiesen. Die Frage, an welche Empfänger die Masken</w:t>
      </w:r>
      <w:r w:rsidR="00E95A45">
        <w:t xml:space="preserve"> </w:t>
      </w:r>
      <w:r>
        <w:t>ausgeliefert wurden, wurde beantwortet im Rahmen der Schriftlichen Anfragen des Abgeordneten</w:t>
      </w:r>
      <w:r w:rsidR="00E95A45">
        <w:t xml:space="preserve"> </w:t>
      </w:r>
      <w:r>
        <w:t>von Brunn vom 05.06.2021 (Drs. 18/17640) sowie vom 29.07.2021 (Drs. 18/19244).</w:t>
      </w:r>
    </w:p>
    <w:p w:rsidR="0034715F" w:rsidRDefault="0034715F" w:rsidP="0034715F">
      <w:pPr>
        <w:pStyle w:val="LTAntwortRessortText"/>
      </w:pPr>
      <w:bookmarkStart w:id="128" w:name="Frage_Nr_63_Ende"/>
      <w:bookmarkEnd w:id="128"/>
    </w:p>
    <w:sectPr w:rsidR="0034715F" w:rsidSect="00F00864">
      <w:headerReference w:type="even" r:id="rId20"/>
      <w:headerReference w:type="default" r:id="rId21"/>
      <w:footerReference w:type="default" r:id="rId22"/>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B4" w:rsidRDefault="004324B4">
      <w:r>
        <w:separator/>
      </w:r>
    </w:p>
  </w:endnote>
  <w:endnote w:type="continuationSeparator" w:id="0">
    <w:p w:rsidR="004324B4" w:rsidRDefault="0043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B4" w:rsidRDefault="004324B4"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B4" w:rsidRPr="009C32BE" w:rsidRDefault="004324B4"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B4" w:rsidRPr="00311533" w:rsidRDefault="004324B4"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B4" w:rsidRDefault="004324B4">
      <w:r>
        <w:separator/>
      </w:r>
    </w:p>
  </w:footnote>
  <w:footnote w:type="continuationSeparator" w:id="0">
    <w:p w:rsidR="004324B4" w:rsidRDefault="004324B4">
      <w:r>
        <w:continuationSeparator/>
      </w:r>
    </w:p>
  </w:footnote>
  <w:footnote w:id="1">
    <w:p w:rsidR="004324B4" w:rsidRDefault="004324B4" w:rsidP="00D12EF4">
      <w:pPr>
        <w:pStyle w:val="Funotentext"/>
        <w:ind w:left="340" w:hanging="340"/>
      </w:pPr>
      <w:r>
        <w:rPr>
          <w:rStyle w:val="Funotenzeichen"/>
        </w:rPr>
        <w:footnoteRef/>
      </w:r>
      <w:r>
        <w:tab/>
      </w:r>
      <w:hyperlink r:id="rId1" w:history="1">
        <w:r w:rsidRPr="007A595F">
          <w:rPr>
            <w:rStyle w:val="Hyperlink"/>
            <w:rFonts w:cs="Arial"/>
            <w:sz w:val="16"/>
            <w:szCs w:val="24"/>
          </w:rPr>
          <w:t>https://dserver.bundestag.de/btd/20/011/2001164.pdf</w:t>
        </w:r>
      </w:hyperlink>
    </w:p>
  </w:footnote>
  <w:footnote w:id="2">
    <w:p w:rsidR="004324B4" w:rsidRDefault="004324B4" w:rsidP="00EF254A">
      <w:pPr>
        <w:pStyle w:val="Funotentext"/>
        <w:ind w:left="340" w:hanging="340"/>
      </w:pPr>
      <w:r>
        <w:rPr>
          <w:rStyle w:val="Funotenzeichen"/>
        </w:rPr>
        <w:footnoteRef/>
      </w:r>
      <w:r>
        <w:tab/>
      </w:r>
      <w:hyperlink r:id="rId2" w:history="1">
        <w:r w:rsidRPr="00232ABF">
          <w:rPr>
            <w:rStyle w:val="Hyperlink"/>
            <w:rFonts w:cs="Arial"/>
            <w:sz w:val="16"/>
            <w:szCs w:val="24"/>
          </w:rPr>
          <w:t>https://www.stmb.bayern.de/med/pressemitteilungen/pressearchiv/2021/51/index.php</w:t>
        </w:r>
      </w:hyperlink>
    </w:p>
  </w:footnote>
  <w:footnote w:id="3">
    <w:p w:rsidR="004324B4" w:rsidRDefault="004324B4" w:rsidP="00C14552">
      <w:pPr>
        <w:pStyle w:val="Funotentext"/>
        <w:ind w:left="340" w:hanging="340"/>
      </w:pPr>
      <w:r w:rsidRPr="00C14552">
        <w:rPr>
          <w:rStyle w:val="Funotenzeichen"/>
          <w:sz w:val="16"/>
        </w:rPr>
        <w:footnoteRef/>
      </w:r>
      <w:r w:rsidRPr="00C14552">
        <w:rPr>
          <w:sz w:val="16"/>
        </w:rPr>
        <w:tab/>
        <w:t>Das technische Potenzial einer Wasserkraftanlage errechnet sich aus der allgemeinen Leistungsformel: P = ? * g * Q * H Die Leistung P einer Wasserkraftanlage wird bestimmt durch die zur Verfügung stehende Fallhöhe H, den Durchfluss Q und den Wirkungsgrad ? Anlage (g = Erdbeschleunigung).</w:t>
      </w:r>
    </w:p>
  </w:footnote>
  <w:footnote w:id="4">
    <w:p w:rsidR="004324B4" w:rsidRDefault="004324B4" w:rsidP="00C14552">
      <w:pPr>
        <w:pStyle w:val="Funotentext"/>
        <w:ind w:left="340" w:hanging="340"/>
      </w:pPr>
      <w:r w:rsidRPr="00C14552">
        <w:rPr>
          <w:rStyle w:val="Funotenzeichen"/>
          <w:sz w:val="16"/>
        </w:rPr>
        <w:footnoteRef/>
      </w:r>
      <w:r w:rsidRPr="00C14552">
        <w:rPr>
          <w:sz w:val="16"/>
        </w:rPr>
        <w:tab/>
        <w:t xml:space="preserve">Landesamt für Umwelt: </w:t>
      </w:r>
      <w:hyperlink r:id="rId3" w:history="1">
        <w:r w:rsidRPr="00C14552">
          <w:rPr>
            <w:rStyle w:val="LTHyperlinkZchn"/>
            <w:b w:val="0"/>
            <w:sz w:val="16"/>
          </w:rPr>
          <w:t>https://www.energieatlas.bayern.de/thema_wasser/potenzial/modernisierung.html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B4" w:rsidRDefault="004324B4"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C011AF">
      <w:fldChar w:fldCharType="begin"/>
    </w:r>
    <w:r w:rsidR="00C011AF">
      <w:instrText xml:space="preserve"> DOCVARIABLE  "Wp" \* MERGEFORMAT </w:instrText>
    </w:r>
    <w:r w:rsidR="00C011AF">
      <w:fldChar w:fldCharType="separate"/>
    </w:r>
    <w:r w:rsidR="00252708">
      <w:t>18</w:t>
    </w:r>
    <w:r w:rsidR="00C011AF">
      <w:fldChar w:fldCharType="end"/>
    </w:r>
    <w:r w:rsidRPr="00CA6785">
      <w:t>/</w:t>
    </w:r>
    <w:r>
      <w:rPr>
        <w:b/>
      </w:rPr>
      <w:fldChar w:fldCharType="begin"/>
    </w:r>
    <w:r>
      <w:rPr>
        <w:b/>
      </w:rPr>
      <w:instrText xml:space="preserve"> DOCVARIABLE  "Drsnr" \* MERGEFORMAT </w:instrText>
    </w:r>
    <w:r>
      <w:rPr>
        <w:b/>
      </w:rPr>
      <w:fldChar w:fldCharType="separate"/>
    </w:r>
    <w:r w:rsidR="00252708">
      <w:rPr>
        <w:b/>
      </w:rPr>
      <w:t>22770</w:t>
    </w:r>
    <w:r>
      <w:rPr>
        <w:b/>
      </w:rPr>
      <w:fldChar w:fldCharType="end"/>
    </w:r>
    <w:r>
      <w:tab/>
    </w:r>
    <w:r>
      <w:tab/>
    </w:r>
    <w:r w:rsidRPr="009A2D8C">
      <w:t>Bayerischer Landtag</w:t>
    </w:r>
    <w:r>
      <w:t xml:space="preserve"> -</w:t>
    </w:r>
    <w:r w:rsidR="00C011AF">
      <w:fldChar w:fldCharType="begin"/>
    </w:r>
    <w:r w:rsidR="00C011AF">
      <w:instrText xml:space="preserve"> DOCVARIABLE  "Wp" \* MERGEFORMAT </w:instrText>
    </w:r>
    <w:r w:rsidR="00C011AF">
      <w:fldChar w:fldCharType="separate"/>
    </w:r>
    <w:r w:rsidR="00252708">
      <w:t>18</w:t>
    </w:r>
    <w:r w:rsidR="00C011AF">
      <w:fldChar w:fldCharType="end"/>
    </w:r>
    <w:r>
      <w:t>. Wahlperiode</w:t>
    </w:r>
  </w:p>
  <w:p w:rsidR="004324B4" w:rsidRDefault="004324B4"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B4" w:rsidRDefault="004324B4"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C011AF">
      <w:fldChar w:fldCharType="begin"/>
    </w:r>
    <w:r w:rsidR="00C011AF">
      <w:instrText xml:space="preserve"> DOCVARIABLE  "Wp" \* MERGEFORMAT </w:instrText>
    </w:r>
    <w:r w:rsidR="00C011AF">
      <w:fldChar w:fldCharType="separate"/>
    </w:r>
    <w:r w:rsidR="00252708">
      <w:t>18</w:t>
    </w:r>
    <w:r w:rsidR="00C011AF">
      <w:fldChar w:fldCharType="end"/>
    </w:r>
    <w:r>
      <w:t>. Wahlperiode</w:t>
    </w:r>
    <w:r>
      <w:tab/>
    </w:r>
    <w:r>
      <w:tab/>
    </w:r>
    <w:r w:rsidRPr="009A2D8C">
      <w:rPr>
        <w:b/>
      </w:rPr>
      <w:t>Drucksache</w:t>
    </w:r>
    <w:r>
      <w:rPr>
        <w:b/>
      </w:rPr>
      <w:t xml:space="preserve"> </w:t>
    </w:r>
    <w:r w:rsidR="00C011AF">
      <w:fldChar w:fldCharType="begin"/>
    </w:r>
    <w:r w:rsidR="00C011AF">
      <w:instrText xml:space="preserve"> DOCVARIABLE  "Wp" \* MERGEFORMAT </w:instrText>
    </w:r>
    <w:r w:rsidR="00C011AF">
      <w:fldChar w:fldCharType="separate"/>
    </w:r>
    <w:r w:rsidR="00252708">
      <w:t>18</w:t>
    </w:r>
    <w:r w:rsidR="00C011AF">
      <w:fldChar w:fldCharType="end"/>
    </w:r>
    <w:r w:rsidRPr="00CA6785">
      <w:t>/</w:t>
    </w:r>
    <w:r>
      <w:rPr>
        <w:b/>
      </w:rPr>
      <w:fldChar w:fldCharType="begin"/>
    </w:r>
    <w:r>
      <w:rPr>
        <w:b/>
      </w:rPr>
      <w:instrText xml:space="preserve"> DOCVARIABLE  "Drsnr" \* MERGEFORMAT </w:instrText>
    </w:r>
    <w:r>
      <w:rPr>
        <w:b/>
      </w:rPr>
      <w:fldChar w:fldCharType="separate"/>
    </w:r>
    <w:r w:rsidR="00252708">
      <w:rPr>
        <w:b/>
      </w:rPr>
      <w:t>22770</w:t>
    </w:r>
    <w:r>
      <w:rPr>
        <w:b/>
      </w:rPr>
      <w:fldChar w:fldCharType="end"/>
    </w:r>
  </w:p>
  <w:p w:rsidR="004324B4" w:rsidRPr="00C127DA" w:rsidRDefault="004324B4"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B4" w:rsidRDefault="004324B4"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53D70" w:rsidRPr="00753D70">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53D70">
      <w:rPr>
        <w:sz w:val="22"/>
        <w:szCs w:val="22"/>
      </w:rPr>
      <w:t>09.05.2022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53D70" w:rsidRPr="00753D70">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53D70" w:rsidRPr="00753D70">
      <w:rPr>
        <w:b/>
        <w:bCs/>
        <w:sz w:val="42"/>
        <w:szCs w:val="42"/>
      </w:rPr>
      <w:t>22770</w:t>
    </w:r>
    <w:r w:rsidRPr="00853926">
      <w:rPr>
        <w:b/>
        <w:sz w:val="42"/>
        <w:szCs w:val="42"/>
      </w:rPr>
      <w:fldChar w:fldCharType="end"/>
    </w:r>
  </w:p>
  <w:p w:rsidR="004324B4" w:rsidRPr="004453BF" w:rsidRDefault="004324B4"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B4" w:rsidRPr="00A44F63" w:rsidRDefault="004324B4"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52708">
      <w:rPr>
        <w:rStyle w:val="Seitenzahl"/>
        <w:noProof/>
        <w:szCs w:val="20"/>
      </w:rPr>
      <w:t>89</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52708">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52708">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52708">
      <w:rPr>
        <w:b/>
        <w:szCs w:val="20"/>
      </w:rPr>
      <w:t>22770</w:t>
    </w:r>
    <w:r w:rsidRPr="00A44F63">
      <w:rPr>
        <w:b/>
        <w:szCs w:val="20"/>
      </w:rPr>
      <w:fldChar w:fldCharType="end"/>
    </w:r>
  </w:p>
  <w:p w:rsidR="004324B4" w:rsidRPr="00861320" w:rsidRDefault="004324B4" w:rsidP="006E5B9D">
    <w:pPr>
      <w:pStyle w:val="Kopfzeile"/>
    </w:pPr>
  </w:p>
  <w:p w:rsidR="004324B4" w:rsidRDefault="004324B4"/>
  <w:p w:rsidR="004324B4" w:rsidRDefault="004324B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B4" w:rsidRPr="00DE5B17" w:rsidRDefault="004324B4"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52708">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52708">
      <w:rPr>
        <w:b/>
        <w:szCs w:val="20"/>
      </w:rPr>
      <w:t>22770</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52708">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52708">
      <w:rPr>
        <w:rStyle w:val="Seitenzahl"/>
        <w:noProof/>
        <w:szCs w:val="20"/>
      </w:rPr>
      <w:t>89</w:t>
    </w:r>
    <w:r w:rsidRPr="00DE5B17">
      <w:rPr>
        <w:rStyle w:val="Seitenzahl"/>
        <w:szCs w:val="20"/>
      </w:rPr>
      <w:fldChar w:fldCharType="end"/>
    </w:r>
  </w:p>
  <w:p w:rsidR="004324B4" w:rsidRPr="00601929" w:rsidRDefault="004324B4" w:rsidP="00F00864">
    <w:pPr>
      <w:pStyle w:val="Kopfzeile"/>
      <w:tabs>
        <w:tab w:val="clear" w:pos="4536"/>
        <w:tab w:val="clear" w:pos="9072"/>
        <w:tab w:val="left" w:pos="2700"/>
        <w:tab w:val="left" w:pos="4680"/>
        <w:tab w:val="right" w:pos="8789"/>
      </w:tabs>
      <w:spacing w:line="360" w:lineRule="exact"/>
      <w:ind w:left="-1106" w:right="-1106"/>
    </w:pPr>
  </w:p>
  <w:p w:rsidR="004324B4" w:rsidRDefault="004324B4"/>
  <w:p w:rsidR="004324B4" w:rsidRDefault="004324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4FCF"/>
    <w:multiLevelType w:val="hybridMultilevel"/>
    <w:tmpl w:val="DC728D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E21ED5"/>
    <w:multiLevelType w:val="hybridMultilevel"/>
    <w:tmpl w:val="33FA43E6"/>
    <w:lvl w:ilvl="0" w:tplc="C4406D92">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59E5637"/>
    <w:multiLevelType w:val="hybridMultilevel"/>
    <w:tmpl w:val="E5CC4946"/>
    <w:lvl w:ilvl="0" w:tplc="C4406D92">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7B686A"/>
    <w:multiLevelType w:val="hybridMultilevel"/>
    <w:tmpl w:val="F27887E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AE059E"/>
    <w:multiLevelType w:val="hybridMultilevel"/>
    <w:tmpl w:val="6378493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54A5630"/>
    <w:multiLevelType w:val="hybridMultilevel"/>
    <w:tmpl w:val="7B18BDC2"/>
    <w:lvl w:ilvl="0" w:tplc="C4406D92">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7A3E6036"/>
    <w:multiLevelType w:val="hybridMultilevel"/>
    <w:tmpl w:val="C5303D36"/>
    <w:lvl w:ilvl="0" w:tplc="C4406D92">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9" w15:restartNumberingAfterBreak="0">
    <w:nsid w:val="7A456F43"/>
    <w:multiLevelType w:val="hybridMultilevel"/>
    <w:tmpl w:val="5A7A6960"/>
    <w:lvl w:ilvl="0" w:tplc="C4406D92">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7B44437F"/>
    <w:multiLevelType w:val="hybridMultilevel"/>
    <w:tmpl w:val="651A16B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26"/>
  </w:num>
  <w:num w:numId="2">
    <w:abstractNumId w:val="13"/>
  </w:num>
  <w:num w:numId="3">
    <w:abstractNumId w:val="22"/>
  </w:num>
  <w:num w:numId="4">
    <w:abstractNumId w:val="24"/>
  </w:num>
  <w:num w:numId="5">
    <w:abstractNumId w:val="23"/>
  </w:num>
  <w:num w:numId="6">
    <w:abstractNumId w:val="20"/>
  </w:num>
  <w:num w:numId="7">
    <w:abstractNumId w:val="11"/>
  </w:num>
  <w:num w:numId="8">
    <w:abstractNumId w:val="12"/>
  </w:num>
  <w:num w:numId="9">
    <w:abstractNumId w:val="25"/>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18"/>
  </w:num>
  <w:num w:numId="27">
    <w:abstractNumId w:val="10"/>
  </w:num>
  <w:num w:numId="28">
    <w:abstractNumId w:val="21"/>
  </w:num>
  <w:num w:numId="29">
    <w:abstractNumId w:val="28"/>
  </w:num>
  <w:num w:numId="30">
    <w:abstractNumId w:val="30"/>
  </w:num>
  <w:num w:numId="31">
    <w:abstractNumId w:val="29"/>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4Cjp3NIFpb9J6UytEoYfRIIbZ+P/IbXXVSZo5ShJGBSENNzr/eWF+G4p4j6rmgF+i6dSM6v1k+SYX/3x1mWLqQ==" w:salt="rzX3XQUV0pbX6WKcHUqzrA=="/>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1.05.2022"/>
    <w:docVar w:name="Drsnr" w:val="22770"/>
    <w:docVar w:name="Eingangsdatum" w:val="09.05.2022"/>
    <w:docVar w:name="Wochendatum" w:val="9. Mai 2022"/>
    <w:docVar w:name="Wp" w:val="18"/>
  </w:docVars>
  <w:rsids>
    <w:rsidRoot w:val="0034715F"/>
    <w:rsid w:val="00002517"/>
    <w:rsid w:val="00002749"/>
    <w:rsid w:val="00006292"/>
    <w:rsid w:val="00007232"/>
    <w:rsid w:val="00025FF8"/>
    <w:rsid w:val="00034478"/>
    <w:rsid w:val="000371B5"/>
    <w:rsid w:val="00043B70"/>
    <w:rsid w:val="000450DB"/>
    <w:rsid w:val="000465A2"/>
    <w:rsid w:val="000560AC"/>
    <w:rsid w:val="000614E0"/>
    <w:rsid w:val="00061EB3"/>
    <w:rsid w:val="00063257"/>
    <w:rsid w:val="000750F6"/>
    <w:rsid w:val="00075CF6"/>
    <w:rsid w:val="000779F7"/>
    <w:rsid w:val="00083D54"/>
    <w:rsid w:val="00085A8F"/>
    <w:rsid w:val="0008617E"/>
    <w:rsid w:val="00095F01"/>
    <w:rsid w:val="00097682"/>
    <w:rsid w:val="000B2A68"/>
    <w:rsid w:val="000B764D"/>
    <w:rsid w:val="000C44BA"/>
    <w:rsid w:val="000C480A"/>
    <w:rsid w:val="000C71A5"/>
    <w:rsid w:val="000C72A9"/>
    <w:rsid w:val="000C7D5A"/>
    <w:rsid w:val="000D3F50"/>
    <w:rsid w:val="000D67D1"/>
    <w:rsid w:val="000E21D9"/>
    <w:rsid w:val="000E3C5F"/>
    <w:rsid w:val="000E493D"/>
    <w:rsid w:val="000E73CC"/>
    <w:rsid w:val="000F109F"/>
    <w:rsid w:val="000F29A9"/>
    <w:rsid w:val="000F3417"/>
    <w:rsid w:val="00101799"/>
    <w:rsid w:val="00107001"/>
    <w:rsid w:val="00114B66"/>
    <w:rsid w:val="0012774B"/>
    <w:rsid w:val="00134416"/>
    <w:rsid w:val="0013536F"/>
    <w:rsid w:val="001356F0"/>
    <w:rsid w:val="00135D97"/>
    <w:rsid w:val="00136D38"/>
    <w:rsid w:val="001376A1"/>
    <w:rsid w:val="001402AE"/>
    <w:rsid w:val="00140765"/>
    <w:rsid w:val="00141C03"/>
    <w:rsid w:val="00144E6E"/>
    <w:rsid w:val="00146402"/>
    <w:rsid w:val="00154F5F"/>
    <w:rsid w:val="001576CA"/>
    <w:rsid w:val="001579D6"/>
    <w:rsid w:val="00163299"/>
    <w:rsid w:val="00163927"/>
    <w:rsid w:val="00165D18"/>
    <w:rsid w:val="001676F2"/>
    <w:rsid w:val="00170C85"/>
    <w:rsid w:val="00171CDA"/>
    <w:rsid w:val="0017422A"/>
    <w:rsid w:val="001866B8"/>
    <w:rsid w:val="00190CE9"/>
    <w:rsid w:val="00193893"/>
    <w:rsid w:val="00193AB7"/>
    <w:rsid w:val="0019528A"/>
    <w:rsid w:val="0019563B"/>
    <w:rsid w:val="001A1E5A"/>
    <w:rsid w:val="001B232D"/>
    <w:rsid w:val="001C6140"/>
    <w:rsid w:val="001C701E"/>
    <w:rsid w:val="001D073A"/>
    <w:rsid w:val="001D7B0D"/>
    <w:rsid w:val="001E23D4"/>
    <w:rsid w:val="001E298D"/>
    <w:rsid w:val="001E3461"/>
    <w:rsid w:val="001E41D1"/>
    <w:rsid w:val="001E5862"/>
    <w:rsid w:val="001F14C6"/>
    <w:rsid w:val="001F1EC2"/>
    <w:rsid w:val="001F240A"/>
    <w:rsid w:val="001F2577"/>
    <w:rsid w:val="001F3CDA"/>
    <w:rsid w:val="00203DE7"/>
    <w:rsid w:val="002102F9"/>
    <w:rsid w:val="00215CAA"/>
    <w:rsid w:val="00220A1F"/>
    <w:rsid w:val="00223742"/>
    <w:rsid w:val="00226E30"/>
    <w:rsid w:val="00227E77"/>
    <w:rsid w:val="002302DA"/>
    <w:rsid w:val="00231278"/>
    <w:rsid w:val="0023365B"/>
    <w:rsid w:val="00235942"/>
    <w:rsid w:val="002375B2"/>
    <w:rsid w:val="00245175"/>
    <w:rsid w:val="002452D1"/>
    <w:rsid w:val="00246DE7"/>
    <w:rsid w:val="00252708"/>
    <w:rsid w:val="00277DD9"/>
    <w:rsid w:val="002822CD"/>
    <w:rsid w:val="00283D88"/>
    <w:rsid w:val="0028470E"/>
    <w:rsid w:val="00284AA1"/>
    <w:rsid w:val="00287D8E"/>
    <w:rsid w:val="00290E9F"/>
    <w:rsid w:val="00293F06"/>
    <w:rsid w:val="002B146F"/>
    <w:rsid w:val="002B27E5"/>
    <w:rsid w:val="002D0973"/>
    <w:rsid w:val="002D18AF"/>
    <w:rsid w:val="002D2A91"/>
    <w:rsid w:val="002D33E5"/>
    <w:rsid w:val="002D4BCB"/>
    <w:rsid w:val="002D53C0"/>
    <w:rsid w:val="002D5E77"/>
    <w:rsid w:val="002E1C45"/>
    <w:rsid w:val="002E3453"/>
    <w:rsid w:val="0030115A"/>
    <w:rsid w:val="003057E2"/>
    <w:rsid w:val="003078E2"/>
    <w:rsid w:val="00310A7B"/>
    <w:rsid w:val="00311533"/>
    <w:rsid w:val="0031185F"/>
    <w:rsid w:val="00315B5B"/>
    <w:rsid w:val="003220C1"/>
    <w:rsid w:val="00324074"/>
    <w:rsid w:val="0032607E"/>
    <w:rsid w:val="00330AC4"/>
    <w:rsid w:val="003317ED"/>
    <w:rsid w:val="003343E3"/>
    <w:rsid w:val="00337DF6"/>
    <w:rsid w:val="003403D3"/>
    <w:rsid w:val="00341E66"/>
    <w:rsid w:val="003449ED"/>
    <w:rsid w:val="0034715F"/>
    <w:rsid w:val="00354E4E"/>
    <w:rsid w:val="00355B6A"/>
    <w:rsid w:val="003571B7"/>
    <w:rsid w:val="0036081C"/>
    <w:rsid w:val="003714FB"/>
    <w:rsid w:val="00383A93"/>
    <w:rsid w:val="00384BCC"/>
    <w:rsid w:val="00386462"/>
    <w:rsid w:val="003865DE"/>
    <w:rsid w:val="00390643"/>
    <w:rsid w:val="00390B65"/>
    <w:rsid w:val="00390F57"/>
    <w:rsid w:val="003A0B46"/>
    <w:rsid w:val="003A6DDF"/>
    <w:rsid w:val="003B09EA"/>
    <w:rsid w:val="003B10EA"/>
    <w:rsid w:val="003B21D3"/>
    <w:rsid w:val="003B4646"/>
    <w:rsid w:val="003B6DDF"/>
    <w:rsid w:val="003B7D59"/>
    <w:rsid w:val="003C0018"/>
    <w:rsid w:val="003C1E2B"/>
    <w:rsid w:val="003C3519"/>
    <w:rsid w:val="003C4151"/>
    <w:rsid w:val="003D3A19"/>
    <w:rsid w:val="003D6012"/>
    <w:rsid w:val="003D69A2"/>
    <w:rsid w:val="003E107C"/>
    <w:rsid w:val="003E1CD7"/>
    <w:rsid w:val="003E2DEE"/>
    <w:rsid w:val="003E36C6"/>
    <w:rsid w:val="003E4991"/>
    <w:rsid w:val="003E7E4B"/>
    <w:rsid w:val="003F3864"/>
    <w:rsid w:val="003F467B"/>
    <w:rsid w:val="004010D4"/>
    <w:rsid w:val="00403665"/>
    <w:rsid w:val="004104B6"/>
    <w:rsid w:val="004148C6"/>
    <w:rsid w:val="0042114F"/>
    <w:rsid w:val="00421373"/>
    <w:rsid w:val="00431F16"/>
    <w:rsid w:val="004324B4"/>
    <w:rsid w:val="00440810"/>
    <w:rsid w:val="00441469"/>
    <w:rsid w:val="00444A03"/>
    <w:rsid w:val="004453BF"/>
    <w:rsid w:val="004521FF"/>
    <w:rsid w:val="0045402F"/>
    <w:rsid w:val="0046057F"/>
    <w:rsid w:val="00465F83"/>
    <w:rsid w:val="0047523B"/>
    <w:rsid w:val="00476B56"/>
    <w:rsid w:val="00477E11"/>
    <w:rsid w:val="00496299"/>
    <w:rsid w:val="004A0B31"/>
    <w:rsid w:val="004B1144"/>
    <w:rsid w:val="004B184E"/>
    <w:rsid w:val="004B256E"/>
    <w:rsid w:val="004B5A87"/>
    <w:rsid w:val="004B730C"/>
    <w:rsid w:val="004C1BA3"/>
    <w:rsid w:val="004C3433"/>
    <w:rsid w:val="004D4829"/>
    <w:rsid w:val="004D77D8"/>
    <w:rsid w:val="004D7B2E"/>
    <w:rsid w:val="004E1031"/>
    <w:rsid w:val="004E1C99"/>
    <w:rsid w:val="004F2494"/>
    <w:rsid w:val="00502FBE"/>
    <w:rsid w:val="00503F3C"/>
    <w:rsid w:val="005040C2"/>
    <w:rsid w:val="005145C1"/>
    <w:rsid w:val="00524176"/>
    <w:rsid w:val="00524C66"/>
    <w:rsid w:val="00527DB4"/>
    <w:rsid w:val="005321C0"/>
    <w:rsid w:val="0053309B"/>
    <w:rsid w:val="00534594"/>
    <w:rsid w:val="005354B6"/>
    <w:rsid w:val="00544156"/>
    <w:rsid w:val="005517B2"/>
    <w:rsid w:val="005614AE"/>
    <w:rsid w:val="00567084"/>
    <w:rsid w:val="0057046C"/>
    <w:rsid w:val="00570E9B"/>
    <w:rsid w:val="0057191B"/>
    <w:rsid w:val="00572482"/>
    <w:rsid w:val="005833DD"/>
    <w:rsid w:val="005834A1"/>
    <w:rsid w:val="005878CA"/>
    <w:rsid w:val="00593818"/>
    <w:rsid w:val="00595311"/>
    <w:rsid w:val="005A0EEC"/>
    <w:rsid w:val="005A2062"/>
    <w:rsid w:val="005A532A"/>
    <w:rsid w:val="005A79EC"/>
    <w:rsid w:val="005B6943"/>
    <w:rsid w:val="005B6B0C"/>
    <w:rsid w:val="005C12DF"/>
    <w:rsid w:val="005C160F"/>
    <w:rsid w:val="005C493E"/>
    <w:rsid w:val="005C55DD"/>
    <w:rsid w:val="005C5701"/>
    <w:rsid w:val="005D0F29"/>
    <w:rsid w:val="005D3C42"/>
    <w:rsid w:val="005E0A7D"/>
    <w:rsid w:val="005E24B5"/>
    <w:rsid w:val="005F371F"/>
    <w:rsid w:val="00601929"/>
    <w:rsid w:val="00605B94"/>
    <w:rsid w:val="00606488"/>
    <w:rsid w:val="006076A5"/>
    <w:rsid w:val="00610EFD"/>
    <w:rsid w:val="00611FE7"/>
    <w:rsid w:val="0061209A"/>
    <w:rsid w:val="00616EC9"/>
    <w:rsid w:val="0062036D"/>
    <w:rsid w:val="00620B1D"/>
    <w:rsid w:val="0062470E"/>
    <w:rsid w:val="00626A84"/>
    <w:rsid w:val="00651968"/>
    <w:rsid w:val="00653E6D"/>
    <w:rsid w:val="0066109F"/>
    <w:rsid w:val="00661F4C"/>
    <w:rsid w:val="0067036C"/>
    <w:rsid w:val="00675AED"/>
    <w:rsid w:val="0068306E"/>
    <w:rsid w:val="006A509C"/>
    <w:rsid w:val="006B0212"/>
    <w:rsid w:val="006B1709"/>
    <w:rsid w:val="006B7084"/>
    <w:rsid w:val="006C4DB6"/>
    <w:rsid w:val="006C5C31"/>
    <w:rsid w:val="006D0FD8"/>
    <w:rsid w:val="006D2E83"/>
    <w:rsid w:val="006E0274"/>
    <w:rsid w:val="006E5B9D"/>
    <w:rsid w:val="006F0AB3"/>
    <w:rsid w:val="006F4578"/>
    <w:rsid w:val="007061D4"/>
    <w:rsid w:val="00714229"/>
    <w:rsid w:val="00714C18"/>
    <w:rsid w:val="0071621D"/>
    <w:rsid w:val="00717184"/>
    <w:rsid w:val="00724046"/>
    <w:rsid w:val="0075012C"/>
    <w:rsid w:val="00753D70"/>
    <w:rsid w:val="00756800"/>
    <w:rsid w:val="0075769E"/>
    <w:rsid w:val="00760A53"/>
    <w:rsid w:val="00761779"/>
    <w:rsid w:val="007649D6"/>
    <w:rsid w:val="00764C64"/>
    <w:rsid w:val="00765D84"/>
    <w:rsid w:val="00773622"/>
    <w:rsid w:val="007758B6"/>
    <w:rsid w:val="0077709E"/>
    <w:rsid w:val="00781527"/>
    <w:rsid w:val="00781FB1"/>
    <w:rsid w:val="007868AE"/>
    <w:rsid w:val="00787923"/>
    <w:rsid w:val="00791D2A"/>
    <w:rsid w:val="00792B32"/>
    <w:rsid w:val="00797183"/>
    <w:rsid w:val="00797D60"/>
    <w:rsid w:val="007A0426"/>
    <w:rsid w:val="007A4A82"/>
    <w:rsid w:val="007A53DB"/>
    <w:rsid w:val="007A61DF"/>
    <w:rsid w:val="007B0B33"/>
    <w:rsid w:val="007B1547"/>
    <w:rsid w:val="007B2489"/>
    <w:rsid w:val="007F66AC"/>
    <w:rsid w:val="007F74C9"/>
    <w:rsid w:val="00805E8A"/>
    <w:rsid w:val="008062A0"/>
    <w:rsid w:val="00806506"/>
    <w:rsid w:val="00816C6F"/>
    <w:rsid w:val="00825C50"/>
    <w:rsid w:val="00836460"/>
    <w:rsid w:val="00844005"/>
    <w:rsid w:val="00846D02"/>
    <w:rsid w:val="008540E3"/>
    <w:rsid w:val="008606C1"/>
    <w:rsid w:val="00860C55"/>
    <w:rsid w:val="00863A28"/>
    <w:rsid w:val="00863D7F"/>
    <w:rsid w:val="00873C37"/>
    <w:rsid w:val="00875195"/>
    <w:rsid w:val="00875EE0"/>
    <w:rsid w:val="00880170"/>
    <w:rsid w:val="008803A9"/>
    <w:rsid w:val="00881163"/>
    <w:rsid w:val="00882D17"/>
    <w:rsid w:val="00885BFE"/>
    <w:rsid w:val="0088677A"/>
    <w:rsid w:val="008869E4"/>
    <w:rsid w:val="0089065E"/>
    <w:rsid w:val="008930C0"/>
    <w:rsid w:val="00896313"/>
    <w:rsid w:val="00897172"/>
    <w:rsid w:val="008A671A"/>
    <w:rsid w:val="008B5934"/>
    <w:rsid w:val="008C3A20"/>
    <w:rsid w:val="008C3EAF"/>
    <w:rsid w:val="008C6176"/>
    <w:rsid w:val="008D2301"/>
    <w:rsid w:val="008E2258"/>
    <w:rsid w:val="008E3C99"/>
    <w:rsid w:val="008E41C5"/>
    <w:rsid w:val="008E5ED3"/>
    <w:rsid w:val="008E7B3B"/>
    <w:rsid w:val="00903596"/>
    <w:rsid w:val="0091136E"/>
    <w:rsid w:val="00911F24"/>
    <w:rsid w:val="00912055"/>
    <w:rsid w:val="009149D4"/>
    <w:rsid w:val="00917E41"/>
    <w:rsid w:val="009229F8"/>
    <w:rsid w:val="009234BF"/>
    <w:rsid w:val="00924A4A"/>
    <w:rsid w:val="0092602C"/>
    <w:rsid w:val="009310B8"/>
    <w:rsid w:val="009312E7"/>
    <w:rsid w:val="00932D27"/>
    <w:rsid w:val="009337A5"/>
    <w:rsid w:val="009344AC"/>
    <w:rsid w:val="009369D1"/>
    <w:rsid w:val="00947B4E"/>
    <w:rsid w:val="0095379B"/>
    <w:rsid w:val="0096055D"/>
    <w:rsid w:val="00962732"/>
    <w:rsid w:val="00966E35"/>
    <w:rsid w:val="00970E19"/>
    <w:rsid w:val="009744C6"/>
    <w:rsid w:val="00975E32"/>
    <w:rsid w:val="00977682"/>
    <w:rsid w:val="009837B0"/>
    <w:rsid w:val="009924CE"/>
    <w:rsid w:val="00995D8F"/>
    <w:rsid w:val="009A2D8C"/>
    <w:rsid w:val="009A2DF1"/>
    <w:rsid w:val="009A2E36"/>
    <w:rsid w:val="009A3FF4"/>
    <w:rsid w:val="009A5A06"/>
    <w:rsid w:val="009B00F1"/>
    <w:rsid w:val="009B181A"/>
    <w:rsid w:val="009B3DA8"/>
    <w:rsid w:val="009B6B5E"/>
    <w:rsid w:val="009B7205"/>
    <w:rsid w:val="009C1AC7"/>
    <w:rsid w:val="009C32BE"/>
    <w:rsid w:val="009D2B04"/>
    <w:rsid w:val="009D5962"/>
    <w:rsid w:val="009E25A3"/>
    <w:rsid w:val="009E41B6"/>
    <w:rsid w:val="009E6DDB"/>
    <w:rsid w:val="009F6B94"/>
    <w:rsid w:val="00A07629"/>
    <w:rsid w:val="00A17038"/>
    <w:rsid w:val="00A2276D"/>
    <w:rsid w:val="00A25D7C"/>
    <w:rsid w:val="00A265DC"/>
    <w:rsid w:val="00A27016"/>
    <w:rsid w:val="00A3195E"/>
    <w:rsid w:val="00A3336A"/>
    <w:rsid w:val="00A42EAA"/>
    <w:rsid w:val="00A44F63"/>
    <w:rsid w:val="00A47020"/>
    <w:rsid w:val="00A5482B"/>
    <w:rsid w:val="00A55DA0"/>
    <w:rsid w:val="00A601CC"/>
    <w:rsid w:val="00A603C5"/>
    <w:rsid w:val="00A62EDE"/>
    <w:rsid w:val="00A655DA"/>
    <w:rsid w:val="00A65E9D"/>
    <w:rsid w:val="00A76D72"/>
    <w:rsid w:val="00A84172"/>
    <w:rsid w:val="00A878E7"/>
    <w:rsid w:val="00A96B48"/>
    <w:rsid w:val="00AA3478"/>
    <w:rsid w:val="00AA3C56"/>
    <w:rsid w:val="00AA7233"/>
    <w:rsid w:val="00AB3F52"/>
    <w:rsid w:val="00AB48AB"/>
    <w:rsid w:val="00AC1ABA"/>
    <w:rsid w:val="00AC4FC6"/>
    <w:rsid w:val="00AD25DF"/>
    <w:rsid w:val="00AD7E0F"/>
    <w:rsid w:val="00AE1029"/>
    <w:rsid w:val="00AE221B"/>
    <w:rsid w:val="00B00B36"/>
    <w:rsid w:val="00B04C42"/>
    <w:rsid w:val="00B05D8A"/>
    <w:rsid w:val="00B062BF"/>
    <w:rsid w:val="00B1350E"/>
    <w:rsid w:val="00B246BA"/>
    <w:rsid w:val="00B33C5A"/>
    <w:rsid w:val="00B3698E"/>
    <w:rsid w:val="00B410E0"/>
    <w:rsid w:val="00B45132"/>
    <w:rsid w:val="00B45193"/>
    <w:rsid w:val="00B55411"/>
    <w:rsid w:val="00B574F2"/>
    <w:rsid w:val="00B57DE6"/>
    <w:rsid w:val="00B6142A"/>
    <w:rsid w:val="00B74125"/>
    <w:rsid w:val="00B753A4"/>
    <w:rsid w:val="00B8046D"/>
    <w:rsid w:val="00B80572"/>
    <w:rsid w:val="00B8085E"/>
    <w:rsid w:val="00B82BE0"/>
    <w:rsid w:val="00B85084"/>
    <w:rsid w:val="00B85638"/>
    <w:rsid w:val="00B902FE"/>
    <w:rsid w:val="00B91015"/>
    <w:rsid w:val="00B9456C"/>
    <w:rsid w:val="00BA7AAC"/>
    <w:rsid w:val="00BB117A"/>
    <w:rsid w:val="00BB3E7A"/>
    <w:rsid w:val="00BB6019"/>
    <w:rsid w:val="00BB611E"/>
    <w:rsid w:val="00BC0F26"/>
    <w:rsid w:val="00BC1C8F"/>
    <w:rsid w:val="00BC242C"/>
    <w:rsid w:val="00BC4D4B"/>
    <w:rsid w:val="00BD3DE1"/>
    <w:rsid w:val="00BD7DB0"/>
    <w:rsid w:val="00BE0A75"/>
    <w:rsid w:val="00BE433F"/>
    <w:rsid w:val="00BE785F"/>
    <w:rsid w:val="00BF42EF"/>
    <w:rsid w:val="00BF430A"/>
    <w:rsid w:val="00C011AF"/>
    <w:rsid w:val="00C034C9"/>
    <w:rsid w:val="00C10694"/>
    <w:rsid w:val="00C11892"/>
    <w:rsid w:val="00C127DA"/>
    <w:rsid w:val="00C14552"/>
    <w:rsid w:val="00C154B3"/>
    <w:rsid w:val="00C208FB"/>
    <w:rsid w:val="00C20D25"/>
    <w:rsid w:val="00C2318B"/>
    <w:rsid w:val="00C2592F"/>
    <w:rsid w:val="00C31000"/>
    <w:rsid w:val="00C3140D"/>
    <w:rsid w:val="00C33543"/>
    <w:rsid w:val="00C4558C"/>
    <w:rsid w:val="00C54C38"/>
    <w:rsid w:val="00C64946"/>
    <w:rsid w:val="00C67283"/>
    <w:rsid w:val="00C743BB"/>
    <w:rsid w:val="00C749E8"/>
    <w:rsid w:val="00C805A7"/>
    <w:rsid w:val="00C83A7D"/>
    <w:rsid w:val="00C841E1"/>
    <w:rsid w:val="00C84F6F"/>
    <w:rsid w:val="00C95F05"/>
    <w:rsid w:val="00CA46E4"/>
    <w:rsid w:val="00CB0061"/>
    <w:rsid w:val="00CB1499"/>
    <w:rsid w:val="00CB6BE6"/>
    <w:rsid w:val="00CB700A"/>
    <w:rsid w:val="00CB7B02"/>
    <w:rsid w:val="00CC20C5"/>
    <w:rsid w:val="00CC43A0"/>
    <w:rsid w:val="00CC6B36"/>
    <w:rsid w:val="00CC77D8"/>
    <w:rsid w:val="00CC7D0D"/>
    <w:rsid w:val="00CD360B"/>
    <w:rsid w:val="00CD631D"/>
    <w:rsid w:val="00CD6B4E"/>
    <w:rsid w:val="00CE2154"/>
    <w:rsid w:val="00CE5E4F"/>
    <w:rsid w:val="00CF1266"/>
    <w:rsid w:val="00CF4A6F"/>
    <w:rsid w:val="00CF5AA4"/>
    <w:rsid w:val="00CF6C48"/>
    <w:rsid w:val="00CF77F6"/>
    <w:rsid w:val="00D01EC2"/>
    <w:rsid w:val="00D0623A"/>
    <w:rsid w:val="00D07F06"/>
    <w:rsid w:val="00D12EF4"/>
    <w:rsid w:val="00D206E8"/>
    <w:rsid w:val="00D24AEF"/>
    <w:rsid w:val="00D32492"/>
    <w:rsid w:val="00D32A7D"/>
    <w:rsid w:val="00D33D48"/>
    <w:rsid w:val="00D33D79"/>
    <w:rsid w:val="00D3404D"/>
    <w:rsid w:val="00D45EB8"/>
    <w:rsid w:val="00D46E54"/>
    <w:rsid w:val="00D47934"/>
    <w:rsid w:val="00D47CB5"/>
    <w:rsid w:val="00D5247F"/>
    <w:rsid w:val="00D6160D"/>
    <w:rsid w:val="00D80397"/>
    <w:rsid w:val="00D82366"/>
    <w:rsid w:val="00D83DC5"/>
    <w:rsid w:val="00D95717"/>
    <w:rsid w:val="00DA1063"/>
    <w:rsid w:val="00DA2424"/>
    <w:rsid w:val="00DA74DF"/>
    <w:rsid w:val="00DA74F1"/>
    <w:rsid w:val="00DB29C5"/>
    <w:rsid w:val="00DB2A4E"/>
    <w:rsid w:val="00DC6F57"/>
    <w:rsid w:val="00DD48D5"/>
    <w:rsid w:val="00DD4A2D"/>
    <w:rsid w:val="00DE15A4"/>
    <w:rsid w:val="00DE2E7E"/>
    <w:rsid w:val="00DE5B17"/>
    <w:rsid w:val="00DF5676"/>
    <w:rsid w:val="00DF7A33"/>
    <w:rsid w:val="00E0064D"/>
    <w:rsid w:val="00E06311"/>
    <w:rsid w:val="00E175A9"/>
    <w:rsid w:val="00E22AF7"/>
    <w:rsid w:val="00E2431C"/>
    <w:rsid w:val="00E3270E"/>
    <w:rsid w:val="00E40A48"/>
    <w:rsid w:val="00E6572C"/>
    <w:rsid w:val="00E72D19"/>
    <w:rsid w:val="00E7333F"/>
    <w:rsid w:val="00E73E5A"/>
    <w:rsid w:val="00E7475C"/>
    <w:rsid w:val="00E76B3A"/>
    <w:rsid w:val="00E77AC9"/>
    <w:rsid w:val="00E91080"/>
    <w:rsid w:val="00E95A45"/>
    <w:rsid w:val="00E960B7"/>
    <w:rsid w:val="00EA0990"/>
    <w:rsid w:val="00EA32C5"/>
    <w:rsid w:val="00EB6907"/>
    <w:rsid w:val="00EB6C16"/>
    <w:rsid w:val="00EC09FF"/>
    <w:rsid w:val="00EC2C1B"/>
    <w:rsid w:val="00EC42D1"/>
    <w:rsid w:val="00EC75D6"/>
    <w:rsid w:val="00EC763B"/>
    <w:rsid w:val="00ED2B23"/>
    <w:rsid w:val="00ED34F0"/>
    <w:rsid w:val="00ED4839"/>
    <w:rsid w:val="00ED7023"/>
    <w:rsid w:val="00EF116E"/>
    <w:rsid w:val="00EF254A"/>
    <w:rsid w:val="00EF33FF"/>
    <w:rsid w:val="00EF398E"/>
    <w:rsid w:val="00EF67A7"/>
    <w:rsid w:val="00F0047B"/>
    <w:rsid w:val="00F00864"/>
    <w:rsid w:val="00F10D5B"/>
    <w:rsid w:val="00F147A0"/>
    <w:rsid w:val="00F23429"/>
    <w:rsid w:val="00F2484D"/>
    <w:rsid w:val="00F306B4"/>
    <w:rsid w:val="00F33E1E"/>
    <w:rsid w:val="00F375B4"/>
    <w:rsid w:val="00F44D16"/>
    <w:rsid w:val="00F45CE4"/>
    <w:rsid w:val="00F67A83"/>
    <w:rsid w:val="00F73B72"/>
    <w:rsid w:val="00F74938"/>
    <w:rsid w:val="00F769C0"/>
    <w:rsid w:val="00F76B51"/>
    <w:rsid w:val="00F77C1B"/>
    <w:rsid w:val="00F827A4"/>
    <w:rsid w:val="00F85853"/>
    <w:rsid w:val="00F9374C"/>
    <w:rsid w:val="00F97B4E"/>
    <w:rsid w:val="00FA112A"/>
    <w:rsid w:val="00FA5442"/>
    <w:rsid w:val="00FA581E"/>
    <w:rsid w:val="00FA64C1"/>
    <w:rsid w:val="00FB048F"/>
    <w:rsid w:val="00FB23EC"/>
    <w:rsid w:val="00FB269D"/>
    <w:rsid w:val="00FB3EB8"/>
    <w:rsid w:val="00FB60E8"/>
    <w:rsid w:val="00FB64A8"/>
    <w:rsid w:val="00FC3E19"/>
    <w:rsid w:val="00FC4BD2"/>
    <w:rsid w:val="00FE0BE9"/>
    <w:rsid w:val="00FE1A91"/>
    <w:rsid w:val="00FE576A"/>
    <w:rsid w:val="00FF58EA"/>
    <w:rsid w:val="00FF5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EAC180E-853C-4598-870D-2F6ED46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2B14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B146F"/>
    <w:pPr>
      <w:widowControl w:val="0"/>
      <w:autoSpaceDE w:val="0"/>
      <w:autoSpaceDN w:val="0"/>
      <w:spacing w:line="256" w:lineRule="exact"/>
    </w:pPr>
    <w:rPr>
      <w:rFonts w:ascii="Times New Roman" w:hAnsi="Times New Roman"/>
      <w:sz w:val="22"/>
      <w:szCs w:val="22"/>
      <w:lang w:bidi="de-DE"/>
    </w:rPr>
  </w:style>
  <w:style w:type="character" w:customStyle="1" w:styleId="hgkelc">
    <w:name w:val="hgkelc"/>
    <w:basedOn w:val="Absatz-Standardschriftart"/>
    <w:rsid w:val="00190CE9"/>
  </w:style>
  <w:style w:type="paragraph" w:styleId="Funotentext">
    <w:name w:val="footnote text"/>
    <w:basedOn w:val="Standard"/>
    <w:link w:val="FunotentextZchn"/>
    <w:uiPriority w:val="99"/>
    <w:semiHidden/>
    <w:unhideWhenUsed/>
    <w:rsid w:val="00C14552"/>
    <w:rPr>
      <w:szCs w:val="20"/>
    </w:rPr>
  </w:style>
  <w:style w:type="character" w:customStyle="1" w:styleId="FunotentextZchn">
    <w:name w:val="Fußnotentext Zchn"/>
    <w:basedOn w:val="Absatz-Standardschriftart"/>
    <w:link w:val="Funotentext"/>
    <w:uiPriority w:val="99"/>
    <w:semiHidden/>
    <w:rsid w:val="00C14552"/>
    <w:rPr>
      <w:rFonts w:ascii="Arial" w:hAnsi="Arial"/>
    </w:rPr>
  </w:style>
  <w:style w:type="character" w:styleId="Funotenzeichen">
    <w:name w:val="footnote reference"/>
    <w:basedOn w:val="Absatz-Standardschriftart"/>
    <w:uiPriority w:val="99"/>
    <w:semiHidden/>
    <w:unhideWhenUsed/>
    <w:rsid w:val="00C14552"/>
    <w:rPr>
      <w:vertAlign w:val="superscript"/>
    </w:rPr>
  </w:style>
  <w:style w:type="character" w:styleId="Hervorhebung">
    <w:name w:val="Emphasis"/>
    <w:basedOn w:val="Absatz-Standardschriftart"/>
    <w:uiPriority w:val="20"/>
    <w:qFormat/>
    <w:rsid w:val="00765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1298">
      <w:bodyDiv w:val="1"/>
      <w:marLeft w:val="0"/>
      <w:marRight w:val="0"/>
      <w:marTop w:val="0"/>
      <w:marBottom w:val="0"/>
      <w:divBdr>
        <w:top w:val="none" w:sz="0" w:space="0" w:color="auto"/>
        <w:left w:val="none" w:sz="0" w:space="0" w:color="auto"/>
        <w:bottom w:val="none" w:sz="0" w:space="0" w:color="auto"/>
        <w:right w:val="none" w:sz="0" w:space="0" w:color="auto"/>
      </w:divBdr>
    </w:div>
    <w:div w:id="916331644">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4000/0000014265_Aures_ANL.pdf" TargetMode="External"/><Relationship Id="rId18" Type="http://schemas.openxmlformats.org/officeDocument/2006/relationships/hyperlink" Target="https://www.bayern.landtag.de/www/ElanTextAblage_WP18/Drucksachen/Basisdrucksachen/0000014000/0000014265_Fehlner_ANL_1.pd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4000/0000014265_Schwamberger_ANL.pdf" TargetMode="Externa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4000/0000014265_K&#246;hler_ANL.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4000/0000014265_Deisenhofer_ANL.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4000/0000014265_Fehlner_ANL_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4000/0000014265_Hayn_ANL.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ieatlas.bayern.de/thema_wasser/potenzial/modernisierung.html" TargetMode="External"/><Relationship Id="rId2" Type="http://schemas.openxmlformats.org/officeDocument/2006/relationships/hyperlink" Target="https://www.stmb.bayern.de/med/pressemitteilungen/pressearchiv/2021/51/index.php" TargetMode="External"/><Relationship Id="rId1" Type="http://schemas.openxmlformats.org/officeDocument/2006/relationships/hyperlink" Target="https://dserver.bundestag.de/btd/20/011/2001164.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27ED-5169-48CD-BE14-776A3780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20461</Words>
  <Characters>142009</Characters>
  <Application>Microsoft Office Word</Application>
  <DocSecurity>8</DocSecurity>
  <Lines>3712</Lines>
  <Paragraphs>1631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18/22770</dc:title>
  <dc:creator>Schneider, Devin (Bay. Landtag)</dc:creator>
  <cp:lastModifiedBy>Schneider, Devin (Bay. Landtag)</cp:lastModifiedBy>
  <cp:revision>4</cp:revision>
  <cp:lastPrinted>2006-11-23T10:15:00Z</cp:lastPrinted>
  <dcterms:created xsi:type="dcterms:W3CDTF">2022-05-18T12:48:00Z</dcterms:created>
  <dcterms:modified xsi:type="dcterms:W3CDTF">2022-05-18T12:48:00Z</dcterms:modified>
</cp:coreProperties>
</file>