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F774D5">
        <w:rPr>
          <w:b/>
        </w:rPr>
        <w:t>zur Plenarsitzung am 16.03.2021</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7E0861" w:rsidP="007E0861">
            <w:pPr>
              <w:pStyle w:val="LTVerzDerFragenden"/>
            </w:pPr>
            <w:bookmarkStart w:id="0" w:name="VerzeichnisDerFragenden"/>
            <w:bookmarkEnd w:id="0"/>
            <w:r>
              <w:t>Adelt, Klaus (SPD)</w:t>
            </w:r>
          </w:p>
        </w:tc>
      </w:tr>
      <w:tr w:rsidR="007E0861" w:rsidRPr="005833DD" w:rsidTr="001F3CDA">
        <w:tc>
          <w:tcPr>
            <w:tcW w:w="5000" w:type="pct"/>
          </w:tcPr>
          <w:p w:rsidR="007E0861" w:rsidRDefault="00982BA0" w:rsidP="00407887">
            <w:pPr>
              <w:pStyle w:val="LTVerzDerFragendenFrage"/>
            </w:pPr>
            <w:hyperlink w:anchor="Frage_Nr_24" w:tooltip="Frage Nr 24" w:history="1">
              <w:r w:rsidR="007E0861">
                <w:rPr>
                  <w:rStyle w:val="Hyperlink"/>
                  <w:szCs w:val="24"/>
                </w:rPr>
                <w:t>Digitale Dorfläden</w:t>
              </w:r>
              <w:r w:rsidR="007E0861">
                <w:rPr>
                  <w:rStyle w:val="Hyperlink"/>
                  <w:szCs w:val="24"/>
                </w:rPr>
                <w:tab/>
                <w:t>2</w:t>
              </w:r>
            </w:hyperlink>
            <w:r w:rsidR="00407887">
              <w:rPr>
                <w:rStyle w:val="Hyperlink"/>
                <w:szCs w:val="24"/>
              </w:rPr>
              <w:t>5</w:t>
            </w:r>
          </w:p>
        </w:tc>
      </w:tr>
      <w:tr w:rsidR="007E0861" w:rsidRPr="005833DD" w:rsidTr="001F3CDA">
        <w:tc>
          <w:tcPr>
            <w:tcW w:w="5000" w:type="pct"/>
          </w:tcPr>
          <w:p w:rsidR="007E0861" w:rsidRDefault="007E0861" w:rsidP="007E0861">
            <w:pPr>
              <w:pStyle w:val="LTVerzDerFragenden"/>
            </w:pPr>
            <w:r>
              <w:t>Adjei, Benjamin (BÜNDNIS 90/DIE GRÜNEN)</w:t>
            </w:r>
          </w:p>
        </w:tc>
      </w:tr>
      <w:tr w:rsidR="007E0861" w:rsidRPr="005833DD" w:rsidTr="001F3CDA">
        <w:tc>
          <w:tcPr>
            <w:tcW w:w="5000" w:type="pct"/>
          </w:tcPr>
          <w:p w:rsidR="007E0861" w:rsidRDefault="00982BA0" w:rsidP="00407887">
            <w:pPr>
              <w:pStyle w:val="LTVerzDerFragendenFrage"/>
            </w:pPr>
            <w:hyperlink w:anchor="Frage_Nr_47" w:tooltip="Frage Nr 47" w:history="1">
              <w:r w:rsidR="00AC6C23">
                <w:rPr>
                  <w:rStyle w:val="Hyperlink"/>
                  <w:szCs w:val="24"/>
                </w:rPr>
                <w:t>Nutzung des D</w:t>
              </w:r>
              <w:r w:rsidR="007E0861">
                <w:rPr>
                  <w:rStyle w:val="Hyperlink"/>
                  <w:szCs w:val="24"/>
                </w:rPr>
                <w:t>igitalen Impfquotenmonitorings (DIM) zur digitalen Übermittlung der Impfzahlen an das R</w:t>
              </w:r>
              <w:r w:rsidR="00102307">
                <w:rPr>
                  <w:rStyle w:val="Hyperlink"/>
                  <w:szCs w:val="24"/>
                </w:rPr>
                <w:t>obert Koch-Institut</w:t>
              </w:r>
              <w:r w:rsidR="007E0861">
                <w:rPr>
                  <w:rStyle w:val="Hyperlink"/>
                  <w:szCs w:val="24"/>
                </w:rPr>
                <w:tab/>
                <w:t>4</w:t>
              </w:r>
            </w:hyperlink>
            <w:r w:rsidR="00407887">
              <w:rPr>
                <w:rStyle w:val="Hyperlink"/>
                <w:szCs w:val="24"/>
              </w:rPr>
              <w:t>8</w:t>
            </w:r>
          </w:p>
        </w:tc>
      </w:tr>
      <w:tr w:rsidR="007E0861" w:rsidRPr="005833DD" w:rsidTr="001F3CDA">
        <w:tc>
          <w:tcPr>
            <w:tcW w:w="5000" w:type="pct"/>
          </w:tcPr>
          <w:p w:rsidR="007E0861" w:rsidRDefault="007E0861" w:rsidP="007E0861">
            <w:pPr>
              <w:pStyle w:val="LTVerzDerFragenden"/>
            </w:pPr>
            <w:r>
              <w:t>Arnold, Horst (SPD)</w:t>
            </w:r>
          </w:p>
        </w:tc>
      </w:tr>
      <w:tr w:rsidR="007E0861" w:rsidRPr="005833DD" w:rsidTr="001F3CDA">
        <w:tc>
          <w:tcPr>
            <w:tcW w:w="5000" w:type="pct"/>
          </w:tcPr>
          <w:p w:rsidR="007E0861" w:rsidRDefault="00982BA0" w:rsidP="00407887">
            <w:pPr>
              <w:pStyle w:val="LTVerzDerFragendenFrage"/>
            </w:pPr>
            <w:hyperlink w:anchor="Frage_Nr_25" w:tooltip="Frage Nr 25" w:history="1">
              <w:r w:rsidR="007E0861">
                <w:rPr>
                  <w:rStyle w:val="Hyperlink"/>
                  <w:szCs w:val="24"/>
                </w:rPr>
                <w:t>Förderung von Unternehmen und Einrichtungen im Rahmen der Bayerischen Corona-Therapiestrategie</w:t>
              </w:r>
              <w:r w:rsidR="007E0861">
                <w:rPr>
                  <w:rStyle w:val="Hyperlink"/>
                  <w:szCs w:val="24"/>
                </w:rPr>
                <w:tab/>
                <w:t>2</w:t>
              </w:r>
            </w:hyperlink>
            <w:r w:rsidR="00407887">
              <w:rPr>
                <w:rStyle w:val="Hyperlink"/>
                <w:szCs w:val="24"/>
              </w:rPr>
              <w:t>6</w:t>
            </w:r>
          </w:p>
        </w:tc>
      </w:tr>
      <w:tr w:rsidR="007E0861" w:rsidRPr="005833DD" w:rsidTr="001F3CDA">
        <w:tc>
          <w:tcPr>
            <w:tcW w:w="5000" w:type="pct"/>
          </w:tcPr>
          <w:p w:rsidR="007E0861" w:rsidRDefault="007E0861" w:rsidP="007E0861">
            <w:pPr>
              <w:pStyle w:val="LTVerzDerFragenden"/>
            </w:pPr>
            <w:r>
              <w:t>Aures, Inge (SPD)</w:t>
            </w:r>
          </w:p>
        </w:tc>
      </w:tr>
      <w:tr w:rsidR="007E0861" w:rsidRPr="005833DD" w:rsidTr="001F3CDA">
        <w:tc>
          <w:tcPr>
            <w:tcW w:w="5000" w:type="pct"/>
          </w:tcPr>
          <w:p w:rsidR="007E0861" w:rsidRDefault="00982BA0" w:rsidP="00407887">
            <w:pPr>
              <w:pStyle w:val="LTVerzDerFragendenFrage"/>
            </w:pPr>
            <w:hyperlink w:anchor="Frage_Nr_36" w:tooltip="Frage Nr 36" w:history="1">
              <w:r w:rsidR="007E0861">
                <w:rPr>
                  <w:rStyle w:val="Hyperlink"/>
                  <w:szCs w:val="24"/>
                </w:rPr>
                <w:t xml:space="preserve">Trinkwasserschutz Wasserschutzgebiet </w:t>
              </w:r>
              <w:r w:rsidR="00102307">
                <w:rPr>
                  <w:rStyle w:val="Hyperlink"/>
                  <w:szCs w:val="24"/>
                </w:rPr>
                <w:t>„</w:t>
              </w:r>
              <w:r w:rsidR="007E0861">
                <w:rPr>
                  <w:rStyle w:val="Hyperlink"/>
                  <w:szCs w:val="24"/>
                </w:rPr>
                <w:t>Zeller Quellen</w:t>
              </w:r>
              <w:r w:rsidR="00102307">
                <w:rPr>
                  <w:rStyle w:val="Hyperlink"/>
                  <w:szCs w:val="24"/>
                </w:rPr>
                <w:t>“</w:t>
              </w:r>
              <w:r w:rsidR="007E0861">
                <w:rPr>
                  <w:rStyle w:val="Hyperlink"/>
                  <w:szCs w:val="24"/>
                </w:rPr>
                <w:t xml:space="preserve"> bei Würzburg</w:t>
              </w:r>
              <w:r w:rsidR="007E0861">
                <w:rPr>
                  <w:rStyle w:val="Hyperlink"/>
                  <w:szCs w:val="24"/>
                </w:rPr>
                <w:tab/>
                <w:t>3</w:t>
              </w:r>
            </w:hyperlink>
            <w:r w:rsidR="00407887">
              <w:rPr>
                <w:rStyle w:val="Hyperlink"/>
                <w:szCs w:val="24"/>
              </w:rPr>
              <w:t>7</w:t>
            </w:r>
          </w:p>
        </w:tc>
      </w:tr>
      <w:tr w:rsidR="007E0861" w:rsidRPr="005833DD" w:rsidTr="001F3CDA">
        <w:tc>
          <w:tcPr>
            <w:tcW w:w="5000" w:type="pct"/>
          </w:tcPr>
          <w:p w:rsidR="007E0861" w:rsidRDefault="007E0861" w:rsidP="007E0861">
            <w:pPr>
              <w:pStyle w:val="LTVerzDerFragenden"/>
            </w:pPr>
            <w:r>
              <w:t>Becher, Johannes (BÜNDNIS 90/DIE GRÜNEN)</w:t>
            </w:r>
          </w:p>
        </w:tc>
      </w:tr>
      <w:tr w:rsidR="007E0861" w:rsidRPr="005833DD" w:rsidTr="001F3CDA">
        <w:tc>
          <w:tcPr>
            <w:tcW w:w="5000" w:type="pct"/>
          </w:tcPr>
          <w:p w:rsidR="007E0861" w:rsidRDefault="00982BA0" w:rsidP="00407887">
            <w:pPr>
              <w:pStyle w:val="LTVerzDerFragendenFrage"/>
            </w:pPr>
            <w:hyperlink w:anchor="Frage_Nr_48" w:tooltip="Frage Nr 48" w:history="1">
              <w:r w:rsidR="007E0861">
                <w:rPr>
                  <w:rStyle w:val="Hyperlink"/>
                  <w:szCs w:val="24"/>
                </w:rPr>
                <w:t>Pandemiebeschaffungsgeschäfte durch bayerische MdL</w:t>
              </w:r>
              <w:r w:rsidR="007E0861">
                <w:rPr>
                  <w:rStyle w:val="Hyperlink"/>
                  <w:szCs w:val="24"/>
                </w:rPr>
                <w:tab/>
                <w:t>4</w:t>
              </w:r>
            </w:hyperlink>
            <w:r w:rsidR="00407887">
              <w:rPr>
                <w:rStyle w:val="Hyperlink"/>
                <w:szCs w:val="24"/>
              </w:rPr>
              <w:t>9</w:t>
            </w:r>
          </w:p>
        </w:tc>
      </w:tr>
      <w:tr w:rsidR="007E0861" w:rsidRPr="005833DD" w:rsidTr="001F3CDA">
        <w:tc>
          <w:tcPr>
            <w:tcW w:w="5000" w:type="pct"/>
          </w:tcPr>
          <w:p w:rsidR="007E0861" w:rsidRDefault="007E0861" w:rsidP="007E0861">
            <w:pPr>
              <w:pStyle w:val="LTVerzDerFragenden"/>
            </w:pPr>
            <w:r>
              <w:t>Bergmüller, Franz (AfD)</w:t>
            </w:r>
          </w:p>
        </w:tc>
      </w:tr>
      <w:tr w:rsidR="007E0861" w:rsidRPr="005833DD" w:rsidTr="001F3CDA">
        <w:tc>
          <w:tcPr>
            <w:tcW w:w="5000" w:type="pct"/>
          </w:tcPr>
          <w:p w:rsidR="007E0861" w:rsidRDefault="00982BA0" w:rsidP="00407887">
            <w:pPr>
              <w:pStyle w:val="LTVerzDerFragendenFrage"/>
            </w:pPr>
            <w:hyperlink w:anchor="Frage_Nr_49" w:tooltip="Frage Nr 49" w:history="1">
              <w:r w:rsidR="007E0861">
                <w:rPr>
                  <w:rStyle w:val="Hyperlink"/>
                  <w:szCs w:val="24"/>
                </w:rPr>
                <w:t>Die Kritik des ehemaligen Präsidenten des Bundesverfassungsgerichts an den Grundrechtseinschränkungen auch durch die Staatsregierung</w:t>
              </w:r>
              <w:r w:rsidR="007E0861">
                <w:rPr>
                  <w:rStyle w:val="Hyperlink"/>
                  <w:szCs w:val="24"/>
                </w:rPr>
                <w:tab/>
              </w:r>
            </w:hyperlink>
            <w:r w:rsidR="00407887">
              <w:rPr>
                <w:rStyle w:val="Hyperlink"/>
                <w:szCs w:val="24"/>
              </w:rPr>
              <w:t>50</w:t>
            </w:r>
          </w:p>
        </w:tc>
      </w:tr>
      <w:tr w:rsidR="007E0861" w:rsidRPr="005833DD" w:rsidTr="001F3CDA">
        <w:tc>
          <w:tcPr>
            <w:tcW w:w="5000" w:type="pct"/>
          </w:tcPr>
          <w:p w:rsidR="007E0861" w:rsidRDefault="00434496" w:rsidP="007E0861">
            <w:pPr>
              <w:pStyle w:val="LTVerzDerFragenden"/>
            </w:pPr>
            <w:r>
              <w:t>Bozo</w:t>
            </w:r>
            <w:r>
              <w:rPr>
                <w:rFonts w:cs="Arial"/>
              </w:rPr>
              <w:t>ğ</w:t>
            </w:r>
            <w:r w:rsidR="007E0861">
              <w:t>lu, Cemal (BÜNDNIS 90/DIE GRÜNEN)</w:t>
            </w:r>
          </w:p>
        </w:tc>
      </w:tr>
      <w:tr w:rsidR="007E0861" w:rsidRPr="005833DD" w:rsidTr="001F3CDA">
        <w:tc>
          <w:tcPr>
            <w:tcW w:w="5000" w:type="pct"/>
          </w:tcPr>
          <w:p w:rsidR="007E0861" w:rsidRDefault="00982BA0" w:rsidP="00AC6C23">
            <w:pPr>
              <w:pStyle w:val="LTVerzDerFragendenFrage"/>
            </w:pPr>
            <w:hyperlink w:anchor="Frage_Nr_26" w:tooltip="Frage Nr 26" w:history="1">
              <w:r w:rsidR="007E0861">
                <w:rPr>
                  <w:rStyle w:val="Hyperlink"/>
                  <w:szCs w:val="24"/>
                </w:rPr>
                <w:t xml:space="preserve">Förderung des </w:t>
              </w:r>
              <w:r w:rsidR="00AC6C23">
                <w:rPr>
                  <w:rStyle w:val="Hyperlink"/>
                  <w:szCs w:val="24"/>
                </w:rPr>
                <w:t>Cleantech-Industrieparks</w:t>
              </w:r>
              <w:r w:rsidR="007E0861">
                <w:rPr>
                  <w:rStyle w:val="Hyperlink"/>
                  <w:szCs w:val="24"/>
                </w:rPr>
                <w:t xml:space="preserve"> in Bamberg/Hallstadt sowie des </w:t>
              </w:r>
              <w:r w:rsidR="00434496">
                <w:rPr>
                  <w:rStyle w:val="Hyperlink"/>
                  <w:szCs w:val="24"/>
                </w:rPr>
                <w:br/>
              </w:r>
              <w:r w:rsidR="007E0861">
                <w:rPr>
                  <w:rStyle w:val="Hyperlink"/>
                  <w:szCs w:val="24"/>
                </w:rPr>
                <w:t>Wasserstoffclusters in der Metropolregion Nürnberg</w:t>
              </w:r>
              <w:r w:rsidR="007E0861">
                <w:rPr>
                  <w:rStyle w:val="Hyperlink"/>
                  <w:szCs w:val="24"/>
                </w:rPr>
                <w:tab/>
                <w:t>2</w:t>
              </w:r>
            </w:hyperlink>
            <w:r w:rsidR="00407887">
              <w:rPr>
                <w:rStyle w:val="Hyperlink"/>
                <w:szCs w:val="24"/>
              </w:rPr>
              <w:t>7</w:t>
            </w:r>
          </w:p>
        </w:tc>
      </w:tr>
      <w:tr w:rsidR="007E0861" w:rsidRPr="005833DD" w:rsidTr="001F3CDA">
        <w:tc>
          <w:tcPr>
            <w:tcW w:w="5000" w:type="pct"/>
          </w:tcPr>
          <w:p w:rsidR="007E0861" w:rsidRDefault="00434496" w:rsidP="007E0861">
            <w:pPr>
              <w:pStyle w:val="LTVerzDerFragenden"/>
            </w:pPr>
            <w:r>
              <w:t xml:space="preserve">von </w:t>
            </w:r>
            <w:r w:rsidR="007E0861">
              <w:t>Brunn, Florian (SPD)</w:t>
            </w:r>
          </w:p>
        </w:tc>
      </w:tr>
      <w:tr w:rsidR="007E0861" w:rsidRPr="005833DD" w:rsidTr="001F3CDA">
        <w:tc>
          <w:tcPr>
            <w:tcW w:w="5000" w:type="pct"/>
          </w:tcPr>
          <w:p w:rsidR="007E0861" w:rsidRDefault="00982BA0" w:rsidP="00407887">
            <w:pPr>
              <w:pStyle w:val="LTVerzDerFragendenFrage"/>
            </w:pPr>
            <w:hyperlink w:anchor="Frage_Nr_27" w:tooltip="Frage Nr 27" w:history="1">
              <w:r w:rsidR="007E0861">
                <w:rPr>
                  <w:rStyle w:val="Hyperlink"/>
                  <w:szCs w:val="24"/>
                </w:rPr>
                <w:t>Beschaffung von Masken bei der Firma Zettl</w:t>
              </w:r>
              <w:r w:rsidR="007E0861">
                <w:rPr>
                  <w:rStyle w:val="Hyperlink"/>
                  <w:szCs w:val="24"/>
                </w:rPr>
                <w:tab/>
                <w:t>2</w:t>
              </w:r>
            </w:hyperlink>
            <w:r w:rsidR="00407887">
              <w:rPr>
                <w:rStyle w:val="Hyperlink"/>
                <w:szCs w:val="24"/>
              </w:rPr>
              <w:t>8</w:t>
            </w:r>
          </w:p>
        </w:tc>
      </w:tr>
      <w:tr w:rsidR="007E0861" w:rsidRPr="005833DD" w:rsidTr="001F3CDA">
        <w:tc>
          <w:tcPr>
            <w:tcW w:w="5000" w:type="pct"/>
          </w:tcPr>
          <w:p w:rsidR="007E0861" w:rsidRDefault="007E0861" w:rsidP="007E0861">
            <w:pPr>
              <w:pStyle w:val="LTVerzDerFragenden"/>
            </w:pPr>
            <w:r>
              <w:t>Dr. Büchler, Markus (BÜNDNIS 90/DIE GRÜNEN)</w:t>
            </w:r>
          </w:p>
        </w:tc>
      </w:tr>
      <w:tr w:rsidR="007E0861" w:rsidRPr="005833DD" w:rsidTr="001F3CDA">
        <w:tc>
          <w:tcPr>
            <w:tcW w:w="5000" w:type="pct"/>
          </w:tcPr>
          <w:p w:rsidR="007E0861" w:rsidRDefault="00982BA0" w:rsidP="007E0861">
            <w:pPr>
              <w:pStyle w:val="LTVerzDerFragendenFrage"/>
            </w:pPr>
            <w:hyperlink w:anchor="Frage_Nr_5" w:tooltip="Frage Nr 5" w:history="1">
              <w:r w:rsidR="007E0861">
                <w:rPr>
                  <w:rStyle w:val="Hyperlink"/>
                  <w:szCs w:val="24"/>
                </w:rPr>
                <w:t xml:space="preserve">Beihilferechtskonforme Ausgestaltung des Corona-Rettungsschirms für den </w:t>
              </w:r>
              <w:r w:rsidR="00434496">
                <w:rPr>
                  <w:rStyle w:val="Hyperlink"/>
                  <w:szCs w:val="24"/>
                </w:rPr>
                <w:br/>
              </w:r>
              <w:r w:rsidR="007E0861">
                <w:rPr>
                  <w:rStyle w:val="Hyperlink"/>
                  <w:szCs w:val="24"/>
                </w:rPr>
                <w:t>bayerischen ÖPNV</w:t>
              </w:r>
              <w:r w:rsidR="007E0861">
                <w:rPr>
                  <w:rStyle w:val="Hyperlink"/>
                  <w:szCs w:val="24"/>
                </w:rPr>
                <w:tab/>
                <w:t>5</w:t>
              </w:r>
            </w:hyperlink>
          </w:p>
        </w:tc>
      </w:tr>
      <w:tr w:rsidR="007E0861" w:rsidRPr="005833DD" w:rsidTr="001F3CDA">
        <w:tc>
          <w:tcPr>
            <w:tcW w:w="5000" w:type="pct"/>
          </w:tcPr>
          <w:p w:rsidR="007E0861" w:rsidRDefault="007E0861" w:rsidP="007E0861">
            <w:pPr>
              <w:pStyle w:val="LTVerzDerFragenden"/>
            </w:pPr>
            <w:r>
              <w:t>Celina, Kerstin (BÜNDNIS 90/DIE GRÜNEN)</w:t>
            </w:r>
          </w:p>
        </w:tc>
      </w:tr>
      <w:tr w:rsidR="007E0861" w:rsidRPr="005833DD" w:rsidTr="001F3CDA">
        <w:tc>
          <w:tcPr>
            <w:tcW w:w="5000" w:type="pct"/>
          </w:tcPr>
          <w:p w:rsidR="007E0861" w:rsidRDefault="00982BA0" w:rsidP="00BD3199">
            <w:pPr>
              <w:pStyle w:val="LTVerzDerFragendenFrage"/>
            </w:pPr>
            <w:hyperlink w:anchor="Frage_Nr_50" w:tooltip="Frage Nr 50" w:history="1">
              <w:r w:rsidR="007E0861">
                <w:rPr>
                  <w:rStyle w:val="Hyperlink"/>
                  <w:szCs w:val="24"/>
                </w:rPr>
                <w:t>Pandemiebedingte Beschaffungsverträge bayerischer Ministerien</w:t>
              </w:r>
              <w:r w:rsidR="007E0861">
                <w:rPr>
                  <w:rStyle w:val="Hyperlink"/>
                  <w:szCs w:val="24"/>
                </w:rPr>
                <w:tab/>
                <w:t>5</w:t>
              </w:r>
            </w:hyperlink>
            <w:r w:rsidR="00BD3199">
              <w:rPr>
                <w:rStyle w:val="Hyperlink"/>
                <w:szCs w:val="24"/>
              </w:rPr>
              <w:t>1</w:t>
            </w:r>
          </w:p>
        </w:tc>
      </w:tr>
      <w:tr w:rsidR="007E0861" w:rsidRPr="005833DD" w:rsidTr="001F3CDA">
        <w:tc>
          <w:tcPr>
            <w:tcW w:w="5000" w:type="pct"/>
          </w:tcPr>
          <w:p w:rsidR="007E0861" w:rsidRDefault="007E0861" w:rsidP="007E0861">
            <w:pPr>
              <w:pStyle w:val="LTVerzDerFragenden"/>
            </w:pPr>
            <w:r>
              <w:t>Deisenhofer, Maximilian (BÜNDNIS 90/DIE GRÜNEN)</w:t>
            </w:r>
          </w:p>
        </w:tc>
      </w:tr>
      <w:tr w:rsidR="007E0861" w:rsidRPr="005833DD" w:rsidTr="001F3CDA">
        <w:tc>
          <w:tcPr>
            <w:tcW w:w="5000" w:type="pct"/>
          </w:tcPr>
          <w:p w:rsidR="007E0861" w:rsidRDefault="00982BA0" w:rsidP="007E0861">
            <w:pPr>
              <w:pStyle w:val="LTVerzDerFragendenFrage"/>
            </w:pPr>
            <w:hyperlink w:anchor="Frage_Nr_12" w:tooltip="Frage Nr 12" w:history="1">
              <w:r w:rsidR="007E0861">
                <w:rPr>
                  <w:rStyle w:val="Hyperlink"/>
                  <w:szCs w:val="24"/>
                </w:rPr>
                <w:t>Rahmenbedingungen Schulöffnung 15.03.2021</w:t>
              </w:r>
              <w:r w:rsidR="007E0861">
                <w:rPr>
                  <w:rStyle w:val="Hyperlink"/>
                  <w:szCs w:val="24"/>
                </w:rPr>
                <w:tab/>
                <w:t>12</w:t>
              </w:r>
            </w:hyperlink>
          </w:p>
        </w:tc>
      </w:tr>
      <w:tr w:rsidR="007E0861" w:rsidRPr="005833DD" w:rsidTr="001F3CDA">
        <w:tc>
          <w:tcPr>
            <w:tcW w:w="5000" w:type="pct"/>
          </w:tcPr>
          <w:p w:rsidR="007E0861" w:rsidRDefault="007E0861" w:rsidP="007E0861">
            <w:pPr>
              <w:pStyle w:val="LTVerzDerFragenden"/>
            </w:pPr>
            <w:r>
              <w:t>Demirel, Gülseren (BÜNDNIS 90/DIE GRÜNEN)</w:t>
            </w:r>
          </w:p>
        </w:tc>
      </w:tr>
      <w:tr w:rsidR="007E0861" w:rsidRPr="005833DD" w:rsidTr="001F3CDA">
        <w:tc>
          <w:tcPr>
            <w:tcW w:w="5000" w:type="pct"/>
          </w:tcPr>
          <w:p w:rsidR="007E0861" w:rsidRDefault="00982BA0" w:rsidP="00BD3199">
            <w:pPr>
              <w:pStyle w:val="LTVerzDerFragendenFrage"/>
            </w:pPr>
            <w:hyperlink w:anchor="Frage_Nr_51" w:tooltip="Frage Nr 51" w:history="1">
              <w:r w:rsidR="007E0861">
                <w:rPr>
                  <w:rStyle w:val="Hyperlink"/>
                  <w:szCs w:val="24"/>
                </w:rPr>
                <w:t xml:space="preserve">Vertragsverhältnisse der bayerischen Ministerien oder nachgelagerter </w:t>
              </w:r>
              <w:r w:rsidR="00434496">
                <w:rPr>
                  <w:rStyle w:val="Hyperlink"/>
                  <w:szCs w:val="24"/>
                </w:rPr>
                <w:br/>
              </w:r>
              <w:r w:rsidR="007E0861">
                <w:rPr>
                  <w:rStyle w:val="Hyperlink"/>
                  <w:szCs w:val="24"/>
                </w:rPr>
                <w:t>Behörden im Rahmen der Pandemiebeschaffung</w:t>
              </w:r>
              <w:r w:rsidR="007E0861">
                <w:rPr>
                  <w:rStyle w:val="Hyperlink"/>
                  <w:szCs w:val="24"/>
                </w:rPr>
                <w:tab/>
                <w:t>5</w:t>
              </w:r>
            </w:hyperlink>
            <w:r w:rsidR="00BD3199">
              <w:rPr>
                <w:rStyle w:val="Hyperlink"/>
                <w:szCs w:val="24"/>
              </w:rPr>
              <w:t>2</w:t>
            </w:r>
          </w:p>
        </w:tc>
      </w:tr>
      <w:tr w:rsidR="007E0861" w:rsidRPr="005833DD" w:rsidTr="001F3CDA">
        <w:tc>
          <w:tcPr>
            <w:tcW w:w="5000" w:type="pct"/>
          </w:tcPr>
          <w:p w:rsidR="007E0861" w:rsidRDefault="007E0861" w:rsidP="007E0861">
            <w:pPr>
              <w:pStyle w:val="LTVerzDerFragenden"/>
            </w:pPr>
            <w:r>
              <w:t>Duin, Albert (FDP)</w:t>
            </w:r>
          </w:p>
        </w:tc>
      </w:tr>
      <w:tr w:rsidR="007E0861" w:rsidRPr="005833DD" w:rsidTr="001F3CDA">
        <w:tc>
          <w:tcPr>
            <w:tcW w:w="5000" w:type="pct"/>
          </w:tcPr>
          <w:p w:rsidR="007E0861" w:rsidRDefault="00982BA0" w:rsidP="00AC6C23">
            <w:pPr>
              <w:pStyle w:val="LTVerzDerFragendenFrage"/>
            </w:pPr>
            <w:hyperlink w:anchor="Frage_Nr_28" w:tooltip="Frage Nr 28" w:history="1">
              <w:r w:rsidR="007E0861">
                <w:rPr>
                  <w:rStyle w:val="Hyperlink"/>
                  <w:szCs w:val="24"/>
                </w:rPr>
                <w:t>Betrug bei Corona</w:t>
              </w:r>
              <w:r w:rsidR="00AC6C23">
                <w:rPr>
                  <w:rStyle w:val="Hyperlink"/>
                  <w:szCs w:val="24"/>
                </w:rPr>
                <w:t>-H</w:t>
              </w:r>
              <w:r w:rsidR="007E0861">
                <w:rPr>
                  <w:rStyle w:val="Hyperlink"/>
                  <w:szCs w:val="24"/>
                </w:rPr>
                <w:t>ilfen</w:t>
              </w:r>
              <w:r w:rsidR="007E0861">
                <w:rPr>
                  <w:rStyle w:val="Hyperlink"/>
                  <w:szCs w:val="24"/>
                </w:rPr>
                <w:tab/>
                <w:t>2</w:t>
              </w:r>
            </w:hyperlink>
            <w:r w:rsidR="00407887">
              <w:rPr>
                <w:rStyle w:val="Hyperlink"/>
                <w:szCs w:val="24"/>
              </w:rPr>
              <w:t>9</w:t>
            </w:r>
          </w:p>
        </w:tc>
      </w:tr>
      <w:tr w:rsidR="007E0861" w:rsidRPr="005833DD" w:rsidTr="001F3CDA">
        <w:tc>
          <w:tcPr>
            <w:tcW w:w="5000" w:type="pct"/>
          </w:tcPr>
          <w:p w:rsidR="007E0861" w:rsidRDefault="007E0861" w:rsidP="007E0861">
            <w:pPr>
              <w:pStyle w:val="LTVerzDerFragenden"/>
            </w:pPr>
            <w:r>
              <w:t>Ebner-Steiner, Katrin (AfD)</w:t>
            </w:r>
          </w:p>
        </w:tc>
      </w:tr>
      <w:tr w:rsidR="007E0861" w:rsidRPr="005833DD" w:rsidTr="001F3CDA">
        <w:tc>
          <w:tcPr>
            <w:tcW w:w="5000" w:type="pct"/>
          </w:tcPr>
          <w:p w:rsidR="007E0861" w:rsidRDefault="00982BA0" w:rsidP="00407887">
            <w:pPr>
              <w:pStyle w:val="LTVerzDerFragendenFrage"/>
            </w:pPr>
            <w:hyperlink w:anchor="Frage_Nr_29" w:tooltip="Frage Nr 29" w:history="1">
              <w:r w:rsidR="007E0861">
                <w:rPr>
                  <w:rStyle w:val="Hyperlink"/>
                  <w:szCs w:val="24"/>
                </w:rPr>
                <w:t>Fördermittel E-Mobilität</w:t>
              </w:r>
              <w:r w:rsidR="007E0861">
                <w:rPr>
                  <w:rStyle w:val="Hyperlink"/>
                  <w:szCs w:val="24"/>
                </w:rPr>
                <w:tab/>
              </w:r>
            </w:hyperlink>
            <w:r w:rsidR="00407887">
              <w:rPr>
                <w:rStyle w:val="Hyperlink"/>
                <w:szCs w:val="24"/>
              </w:rPr>
              <w:t>30</w:t>
            </w:r>
          </w:p>
        </w:tc>
      </w:tr>
      <w:tr w:rsidR="007E0861" w:rsidRPr="005833DD" w:rsidTr="001F3CDA">
        <w:tc>
          <w:tcPr>
            <w:tcW w:w="5000" w:type="pct"/>
          </w:tcPr>
          <w:p w:rsidR="007E0861" w:rsidRDefault="007E0861" w:rsidP="007E0861">
            <w:pPr>
              <w:pStyle w:val="LTVerzDerFragenden"/>
            </w:pPr>
            <w:r>
              <w:t>Fehlner, Martina (SPD)</w:t>
            </w:r>
          </w:p>
        </w:tc>
      </w:tr>
      <w:tr w:rsidR="007E0861" w:rsidRPr="005833DD" w:rsidTr="001F3CDA">
        <w:tc>
          <w:tcPr>
            <w:tcW w:w="5000" w:type="pct"/>
          </w:tcPr>
          <w:p w:rsidR="007E0861" w:rsidRDefault="00982BA0" w:rsidP="00407887">
            <w:pPr>
              <w:pStyle w:val="LTVerzDerFragendenFrage"/>
            </w:pPr>
            <w:hyperlink w:anchor="Frage_Nr_40" w:tooltip="Frage Nr 40" w:history="1">
              <w:r w:rsidR="007E0861">
                <w:rPr>
                  <w:rStyle w:val="Hyperlink"/>
                  <w:szCs w:val="24"/>
                </w:rPr>
                <w:t>Kommunalwaldpakt</w:t>
              </w:r>
              <w:r w:rsidR="007E0861">
                <w:rPr>
                  <w:rStyle w:val="Hyperlink"/>
                  <w:szCs w:val="24"/>
                </w:rPr>
                <w:tab/>
                <w:t>4</w:t>
              </w:r>
            </w:hyperlink>
            <w:r w:rsidR="00407887">
              <w:rPr>
                <w:rStyle w:val="Hyperlink"/>
                <w:szCs w:val="24"/>
              </w:rPr>
              <w:t>1</w:t>
            </w:r>
          </w:p>
        </w:tc>
      </w:tr>
      <w:tr w:rsidR="007E0861" w:rsidRPr="005833DD" w:rsidTr="001F3CDA">
        <w:tc>
          <w:tcPr>
            <w:tcW w:w="5000" w:type="pct"/>
          </w:tcPr>
          <w:p w:rsidR="007E0861" w:rsidRDefault="007E0861" w:rsidP="007E0861">
            <w:pPr>
              <w:pStyle w:val="LTVerzDerFragenden"/>
            </w:pPr>
            <w:r>
              <w:t>Fischbach, Matthias (FDP)</w:t>
            </w:r>
          </w:p>
        </w:tc>
      </w:tr>
      <w:tr w:rsidR="007E0861" w:rsidRPr="005833DD" w:rsidTr="001F3CDA">
        <w:tc>
          <w:tcPr>
            <w:tcW w:w="5000" w:type="pct"/>
          </w:tcPr>
          <w:p w:rsidR="007E0861" w:rsidRDefault="00982BA0" w:rsidP="007E0861">
            <w:pPr>
              <w:pStyle w:val="LTVerzDerFragendenFrage"/>
            </w:pPr>
            <w:hyperlink w:anchor="Frage_Nr_13" w:tooltip="Frage Nr 13" w:history="1">
              <w:r w:rsidR="007E0861">
                <w:rPr>
                  <w:rStyle w:val="Hyperlink"/>
                  <w:szCs w:val="24"/>
                </w:rPr>
                <w:t xml:space="preserve">Transparente, faire und vergleichbare Abschlussprüfungen an allen </w:t>
              </w:r>
              <w:r w:rsidR="00434496">
                <w:rPr>
                  <w:rStyle w:val="Hyperlink"/>
                  <w:szCs w:val="24"/>
                </w:rPr>
                <w:br/>
              </w:r>
              <w:r w:rsidR="007E0861">
                <w:rPr>
                  <w:rStyle w:val="Hyperlink"/>
                  <w:szCs w:val="24"/>
                </w:rPr>
                <w:t>FOS/BOS und Gymnasien</w:t>
              </w:r>
              <w:r w:rsidR="007E0861">
                <w:rPr>
                  <w:rStyle w:val="Hyperlink"/>
                  <w:szCs w:val="24"/>
                </w:rPr>
                <w:tab/>
                <w:t>13</w:t>
              </w:r>
            </w:hyperlink>
          </w:p>
        </w:tc>
      </w:tr>
      <w:tr w:rsidR="007E0861" w:rsidRPr="005833DD" w:rsidTr="001F3CDA">
        <w:tc>
          <w:tcPr>
            <w:tcW w:w="5000" w:type="pct"/>
          </w:tcPr>
          <w:p w:rsidR="007E0861" w:rsidRDefault="00982BA0" w:rsidP="00407887">
            <w:pPr>
              <w:pStyle w:val="LTVerzDerFragendenFrage"/>
            </w:pPr>
            <w:hyperlink w:anchor="Frage_Nr_22" w:tooltip="Frage Nr 22" w:history="1">
              <w:r w:rsidR="007E0861">
                <w:rPr>
                  <w:rStyle w:val="Hyperlink"/>
                  <w:szCs w:val="24"/>
                </w:rPr>
                <w:t>Verträge und Vergaben in Bayern</w:t>
              </w:r>
              <w:r w:rsidR="007E0861">
                <w:rPr>
                  <w:rStyle w:val="Hyperlink"/>
                  <w:szCs w:val="24"/>
                </w:rPr>
                <w:tab/>
                <w:t>2</w:t>
              </w:r>
            </w:hyperlink>
            <w:r w:rsidR="00407887">
              <w:rPr>
                <w:rStyle w:val="Hyperlink"/>
                <w:szCs w:val="24"/>
              </w:rPr>
              <w:t>3</w:t>
            </w:r>
          </w:p>
        </w:tc>
      </w:tr>
      <w:tr w:rsidR="007E0861" w:rsidRPr="005833DD" w:rsidTr="001F3CDA">
        <w:tc>
          <w:tcPr>
            <w:tcW w:w="5000" w:type="pct"/>
          </w:tcPr>
          <w:p w:rsidR="007E0861" w:rsidRDefault="007E0861" w:rsidP="007E0861">
            <w:pPr>
              <w:pStyle w:val="LTVerzDerFragenden"/>
            </w:pPr>
            <w:r>
              <w:t>Flisek, Christian (SPD)</w:t>
            </w:r>
          </w:p>
        </w:tc>
      </w:tr>
      <w:tr w:rsidR="007E0861" w:rsidRPr="005833DD" w:rsidTr="001F3CDA">
        <w:tc>
          <w:tcPr>
            <w:tcW w:w="5000" w:type="pct"/>
          </w:tcPr>
          <w:p w:rsidR="007E0861" w:rsidRDefault="00982BA0" w:rsidP="007E0861">
            <w:pPr>
              <w:pStyle w:val="LTVerzDerFragendenFrage"/>
            </w:pPr>
            <w:hyperlink w:anchor="Frage_Nr_16" w:tooltip="Frage Nr 16" w:history="1">
              <w:r w:rsidR="007E0861">
                <w:rPr>
                  <w:rStyle w:val="Hyperlink"/>
                  <w:szCs w:val="24"/>
                </w:rPr>
                <w:t>Studieren unter Corona-Bedingungen</w:t>
              </w:r>
              <w:r w:rsidR="007E0861">
                <w:rPr>
                  <w:rStyle w:val="Hyperlink"/>
                  <w:szCs w:val="24"/>
                </w:rPr>
                <w:tab/>
                <w:t>16</w:t>
              </w:r>
            </w:hyperlink>
          </w:p>
        </w:tc>
      </w:tr>
      <w:tr w:rsidR="007E0861" w:rsidRPr="005833DD" w:rsidTr="001F3CDA">
        <w:tc>
          <w:tcPr>
            <w:tcW w:w="5000" w:type="pct"/>
          </w:tcPr>
          <w:p w:rsidR="007E0861" w:rsidRDefault="007E0861" w:rsidP="007E0861">
            <w:pPr>
              <w:pStyle w:val="LTVerzDerFragenden"/>
            </w:pPr>
            <w:r>
              <w:t>Franke, Anne (BÜNDNIS 90/DIE GRÜNEN)</w:t>
            </w:r>
          </w:p>
        </w:tc>
      </w:tr>
      <w:tr w:rsidR="007E0861" w:rsidRPr="005833DD" w:rsidTr="001F3CDA">
        <w:tc>
          <w:tcPr>
            <w:tcW w:w="5000" w:type="pct"/>
          </w:tcPr>
          <w:p w:rsidR="007E0861" w:rsidRDefault="00982BA0" w:rsidP="00BD3199">
            <w:pPr>
              <w:pStyle w:val="LTVerzDerFragendenFrage"/>
            </w:pPr>
            <w:hyperlink w:anchor="Frage_Nr_52" w:tooltip="Frage Nr 52" w:history="1">
              <w:r w:rsidR="007E0861">
                <w:rPr>
                  <w:rStyle w:val="Hyperlink"/>
                  <w:szCs w:val="24"/>
                </w:rPr>
                <w:t>Ausgestaltung von Pandemiebeschaffungsverträgen der Staatsregierung</w:t>
              </w:r>
              <w:r w:rsidR="007E0861">
                <w:rPr>
                  <w:rStyle w:val="Hyperlink"/>
                  <w:szCs w:val="24"/>
                </w:rPr>
                <w:tab/>
                <w:t>5</w:t>
              </w:r>
            </w:hyperlink>
            <w:r w:rsidR="00BD3199">
              <w:rPr>
                <w:rStyle w:val="Hyperlink"/>
                <w:szCs w:val="24"/>
              </w:rPr>
              <w:t>3</w:t>
            </w:r>
          </w:p>
        </w:tc>
      </w:tr>
      <w:tr w:rsidR="007E0861" w:rsidRPr="005833DD" w:rsidTr="001F3CDA">
        <w:tc>
          <w:tcPr>
            <w:tcW w:w="5000" w:type="pct"/>
          </w:tcPr>
          <w:p w:rsidR="007E0861" w:rsidRDefault="007E0861" w:rsidP="007E0861">
            <w:pPr>
              <w:pStyle w:val="LTVerzDerFragenden"/>
            </w:pPr>
            <w:r>
              <w:t>Friedl, Patrick (BÜNDNIS 90/DIE GRÜNEN)</w:t>
            </w:r>
          </w:p>
        </w:tc>
      </w:tr>
      <w:tr w:rsidR="007E0861" w:rsidRPr="005833DD" w:rsidTr="001F3CDA">
        <w:tc>
          <w:tcPr>
            <w:tcW w:w="5000" w:type="pct"/>
          </w:tcPr>
          <w:p w:rsidR="007E0861" w:rsidRDefault="00982BA0" w:rsidP="00407887">
            <w:pPr>
              <w:pStyle w:val="LTVerzDerFragendenFrage"/>
            </w:pPr>
            <w:hyperlink w:anchor="Frage_Nr_37" w:tooltip="Frage Nr 37" w:history="1">
              <w:r w:rsidR="007E0861">
                <w:rPr>
                  <w:rStyle w:val="Hyperlink"/>
                  <w:szCs w:val="24"/>
                </w:rPr>
                <w:t xml:space="preserve">Wasserschutzgebiet </w:t>
              </w:r>
              <w:r w:rsidR="00102307">
                <w:rPr>
                  <w:rStyle w:val="Hyperlink"/>
                  <w:szCs w:val="24"/>
                </w:rPr>
                <w:t>„</w:t>
              </w:r>
              <w:r w:rsidR="007E0861">
                <w:rPr>
                  <w:rStyle w:val="Hyperlink"/>
                  <w:szCs w:val="24"/>
                </w:rPr>
                <w:t>Zeller Quellen</w:t>
              </w:r>
              <w:r w:rsidR="00102307">
                <w:rPr>
                  <w:rStyle w:val="Hyperlink"/>
                  <w:szCs w:val="24"/>
                </w:rPr>
                <w:t>“</w:t>
              </w:r>
              <w:r w:rsidR="007E0861">
                <w:rPr>
                  <w:rStyle w:val="Hyperlink"/>
                  <w:szCs w:val="24"/>
                </w:rPr>
                <w:tab/>
                <w:t>3</w:t>
              </w:r>
            </w:hyperlink>
            <w:r w:rsidR="00407887">
              <w:rPr>
                <w:rStyle w:val="Hyperlink"/>
                <w:szCs w:val="24"/>
              </w:rPr>
              <w:t>8</w:t>
            </w:r>
          </w:p>
        </w:tc>
      </w:tr>
      <w:tr w:rsidR="007E0861" w:rsidRPr="005833DD" w:rsidTr="001F3CDA">
        <w:tc>
          <w:tcPr>
            <w:tcW w:w="5000" w:type="pct"/>
          </w:tcPr>
          <w:p w:rsidR="007E0861" w:rsidRDefault="007E0861" w:rsidP="007E0861">
            <w:pPr>
              <w:pStyle w:val="LTVerzDerFragenden"/>
            </w:pPr>
            <w:r>
              <w:t>Fuchs, Barbara (BÜNDNIS 90/DIE GRÜNEN)</w:t>
            </w:r>
          </w:p>
        </w:tc>
      </w:tr>
      <w:tr w:rsidR="007E0861" w:rsidRPr="005833DD" w:rsidTr="001F3CDA">
        <w:tc>
          <w:tcPr>
            <w:tcW w:w="5000" w:type="pct"/>
          </w:tcPr>
          <w:p w:rsidR="007E0861" w:rsidRDefault="00982BA0" w:rsidP="007E0861">
            <w:pPr>
              <w:pStyle w:val="LTVerzDerFragendenFrage"/>
            </w:pPr>
            <w:hyperlink w:anchor="Frage_Nr_1" w:tooltip="Frage Nr 1" w:history="1">
              <w:r w:rsidR="007E0861">
                <w:rPr>
                  <w:rStyle w:val="Hyperlink"/>
                  <w:szCs w:val="24"/>
                </w:rPr>
                <w:t>Entgeltliche Beratungs- oder Vermittlungstätigkeiten</w:t>
              </w:r>
              <w:r w:rsidR="007E0861">
                <w:rPr>
                  <w:rStyle w:val="Hyperlink"/>
                  <w:szCs w:val="24"/>
                </w:rPr>
                <w:tab/>
                <w:t>1</w:t>
              </w:r>
            </w:hyperlink>
          </w:p>
        </w:tc>
      </w:tr>
      <w:tr w:rsidR="007E0861" w:rsidRPr="005833DD" w:rsidTr="001F3CDA">
        <w:tc>
          <w:tcPr>
            <w:tcW w:w="5000" w:type="pct"/>
          </w:tcPr>
          <w:p w:rsidR="007E0861" w:rsidRDefault="007E0861" w:rsidP="007E0861">
            <w:pPr>
              <w:pStyle w:val="LTVerzDerFragenden"/>
            </w:pPr>
            <w:r>
              <w:t>Ganserer, Tessa (BÜNDNIS 90/DIE GRÜNEN)</w:t>
            </w:r>
          </w:p>
        </w:tc>
      </w:tr>
      <w:tr w:rsidR="007E0861" w:rsidRPr="005833DD" w:rsidTr="001F3CDA">
        <w:tc>
          <w:tcPr>
            <w:tcW w:w="5000" w:type="pct"/>
          </w:tcPr>
          <w:p w:rsidR="007E0861" w:rsidRDefault="00982BA0" w:rsidP="00BD3199">
            <w:pPr>
              <w:pStyle w:val="LTVerzDerFragendenFrage"/>
            </w:pPr>
            <w:hyperlink w:anchor="Frage_Nr_53" w:tooltip="Frage Nr 53" w:history="1">
              <w:r w:rsidR="007E0861">
                <w:rPr>
                  <w:rStyle w:val="Hyperlink"/>
                  <w:szCs w:val="24"/>
                </w:rPr>
                <w:t>Verdienstausfallentschädi</w:t>
              </w:r>
              <w:r w:rsidR="00434496">
                <w:rPr>
                  <w:rStyle w:val="Hyperlink"/>
                  <w:szCs w:val="24"/>
                </w:rPr>
                <w:t xml:space="preserve">gung nach § 56 Abs. 1 und </w:t>
              </w:r>
              <w:r w:rsidR="00434496">
                <w:rPr>
                  <w:rStyle w:val="Hyperlink"/>
                  <w:szCs w:val="24"/>
                </w:rPr>
                <w:br/>
                <w:t>Abs.1</w:t>
              </w:r>
              <w:r w:rsidR="007E0861">
                <w:rPr>
                  <w:rStyle w:val="Hyperlink"/>
                  <w:szCs w:val="24"/>
                </w:rPr>
                <w:t>a I</w:t>
              </w:r>
              <w:r w:rsidR="00434496">
                <w:rPr>
                  <w:rStyle w:val="Hyperlink"/>
                  <w:szCs w:val="24"/>
                </w:rPr>
                <w:t>nfektionsschutzgesetz</w:t>
              </w:r>
              <w:r w:rsidR="007E0861">
                <w:rPr>
                  <w:rStyle w:val="Hyperlink"/>
                  <w:szCs w:val="24"/>
                </w:rPr>
                <w:tab/>
                <w:t>5</w:t>
              </w:r>
            </w:hyperlink>
            <w:r w:rsidR="00BD3199">
              <w:rPr>
                <w:rStyle w:val="Hyperlink"/>
                <w:szCs w:val="24"/>
              </w:rPr>
              <w:t>4</w:t>
            </w:r>
          </w:p>
        </w:tc>
      </w:tr>
      <w:tr w:rsidR="007E0861" w:rsidRPr="005833DD" w:rsidTr="001F3CDA">
        <w:tc>
          <w:tcPr>
            <w:tcW w:w="5000" w:type="pct"/>
          </w:tcPr>
          <w:p w:rsidR="007E0861" w:rsidRDefault="007E0861" w:rsidP="007E0861">
            <w:pPr>
              <w:pStyle w:val="LTVerzDerFragenden"/>
            </w:pPr>
            <w:r>
              <w:t>Gehring, Thomas (BÜNDNIS 90/DIE GRÜNEN)</w:t>
            </w:r>
          </w:p>
        </w:tc>
      </w:tr>
      <w:tr w:rsidR="007E0861" w:rsidRPr="005833DD" w:rsidTr="001F3CDA">
        <w:tc>
          <w:tcPr>
            <w:tcW w:w="5000" w:type="pct"/>
          </w:tcPr>
          <w:p w:rsidR="007E0861" w:rsidRDefault="00982BA0" w:rsidP="00BD3199">
            <w:pPr>
              <w:pStyle w:val="LTVerzDerFragendenFrage"/>
            </w:pPr>
            <w:hyperlink w:anchor="Frage_Nr_54" w:tooltip="Frage Nr 54" w:history="1">
              <w:r w:rsidR="007E0861">
                <w:rPr>
                  <w:rStyle w:val="Hyperlink"/>
                  <w:szCs w:val="24"/>
                </w:rPr>
                <w:t xml:space="preserve">Sicherstellung gerechter Terminvergaben für alle derzeit impfberechtigten </w:t>
              </w:r>
              <w:r w:rsidR="00434496">
                <w:rPr>
                  <w:rStyle w:val="Hyperlink"/>
                  <w:szCs w:val="24"/>
                </w:rPr>
                <w:br/>
              </w:r>
              <w:r w:rsidR="007E0861">
                <w:rPr>
                  <w:rStyle w:val="Hyperlink"/>
                  <w:szCs w:val="24"/>
                </w:rPr>
                <w:t>Personen</w:t>
              </w:r>
              <w:r w:rsidR="007E0861">
                <w:rPr>
                  <w:rStyle w:val="Hyperlink"/>
                  <w:szCs w:val="24"/>
                </w:rPr>
                <w:tab/>
                <w:t>5</w:t>
              </w:r>
            </w:hyperlink>
            <w:r w:rsidR="00BD3199">
              <w:rPr>
                <w:rStyle w:val="Hyperlink"/>
                <w:szCs w:val="24"/>
              </w:rPr>
              <w:t>5</w:t>
            </w:r>
          </w:p>
        </w:tc>
      </w:tr>
      <w:tr w:rsidR="007E0861" w:rsidRPr="005833DD" w:rsidTr="001F3CDA">
        <w:tc>
          <w:tcPr>
            <w:tcW w:w="5000" w:type="pct"/>
          </w:tcPr>
          <w:p w:rsidR="007E0861" w:rsidRDefault="007E0861" w:rsidP="007E0861">
            <w:pPr>
              <w:pStyle w:val="LTVerzDerFragenden"/>
            </w:pPr>
            <w:r>
              <w:t>Güller, Harald (SPD)</w:t>
            </w:r>
          </w:p>
        </w:tc>
      </w:tr>
      <w:tr w:rsidR="007E0861" w:rsidRPr="005833DD" w:rsidTr="001F3CDA">
        <w:tc>
          <w:tcPr>
            <w:tcW w:w="5000" w:type="pct"/>
          </w:tcPr>
          <w:p w:rsidR="007E0861" w:rsidRDefault="00982BA0" w:rsidP="00D76C8C">
            <w:pPr>
              <w:pStyle w:val="LTVerzDerFragendenFrage"/>
            </w:pPr>
            <w:hyperlink w:anchor="Frage_Nr_55" w:tooltip="Frage Nr 55" w:history="1">
              <w:r w:rsidR="007E0861">
                <w:rPr>
                  <w:rStyle w:val="Hyperlink"/>
                  <w:szCs w:val="24"/>
                </w:rPr>
                <w:t>Mehrmalige Verzögerung des Stipendienprogramms</w:t>
              </w:r>
              <w:r w:rsidR="007E0861">
                <w:rPr>
                  <w:rStyle w:val="Hyperlink"/>
                  <w:szCs w:val="24"/>
                </w:rPr>
                <w:tab/>
              </w:r>
            </w:hyperlink>
            <w:r w:rsidR="00D76C8C">
              <w:rPr>
                <w:rStyle w:val="Hyperlink"/>
                <w:szCs w:val="24"/>
              </w:rPr>
              <w:t>17</w:t>
            </w:r>
          </w:p>
        </w:tc>
      </w:tr>
      <w:tr w:rsidR="007E0861" w:rsidRPr="005833DD" w:rsidTr="001F3CDA">
        <w:tc>
          <w:tcPr>
            <w:tcW w:w="5000" w:type="pct"/>
          </w:tcPr>
          <w:p w:rsidR="007E0861" w:rsidRDefault="007E0861" w:rsidP="007E0861">
            <w:pPr>
              <w:pStyle w:val="LTVerzDerFragenden"/>
            </w:pPr>
            <w:r>
              <w:t>Hagen, Martin (FDP)</w:t>
            </w:r>
          </w:p>
        </w:tc>
      </w:tr>
      <w:tr w:rsidR="007E0861" w:rsidRPr="005833DD" w:rsidTr="001F3CDA">
        <w:tc>
          <w:tcPr>
            <w:tcW w:w="5000" w:type="pct"/>
          </w:tcPr>
          <w:p w:rsidR="007E0861" w:rsidRDefault="00982BA0" w:rsidP="00407887">
            <w:pPr>
              <w:pStyle w:val="LTVerzDerFragendenFrage"/>
            </w:pPr>
            <w:hyperlink w:anchor="Frage_Nr_30" w:tooltip="Frage Nr 30" w:history="1">
              <w:r w:rsidR="007E0861">
                <w:rPr>
                  <w:rStyle w:val="Hyperlink"/>
                  <w:szCs w:val="24"/>
                </w:rPr>
                <w:t xml:space="preserve">Kauf von CPA-Masken für Kliniken, Arztpraxen und Pflegeeinrichtungen von Firma Zettl bzw. </w:t>
              </w:r>
              <w:r w:rsidR="00102307">
                <w:rPr>
                  <w:rStyle w:val="Hyperlink"/>
                  <w:szCs w:val="24"/>
                </w:rPr>
                <w:t>„</w:t>
              </w:r>
              <w:r w:rsidR="007E0861">
                <w:rPr>
                  <w:rStyle w:val="Hyperlink"/>
                  <w:szCs w:val="24"/>
                </w:rPr>
                <w:t>Bayerischen Maskenverbund</w:t>
              </w:r>
              <w:r w:rsidR="00102307">
                <w:rPr>
                  <w:rStyle w:val="Hyperlink"/>
                  <w:szCs w:val="24"/>
                </w:rPr>
                <w:t>“</w:t>
              </w:r>
              <w:r w:rsidR="007E0861">
                <w:rPr>
                  <w:rStyle w:val="Hyperlink"/>
                  <w:szCs w:val="24"/>
                </w:rPr>
                <w:t xml:space="preserve"> durch das Staatsministerium für Wirtschaft, Landesentwicklung und Energie</w:t>
              </w:r>
              <w:r w:rsidR="007E0861">
                <w:rPr>
                  <w:rStyle w:val="Hyperlink"/>
                  <w:szCs w:val="24"/>
                </w:rPr>
                <w:tab/>
                <w:t>3</w:t>
              </w:r>
            </w:hyperlink>
            <w:r w:rsidR="00407887">
              <w:rPr>
                <w:rStyle w:val="Hyperlink"/>
                <w:szCs w:val="24"/>
              </w:rPr>
              <w:t>1</w:t>
            </w:r>
          </w:p>
        </w:tc>
      </w:tr>
      <w:tr w:rsidR="007E0861" w:rsidRPr="005833DD" w:rsidTr="001F3CDA">
        <w:tc>
          <w:tcPr>
            <w:tcW w:w="5000" w:type="pct"/>
          </w:tcPr>
          <w:p w:rsidR="007E0861" w:rsidRDefault="007E0861" w:rsidP="007E0861">
            <w:pPr>
              <w:pStyle w:val="LTVerzDerFragenden"/>
            </w:pPr>
            <w:r>
              <w:t>Halbleib, Volkmar (SPD)</w:t>
            </w:r>
          </w:p>
        </w:tc>
      </w:tr>
      <w:tr w:rsidR="007E0861" w:rsidRPr="005833DD" w:rsidTr="001F3CDA">
        <w:tc>
          <w:tcPr>
            <w:tcW w:w="5000" w:type="pct"/>
          </w:tcPr>
          <w:p w:rsidR="007E0861" w:rsidRDefault="00982BA0" w:rsidP="00D76C8C">
            <w:pPr>
              <w:pStyle w:val="LTVerzDerFragendenFrage"/>
            </w:pPr>
            <w:hyperlink w:anchor="Frage_Nr_17" w:tooltip="Frage Nr 17" w:history="1">
              <w:r w:rsidR="007E0861">
                <w:rPr>
                  <w:rStyle w:val="Hyperlink"/>
                  <w:szCs w:val="24"/>
                </w:rPr>
                <w:t>Antragsstau beim Soloselbst</w:t>
              </w:r>
              <w:r w:rsidR="00434496">
                <w:rPr>
                  <w:rStyle w:val="Hyperlink"/>
                  <w:szCs w:val="24"/>
                </w:rPr>
                <w:t>st</w:t>
              </w:r>
              <w:r w:rsidR="007E0861">
                <w:rPr>
                  <w:rStyle w:val="Hyperlink"/>
                  <w:szCs w:val="24"/>
                </w:rPr>
                <w:t>ändigenprogramm</w:t>
              </w:r>
              <w:r w:rsidR="007E0861">
                <w:rPr>
                  <w:rStyle w:val="Hyperlink"/>
                  <w:szCs w:val="24"/>
                </w:rPr>
                <w:tab/>
                <w:t>1</w:t>
              </w:r>
            </w:hyperlink>
            <w:r w:rsidR="00D76C8C">
              <w:rPr>
                <w:rStyle w:val="Hyperlink"/>
                <w:szCs w:val="24"/>
              </w:rPr>
              <w:t>8</w:t>
            </w:r>
          </w:p>
        </w:tc>
      </w:tr>
      <w:tr w:rsidR="007E0861" w:rsidRPr="005833DD" w:rsidTr="001F3CDA">
        <w:tc>
          <w:tcPr>
            <w:tcW w:w="5000" w:type="pct"/>
          </w:tcPr>
          <w:p w:rsidR="007E0861" w:rsidRDefault="007E0861" w:rsidP="007E0861">
            <w:pPr>
              <w:pStyle w:val="LTVerzDerFragenden"/>
            </w:pPr>
            <w:r>
              <w:t>Hartmann, Ludwig (BÜNDNIS 90/DIE GRÜNEN)</w:t>
            </w:r>
          </w:p>
        </w:tc>
      </w:tr>
      <w:tr w:rsidR="007E0861" w:rsidRPr="005833DD" w:rsidTr="001F3CDA">
        <w:tc>
          <w:tcPr>
            <w:tcW w:w="5000" w:type="pct"/>
          </w:tcPr>
          <w:p w:rsidR="007E0861" w:rsidRDefault="00982BA0" w:rsidP="007E0861">
            <w:pPr>
              <w:pStyle w:val="LTVerzDerFragendenFrage"/>
            </w:pPr>
            <w:hyperlink w:anchor="Frage_Nr_56" w:tooltip="Frage Nr 56" w:history="1">
              <w:r w:rsidR="007E0861">
                <w:rPr>
                  <w:rStyle w:val="Hyperlink"/>
                  <w:szCs w:val="24"/>
                </w:rPr>
                <w:t>Pandemiebeschaffungsverträge unter Einbeziehung der Abgeordneten Georg Nüßlein, MdB, und Alfred Sauter, MdL (beide CSU)</w:t>
              </w:r>
              <w:r w:rsidR="007E0861">
                <w:rPr>
                  <w:rStyle w:val="Hyperlink"/>
                  <w:szCs w:val="24"/>
                </w:rPr>
                <w:tab/>
                <w:t>56</w:t>
              </w:r>
            </w:hyperlink>
          </w:p>
        </w:tc>
      </w:tr>
      <w:tr w:rsidR="007E0861" w:rsidRPr="005833DD" w:rsidTr="001F3CDA">
        <w:tc>
          <w:tcPr>
            <w:tcW w:w="5000" w:type="pct"/>
          </w:tcPr>
          <w:p w:rsidR="007E0861" w:rsidRDefault="00434496" w:rsidP="007E0861">
            <w:pPr>
              <w:pStyle w:val="LTVerzDerFragenden"/>
            </w:pPr>
            <w:r>
              <w:br/>
            </w:r>
            <w:r w:rsidR="007E0861">
              <w:t>Haubrich, Christina (BÜNDNIS 90/DIE GRÜNEN)</w:t>
            </w:r>
          </w:p>
        </w:tc>
      </w:tr>
      <w:tr w:rsidR="007E0861" w:rsidRPr="005833DD" w:rsidTr="001F3CDA">
        <w:tc>
          <w:tcPr>
            <w:tcW w:w="5000" w:type="pct"/>
          </w:tcPr>
          <w:p w:rsidR="007E0861" w:rsidRDefault="00982BA0" w:rsidP="00407887">
            <w:pPr>
              <w:pStyle w:val="LTVerzDerFragendenFrage"/>
            </w:pPr>
            <w:hyperlink w:anchor="Frage_Nr_23" w:tooltip="Frage Nr 23" w:history="1">
              <w:r w:rsidR="007E0861">
                <w:rPr>
                  <w:rStyle w:val="Hyperlink"/>
                  <w:szCs w:val="24"/>
                </w:rPr>
                <w:t>Maskenaffäre MdL Alfred Sauter, CSU (Verträge und Vergütung)</w:t>
              </w:r>
              <w:r w:rsidR="007E0861">
                <w:rPr>
                  <w:rStyle w:val="Hyperlink"/>
                  <w:szCs w:val="24"/>
                </w:rPr>
                <w:tab/>
                <w:t>2</w:t>
              </w:r>
            </w:hyperlink>
            <w:r w:rsidR="00407887">
              <w:rPr>
                <w:rStyle w:val="Hyperlink"/>
                <w:szCs w:val="24"/>
              </w:rPr>
              <w:t>4</w:t>
            </w:r>
          </w:p>
        </w:tc>
      </w:tr>
      <w:tr w:rsidR="007E0861" w:rsidRPr="005833DD" w:rsidTr="001F3CDA">
        <w:tc>
          <w:tcPr>
            <w:tcW w:w="5000" w:type="pct"/>
          </w:tcPr>
          <w:p w:rsidR="007E0861" w:rsidRDefault="007E0861" w:rsidP="007E0861">
            <w:pPr>
              <w:pStyle w:val="LTVerzDerFragenden"/>
            </w:pPr>
            <w:r>
              <w:t>Dr. Heubisch, Wolfgang (FDP)</w:t>
            </w:r>
          </w:p>
        </w:tc>
      </w:tr>
      <w:tr w:rsidR="007E0861" w:rsidRPr="005833DD" w:rsidTr="001F3CDA">
        <w:tc>
          <w:tcPr>
            <w:tcW w:w="5000" w:type="pct"/>
          </w:tcPr>
          <w:p w:rsidR="007E0861" w:rsidRDefault="00982BA0" w:rsidP="00D76C8C">
            <w:pPr>
              <w:pStyle w:val="LTVerzDerFragendenFrage"/>
            </w:pPr>
            <w:hyperlink w:anchor="Frage_Nr_18" w:tooltip="Frage Nr 18" w:history="1">
              <w:r w:rsidR="007E0861">
                <w:rPr>
                  <w:rStyle w:val="Hyperlink"/>
                  <w:szCs w:val="24"/>
                </w:rPr>
                <w:t>Verbändeanhörung zum neuen Hochschulinnovationsgesetz</w:t>
              </w:r>
              <w:r w:rsidR="007E0861">
                <w:rPr>
                  <w:rStyle w:val="Hyperlink"/>
                  <w:szCs w:val="24"/>
                </w:rPr>
                <w:tab/>
                <w:t>1</w:t>
              </w:r>
            </w:hyperlink>
            <w:r w:rsidR="00D76C8C">
              <w:rPr>
                <w:rStyle w:val="Hyperlink"/>
                <w:szCs w:val="24"/>
              </w:rPr>
              <w:t>9</w:t>
            </w:r>
          </w:p>
        </w:tc>
      </w:tr>
      <w:tr w:rsidR="007E0861" w:rsidRPr="005833DD" w:rsidTr="001F3CDA">
        <w:tc>
          <w:tcPr>
            <w:tcW w:w="5000" w:type="pct"/>
          </w:tcPr>
          <w:p w:rsidR="007E0861" w:rsidRDefault="007E0861" w:rsidP="007E0861">
            <w:pPr>
              <w:pStyle w:val="LTVerzDerFragenden"/>
            </w:pPr>
            <w:r>
              <w:t>Hierneis, Christian (BÜNDNIS 90/DIE GRÜNEN)</w:t>
            </w:r>
          </w:p>
        </w:tc>
      </w:tr>
      <w:tr w:rsidR="007E0861" w:rsidRPr="005833DD" w:rsidTr="001F3CDA">
        <w:tc>
          <w:tcPr>
            <w:tcW w:w="5000" w:type="pct"/>
          </w:tcPr>
          <w:p w:rsidR="007E0861" w:rsidRDefault="00982BA0" w:rsidP="007E0861">
            <w:pPr>
              <w:pStyle w:val="LTVerzDerFragendenFrage"/>
            </w:pPr>
            <w:hyperlink w:anchor="Frage_Nr_57" w:tooltip="Frage Nr 57" w:history="1">
              <w:r w:rsidR="007E0861">
                <w:rPr>
                  <w:rStyle w:val="Hyperlink"/>
                  <w:szCs w:val="24"/>
                </w:rPr>
                <w:t>Hausärzte</w:t>
              </w:r>
              <w:r w:rsidR="007E0861">
                <w:rPr>
                  <w:rStyle w:val="Hyperlink"/>
                  <w:szCs w:val="24"/>
                </w:rPr>
                <w:tab/>
                <w:t>57</w:t>
              </w:r>
            </w:hyperlink>
          </w:p>
        </w:tc>
      </w:tr>
      <w:tr w:rsidR="007E0861" w:rsidRPr="005833DD" w:rsidTr="001F3CDA">
        <w:tc>
          <w:tcPr>
            <w:tcW w:w="5000" w:type="pct"/>
          </w:tcPr>
          <w:p w:rsidR="007E0861" w:rsidRDefault="007E0861" w:rsidP="007E0861">
            <w:pPr>
              <w:pStyle w:val="LTVerzDerFragenden"/>
            </w:pPr>
            <w:r>
              <w:t>Hiersemann, Alexandra (SPD)</w:t>
            </w:r>
          </w:p>
        </w:tc>
      </w:tr>
      <w:tr w:rsidR="007E0861" w:rsidRPr="005833DD" w:rsidTr="001F3CDA">
        <w:tc>
          <w:tcPr>
            <w:tcW w:w="5000" w:type="pct"/>
          </w:tcPr>
          <w:p w:rsidR="007E0861" w:rsidRDefault="00982BA0" w:rsidP="007E0861">
            <w:pPr>
              <w:pStyle w:val="LTVerzDerFragendenFrage"/>
            </w:pPr>
            <w:hyperlink w:anchor="Frage_Nr_2" w:tooltip="Frage Nr 2" w:history="1">
              <w:r w:rsidR="007E0861">
                <w:rPr>
                  <w:rStyle w:val="Hyperlink"/>
                  <w:szCs w:val="24"/>
                </w:rPr>
                <w:t>Abschiebung nach Armenien</w:t>
              </w:r>
              <w:r w:rsidR="007E0861">
                <w:rPr>
                  <w:rStyle w:val="Hyperlink"/>
                  <w:szCs w:val="24"/>
                </w:rPr>
                <w:tab/>
                <w:t>2</w:t>
              </w:r>
            </w:hyperlink>
          </w:p>
        </w:tc>
      </w:tr>
      <w:tr w:rsidR="007E0861" w:rsidRPr="005833DD" w:rsidTr="001F3CDA">
        <w:tc>
          <w:tcPr>
            <w:tcW w:w="5000" w:type="pct"/>
          </w:tcPr>
          <w:p w:rsidR="007E0861" w:rsidRDefault="007E0861" w:rsidP="007E0861">
            <w:pPr>
              <w:pStyle w:val="LTVerzDerFragenden"/>
            </w:pPr>
            <w:r>
              <w:t>Dr. Kaltenhauser, Helmut (FDP)</w:t>
            </w:r>
          </w:p>
        </w:tc>
      </w:tr>
      <w:tr w:rsidR="007E0861" w:rsidRPr="005833DD" w:rsidTr="001F3CDA">
        <w:tc>
          <w:tcPr>
            <w:tcW w:w="5000" w:type="pct"/>
          </w:tcPr>
          <w:p w:rsidR="007E0861" w:rsidRDefault="00982BA0" w:rsidP="007E0861">
            <w:pPr>
              <w:pStyle w:val="LTVerzDerFragendenFrage"/>
            </w:pPr>
            <w:hyperlink w:anchor="Frage_Nr_58" w:tooltip="Frage Nr 58" w:history="1">
              <w:r w:rsidR="007E0861">
                <w:rPr>
                  <w:rStyle w:val="Hyperlink"/>
                  <w:szCs w:val="24"/>
                </w:rPr>
                <w:t xml:space="preserve">Beschaffung von FFP2-Masken durch das Staatsministerium für </w:t>
              </w:r>
              <w:r w:rsidR="00AD053B">
                <w:rPr>
                  <w:rStyle w:val="Hyperlink"/>
                  <w:szCs w:val="24"/>
                </w:rPr>
                <w:br/>
              </w:r>
              <w:r w:rsidR="007E0861">
                <w:rPr>
                  <w:rStyle w:val="Hyperlink"/>
                  <w:szCs w:val="24"/>
                </w:rPr>
                <w:t>Gesundheit und Pflege</w:t>
              </w:r>
              <w:r w:rsidR="007E0861">
                <w:rPr>
                  <w:rStyle w:val="Hyperlink"/>
                  <w:szCs w:val="24"/>
                </w:rPr>
                <w:tab/>
                <w:t>58</w:t>
              </w:r>
            </w:hyperlink>
          </w:p>
        </w:tc>
      </w:tr>
      <w:tr w:rsidR="007E0861" w:rsidRPr="005833DD" w:rsidTr="001F3CDA">
        <w:tc>
          <w:tcPr>
            <w:tcW w:w="5000" w:type="pct"/>
          </w:tcPr>
          <w:p w:rsidR="007E0861" w:rsidRDefault="007E0861" w:rsidP="007E0861">
            <w:pPr>
              <w:pStyle w:val="LTVerzDerFragenden"/>
            </w:pPr>
            <w:r>
              <w:t>Karl, Annette (SPD)</w:t>
            </w:r>
          </w:p>
        </w:tc>
      </w:tr>
      <w:tr w:rsidR="007E0861" w:rsidRPr="005833DD" w:rsidTr="001F3CDA">
        <w:tc>
          <w:tcPr>
            <w:tcW w:w="5000" w:type="pct"/>
          </w:tcPr>
          <w:p w:rsidR="007E0861" w:rsidRDefault="00982BA0" w:rsidP="00407887">
            <w:pPr>
              <w:pStyle w:val="LTVerzDerFragendenFrage"/>
            </w:pPr>
            <w:hyperlink w:anchor="Frage_Nr_31" w:tooltip="Frage Nr 31" w:history="1">
              <w:r w:rsidR="00434496">
                <w:rPr>
                  <w:rStyle w:val="Hyperlink"/>
                  <w:szCs w:val="24"/>
                </w:rPr>
                <w:t>Kommunen an Photovoltaik</w:t>
              </w:r>
              <w:r w:rsidR="007E0861">
                <w:rPr>
                  <w:rStyle w:val="Hyperlink"/>
                  <w:szCs w:val="24"/>
                </w:rPr>
                <w:t>-Freiflächenanlagen finanziell beteiligen</w:t>
              </w:r>
              <w:r w:rsidR="007E0861">
                <w:rPr>
                  <w:rStyle w:val="Hyperlink"/>
                  <w:szCs w:val="24"/>
                </w:rPr>
                <w:tab/>
                <w:t>3</w:t>
              </w:r>
            </w:hyperlink>
            <w:r w:rsidR="00407887">
              <w:rPr>
                <w:rStyle w:val="Hyperlink"/>
                <w:szCs w:val="24"/>
              </w:rPr>
              <w:t>2</w:t>
            </w:r>
          </w:p>
        </w:tc>
      </w:tr>
      <w:tr w:rsidR="007E0861" w:rsidRPr="005833DD" w:rsidTr="001F3CDA">
        <w:tc>
          <w:tcPr>
            <w:tcW w:w="5000" w:type="pct"/>
          </w:tcPr>
          <w:p w:rsidR="007E0861" w:rsidRDefault="007E0861" w:rsidP="007E0861">
            <w:pPr>
              <w:pStyle w:val="LTVerzDerFragenden"/>
            </w:pPr>
            <w:r>
              <w:t>Knoblach, Paul (BÜNDNIS 90/DIE GRÜNEN)</w:t>
            </w:r>
          </w:p>
        </w:tc>
      </w:tr>
      <w:tr w:rsidR="007E0861" w:rsidRPr="005833DD" w:rsidTr="001F3CDA">
        <w:tc>
          <w:tcPr>
            <w:tcW w:w="5000" w:type="pct"/>
          </w:tcPr>
          <w:p w:rsidR="007E0861" w:rsidRDefault="00982BA0" w:rsidP="007E0861">
            <w:pPr>
              <w:pStyle w:val="LTVerzDerFragendenFrage"/>
            </w:pPr>
            <w:hyperlink w:anchor="Frage_Nr_6" w:tooltip="Frage Nr 6" w:history="1">
              <w:r w:rsidR="007E0861">
                <w:rPr>
                  <w:rStyle w:val="Hyperlink"/>
                  <w:szCs w:val="24"/>
                </w:rPr>
                <w:t>Unterschiede d</w:t>
              </w:r>
              <w:r w:rsidR="00AC6C23">
                <w:rPr>
                  <w:rStyle w:val="Hyperlink"/>
                  <w:szCs w:val="24"/>
                </w:rPr>
                <w:t>er Gutachten zum Nachfragepotenz</w:t>
              </w:r>
              <w:r w:rsidR="007E0861">
                <w:rPr>
                  <w:rStyle w:val="Hyperlink"/>
                  <w:szCs w:val="24"/>
                </w:rPr>
                <w:t xml:space="preserve">ial der unteren </w:t>
              </w:r>
              <w:r w:rsidR="00434496">
                <w:rPr>
                  <w:rStyle w:val="Hyperlink"/>
                  <w:szCs w:val="24"/>
                </w:rPr>
                <w:br/>
              </w:r>
              <w:r w:rsidR="007E0861">
                <w:rPr>
                  <w:rStyle w:val="Hyperlink"/>
                  <w:szCs w:val="24"/>
                </w:rPr>
                <w:t>Steigerwaldbahn</w:t>
              </w:r>
              <w:r w:rsidR="007E0861">
                <w:rPr>
                  <w:rStyle w:val="Hyperlink"/>
                  <w:szCs w:val="24"/>
                </w:rPr>
                <w:tab/>
                <w:t>6</w:t>
              </w:r>
            </w:hyperlink>
          </w:p>
        </w:tc>
      </w:tr>
      <w:tr w:rsidR="007E0861" w:rsidRPr="005833DD" w:rsidTr="001F3CDA">
        <w:tc>
          <w:tcPr>
            <w:tcW w:w="5000" w:type="pct"/>
          </w:tcPr>
          <w:p w:rsidR="007E0861" w:rsidRDefault="007E0861" w:rsidP="007E0861">
            <w:pPr>
              <w:pStyle w:val="LTVerzDerFragenden"/>
            </w:pPr>
            <w:r>
              <w:t>Krahl, Andreas (BÜNDNIS 90/DIE GRÜNEN)</w:t>
            </w:r>
          </w:p>
        </w:tc>
      </w:tr>
      <w:tr w:rsidR="007E0861" w:rsidRPr="005833DD" w:rsidTr="001F3CDA">
        <w:tc>
          <w:tcPr>
            <w:tcW w:w="5000" w:type="pct"/>
          </w:tcPr>
          <w:p w:rsidR="007E0861" w:rsidRDefault="00982BA0" w:rsidP="007E0861">
            <w:pPr>
              <w:pStyle w:val="LTVerzDerFragendenFrage"/>
            </w:pPr>
            <w:hyperlink w:anchor="Frage_Nr_60" w:tooltip="Frage Nr 60" w:history="1">
              <w:r w:rsidR="007E0861">
                <w:rPr>
                  <w:rStyle w:val="Hyperlink"/>
                  <w:szCs w:val="24"/>
                </w:rPr>
                <w:t>Einnahmen durch Beschaffungsverträge</w:t>
              </w:r>
              <w:r w:rsidR="007E0861">
                <w:rPr>
                  <w:rStyle w:val="Hyperlink"/>
                  <w:szCs w:val="24"/>
                </w:rPr>
                <w:tab/>
                <w:t>60</w:t>
              </w:r>
            </w:hyperlink>
          </w:p>
        </w:tc>
      </w:tr>
      <w:tr w:rsidR="007E0861" w:rsidRPr="005833DD" w:rsidTr="001F3CDA">
        <w:tc>
          <w:tcPr>
            <w:tcW w:w="5000" w:type="pct"/>
          </w:tcPr>
          <w:p w:rsidR="007E0861" w:rsidRDefault="007E0861" w:rsidP="007E0861">
            <w:pPr>
              <w:pStyle w:val="LTVerzDerFragenden"/>
            </w:pPr>
            <w:r>
              <w:t>Kurz, Susanne (BÜNDNIS 90/DIE GRÜNEN)</w:t>
            </w:r>
          </w:p>
        </w:tc>
      </w:tr>
      <w:tr w:rsidR="007E0861" w:rsidRPr="005833DD" w:rsidTr="001F3CDA">
        <w:tc>
          <w:tcPr>
            <w:tcW w:w="5000" w:type="pct"/>
          </w:tcPr>
          <w:p w:rsidR="007E0861" w:rsidRDefault="00982BA0" w:rsidP="00D76C8C">
            <w:pPr>
              <w:pStyle w:val="LTVerzDerFragendenFrage"/>
            </w:pPr>
            <w:hyperlink w:anchor="Frage_Nr_19" w:tooltip="Frage Nr 19" w:history="1">
              <w:r w:rsidR="007E0861">
                <w:rPr>
                  <w:rStyle w:val="Hyperlink"/>
                  <w:szCs w:val="24"/>
                </w:rPr>
                <w:t>Küns</w:t>
              </w:r>
              <w:r w:rsidR="00AC6C23">
                <w:rPr>
                  <w:rStyle w:val="Hyperlink"/>
                  <w:szCs w:val="24"/>
                </w:rPr>
                <w:t>tlerinnen- bzw. Künstlerhilfen –</w:t>
              </w:r>
              <w:r w:rsidR="007E0861">
                <w:rPr>
                  <w:rStyle w:val="Hyperlink"/>
                  <w:szCs w:val="24"/>
                </w:rPr>
                <w:t xml:space="preserve"> Rückzahlungsforderungen wegen </w:t>
              </w:r>
              <w:r w:rsidR="00434496">
                <w:rPr>
                  <w:rStyle w:val="Hyperlink"/>
                  <w:szCs w:val="24"/>
                </w:rPr>
                <w:br/>
              </w:r>
              <w:r w:rsidR="00AC6C23">
                <w:rPr>
                  <w:rStyle w:val="Hyperlink"/>
                  <w:szCs w:val="24"/>
                </w:rPr>
                <w:t>Überkompensation –</w:t>
              </w:r>
              <w:r w:rsidR="007E0861">
                <w:rPr>
                  <w:rStyle w:val="Hyperlink"/>
                  <w:szCs w:val="24"/>
                </w:rPr>
                <w:t xml:space="preserve"> Rahmenbedingungen der Programme ausreichend?</w:t>
              </w:r>
              <w:r w:rsidR="007E0861">
                <w:rPr>
                  <w:rStyle w:val="Hyperlink"/>
                  <w:szCs w:val="24"/>
                </w:rPr>
                <w:tab/>
              </w:r>
            </w:hyperlink>
            <w:r w:rsidR="00D76C8C">
              <w:rPr>
                <w:rStyle w:val="Hyperlink"/>
                <w:szCs w:val="24"/>
              </w:rPr>
              <w:t>20</w:t>
            </w:r>
          </w:p>
        </w:tc>
      </w:tr>
      <w:tr w:rsidR="007E0861" w:rsidRPr="005833DD" w:rsidTr="001F3CDA">
        <w:tc>
          <w:tcPr>
            <w:tcW w:w="5000" w:type="pct"/>
          </w:tcPr>
          <w:p w:rsidR="007E0861" w:rsidRDefault="007E0861" w:rsidP="007E0861">
            <w:pPr>
              <w:pStyle w:val="LTVerzDerFragenden"/>
            </w:pPr>
            <w:r>
              <w:t>Köhler, Claudia (BÜNDNIS 90/DIE GRÜNEN)</w:t>
            </w:r>
          </w:p>
        </w:tc>
      </w:tr>
      <w:tr w:rsidR="007E0861" w:rsidRPr="005833DD" w:rsidTr="001F3CDA">
        <w:tc>
          <w:tcPr>
            <w:tcW w:w="5000" w:type="pct"/>
          </w:tcPr>
          <w:p w:rsidR="007E0861" w:rsidRDefault="00982BA0" w:rsidP="00407887">
            <w:pPr>
              <w:pStyle w:val="LTVerzDerFragendenFrage"/>
            </w:pPr>
            <w:hyperlink w:anchor="Frage_Nr_38" w:tooltip="Frage Nr 38" w:history="1">
              <w:r w:rsidR="007E0861">
                <w:rPr>
                  <w:rStyle w:val="Hyperlink"/>
                  <w:szCs w:val="24"/>
                </w:rPr>
                <w:t xml:space="preserve">Schadstoffbelastete Ackerflächen am Lehr- und Versuchsgut </w:t>
              </w:r>
              <w:r w:rsidR="00434496">
                <w:rPr>
                  <w:rStyle w:val="Hyperlink"/>
                  <w:szCs w:val="24"/>
                </w:rPr>
                <w:br/>
              </w:r>
              <w:r w:rsidR="007E0861">
                <w:rPr>
                  <w:rStyle w:val="Hyperlink"/>
                  <w:szCs w:val="24"/>
                </w:rPr>
                <w:t>Oberschleißheim</w:t>
              </w:r>
              <w:r w:rsidR="007E0861">
                <w:rPr>
                  <w:rStyle w:val="Hyperlink"/>
                  <w:szCs w:val="24"/>
                </w:rPr>
                <w:tab/>
                <w:t>3</w:t>
              </w:r>
            </w:hyperlink>
            <w:r w:rsidR="00407887">
              <w:rPr>
                <w:rStyle w:val="Hyperlink"/>
                <w:szCs w:val="24"/>
              </w:rPr>
              <w:t>9</w:t>
            </w:r>
          </w:p>
        </w:tc>
      </w:tr>
      <w:tr w:rsidR="007E0861" w:rsidRPr="005833DD" w:rsidTr="001F3CDA">
        <w:tc>
          <w:tcPr>
            <w:tcW w:w="5000" w:type="pct"/>
          </w:tcPr>
          <w:p w:rsidR="007E0861" w:rsidRDefault="007E0861" w:rsidP="007E0861">
            <w:pPr>
              <w:pStyle w:val="LTVerzDerFragenden"/>
            </w:pPr>
            <w:r>
              <w:t>Körber, Sebastian (FDP)</w:t>
            </w:r>
          </w:p>
        </w:tc>
      </w:tr>
      <w:tr w:rsidR="007E0861" w:rsidRPr="005833DD" w:rsidTr="001F3CDA">
        <w:tc>
          <w:tcPr>
            <w:tcW w:w="5000" w:type="pct"/>
          </w:tcPr>
          <w:p w:rsidR="007E0861" w:rsidRDefault="00982BA0" w:rsidP="007E0861">
            <w:pPr>
              <w:pStyle w:val="LTVerzDerFragendenFrage"/>
            </w:pPr>
            <w:hyperlink w:anchor="Frage_Nr_59" w:tooltip="Frage Nr 59" w:history="1">
              <w:r w:rsidR="007E0861">
                <w:rPr>
                  <w:rStyle w:val="Hyperlink"/>
                  <w:szCs w:val="24"/>
                </w:rPr>
                <w:t>Resilienz durch Fitness und Sport</w:t>
              </w:r>
              <w:r w:rsidR="007E0861">
                <w:rPr>
                  <w:rStyle w:val="Hyperlink"/>
                  <w:szCs w:val="24"/>
                </w:rPr>
                <w:tab/>
                <w:t>59</w:t>
              </w:r>
            </w:hyperlink>
          </w:p>
        </w:tc>
      </w:tr>
      <w:tr w:rsidR="007E0861" w:rsidRPr="005833DD" w:rsidTr="001F3CDA">
        <w:tc>
          <w:tcPr>
            <w:tcW w:w="5000" w:type="pct"/>
          </w:tcPr>
          <w:p w:rsidR="007E0861" w:rsidRDefault="007E0861" w:rsidP="007E0861">
            <w:pPr>
              <w:pStyle w:val="LTVerzDerFragenden"/>
            </w:pPr>
            <w:r>
              <w:t>Lettenbauer, Eva (BÜNDNIS 90/DIE GRÜNEN)</w:t>
            </w:r>
          </w:p>
        </w:tc>
      </w:tr>
      <w:tr w:rsidR="007E0861" w:rsidRPr="005833DD" w:rsidTr="001F3CDA">
        <w:tc>
          <w:tcPr>
            <w:tcW w:w="5000" w:type="pct"/>
          </w:tcPr>
          <w:p w:rsidR="007E0861" w:rsidRDefault="00982BA0" w:rsidP="007E0861">
            <w:pPr>
              <w:pStyle w:val="LTVerzDerFragendenFrage"/>
            </w:pPr>
            <w:hyperlink w:anchor="Frage_Nr_9" w:tooltip="Frage Nr 9" w:history="1">
              <w:r w:rsidR="007E0861">
                <w:rPr>
                  <w:rStyle w:val="Hyperlink"/>
                  <w:szCs w:val="24"/>
                </w:rPr>
                <w:t>Bestechungsskandal um MdB Georg Nüßlein</w:t>
              </w:r>
              <w:r w:rsidR="007E0861">
                <w:rPr>
                  <w:rStyle w:val="Hyperlink"/>
                  <w:szCs w:val="24"/>
                </w:rPr>
                <w:tab/>
                <w:t>9</w:t>
              </w:r>
            </w:hyperlink>
          </w:p>
        </w:tc>
      </w:tr>
      <w:tr w:rsidR="007E0861" w:rsidRPr="005833DD" w:rsidTr="001F3CDA">
        <w:tc>
          <w:tcPr>
            <w:tcW w:w="5000" w:type="pct"/>
          </w:tcPr>
          <w:p w:rsidR="007E0861" w:rsidRDefault="007E0861" w:rsidP="007E0861">
            <w:pPr>
              <w:pStyle w:val="LTVerzDerFragenden"/>
            </w:pPr>
            <w:r>
              <w:t>Magerl, Roland (AfD)</w:t>
            </w:r>
          </w:p>
        </w:tc>
      </w:tr>
      <w:tr w:rsidR="007E0861" w:rsidRPr="005833DD" w:rsidTr="001F3CDA">
        <w:tc>
          <w:tcPr>
            <w:tcW w:w="5000" w:type="pct"/>
          </w:tcPr>
          <w:p w:rsidR="007E0861" w:rsidRDefault="00982BA0" w:rsidP="007E0861">
            <w:pPr>
              <w:pStyle w:val="LTVerzDerFragendenFrage"/>
            </w:pPr>
            <w:hyperlink w:anchor="Frage_Nr_61" w:tooltip="Frage Nr 61" w:history="1">
              <w:r w:rsidR="007E0861">
                <w:rPr>
                  <w:rStyle w:val="Hyperlink"/>
                  <w:szCs w:val="24"/>
                </w:rPr>
                <w:t>Komplikationen bei Impfungen und Auswirkungen auf das Impfkonzept</w:t>
              </w:r>
              <w:r w:rsidR="007E0861">
                <w:rPr>
                  <w:rStyle w:val="Hyperlink"/>
                  <w:szCs w:val="24"/>
                </w:rPr>
                <w:tab/>
                <w:t>61</w:t>
              </w:r>
            </w:hyperlink>
          </w:p>
        </w:tc>
      </w:tr>
      <w:tr w:rsidR="007E0861" w:rsidRPr="005833DD" w:rsidTr="001F3CDA">
        <w:tc>
          <w:tcPr>
            <w:tcW w:w="5000" w:type="pct"/>
          </w:tcPr>
          <w:p w:rsidR="007E0861" w:rsidRDefault="007E0861" w:rsidP="007E0861">
            <w:pPr>
              <w:pStyle w:val="LTVerzDerFragenden"/>
            </w:pPr>
            <w:r>
              <w:t>Maier, Christoph (AfD)</w:t>
            </w:r>
          </w:p>
        </w:tc>
      </w:tr>
      <w:tr w:rsidR="007E0861" w:rsidRPr="005833DD" w:rsidTr="001F3CDA">
        <w:tc>
          <w:tcPr>
            <w:tcW w:w="5000" w:type="pct"/>
          </w:tcPr>
          <w:p w:rsidR="007E0861" w:rsidRDefault="00982BA0" w:rsidP="007E0861">
            <w:pPr>
              <w:pStyle w:val="LTVerzDerFragendenFrage"/>
            </w:pPr>
            <w:hyperlink w:anchor="Frage_Nr_62" w:tooltip="Frage Nr 62" w:history="1">
              <w:r w:rsidR="007E0861">
                <w:rPr>
                  <w:rStyle w:val="Hyperlink"/>
                  <w:szCs w:val="24"/>
                </w:rPr>
                <w:t xml:space="preserve">Zusammenhang zwischen Herkunft und </w:t>
              </w:r>
              <w:r w:rsidR="00102307">
                <w:rPr>
                  <w:rStyle w:val="Hyperlink"/>
                  <w:szCs w:val="24"/>
                </w:rPr>
                <w:t>COVID-19</w:t>
              </w:r>
              <w:r w:rsidR="007E0861">
                <w:rPr>
                  <w:rStyle w:val="Hyperlink"/>
                  <w:szCs w:val="24"/>
                </w:rPr>
                <w:t>-Intensiv</w:t>
              </w:r>
              <w:r w:rsidR="00434496">
                <w:rPr>
                  <w:rStyle w:val="Hyperlink"/>
                  <w:szCs w:val="24"/>
                </w:rPr>
                <w:t>-</w:t>
              </w:r>
              <w:r w:rsidR="00434496">
                <w:rPr>
                  <w:rStyle w:val="Hyperlink"/>
                  <w:szCs w:val="24"/>
                </w:rPr>
                <w:br/>
              </w:r>
              <w:r w:rsidR="007E0861">
                <w:rPr>
                  <w:rStyle w:val="Hyperlink"/>
                  <w:szCs w:val="24"/>
                </w:rPr>
                <w:t>bettenbelegung?</w:t>
              </w:r>
              <w:r w:rsidR="007E0861">
                <w:rPr>
                  <w:rStyle w:val="Hyperlink"/>
                  <w:szCs w:val="24"/>
                </w:rPr>
                <w:tab/>
                <w:t>62</w:t>
              </w:r>
            </w:hyperlink>
          </w:p>
        </w:tc>
      </w:tr>
      <w:tr w:rsidR="007E0861" w:rsidRPr="005833DD" w:rsidTr="001F3CDA">
        <w:tc>
          <w:tcPr>
            <w:tcW w:w="5000" w:type="pct"/>
          </w:tcPr>
          <w:p w:rsidR="007E0861" w:rsidRDefault="007E0861" w:rsidP="007E0861">
            <w:pPr>
              <w:pStyle w:val="LTVerzDerFragenden"/>
            </w:pPr>
            <w:r>
              <w:t>Markwort, Helmut (FDP)</w:t>
            </w:r>
          </w:p>
        </w:tc>
      </w:tr>
      <w:tr w:rsidR="007E0861" w:rsidRPr="005833DD" w:rsidTr="001F3CDA">
        <w:tc>
          <w:tcPr>
            <w:tcW w:w="5000" w:type="pct"/>
          </w:tcPr>
          <w:p w:rsidR="007E0861" w:rsidRDefault="00982BA0" w:rsidP="007E0861">
            <w:pPr>
              <w:pStyle w:val="LTVerzDerFragendenFrage"/>
            </w:pPr>
            <w:hyperlink w:anchor="Frage_Nr_63" w:tooltip="Frage Nr 63" w:history="1">
              <w:r w:rsidR="007E0861">
                <w:rPr>
                  <w:rStyle w:val="Hyperlink"/>
                  <w:szCs w:val="24"/>
                </w:rPr>
                <w:t>Sachstand Testkonzept für Schulen</w:t>
              </w:r>
              <w:r w:rsidR="007E0861">
                <w:rPr>
                  <w:rStyle w:val="Hyperlink"/>
                  <w:szCs w:val="24"/>
                </w:rPr>
                <w:tab/>
                <w:t>63</w:t>
              </w:r>
            </w:hyperlink>
          </w:p>
        </w:tc>
      </w:tr>
      <w:tr w:rsidR="007E0861" w:rsidRPr="005833DD" w:rsidTr="001F3CDA">
        <w:tc>
          <w:tcPr>
            <w:tcW w:w="5000" w:type="pct"/>
          </w:tcPr>
          <w:p w:rsidR="007E0861" w:rsidRDefault="007E0861" w:rsidP="007E0861">
            <w:pPr>
              <w:pStyle w:val="LTVerzDerFragenden"/>
            </w:pPr>
            <w:r>
              <w:t>Mistol, Jürgen (BÜNDNIS 90/DIE GRÜNEN)</w:t>
            </w:r>
          </w:p>
        </w:tc>
      </w:tr>
      <w:tr w:rsidR="007E0861" w:rsidRPr="005833DD" w:rsidTr="001F3CDA">
        <w:tc>
          <w:tcPr>
            <w:tcW w:w="5000" w:type="pct"/>
          </w:tcPr>
          <w:p w:rsidR="007E0861" w:rsidRDefault="00982BA0" w:rsidP="007E0861">
            <w:pPr>
              <w:pStyle w:val="LTVerzDerFragendenFrage"/>
            </w:pPr>
            <w:hyperlink w:anchor="Frage_Nr_64" w:tooltip="Frage Nr 64" w:history="1">
              <w:r w:rsidR="007E0861">
                <w:rPr>
                  <w:rStyle w:val="Hyperlink"/>
                  <w:szCs w:val="24"/>
                </w:rPr>
                <w:t>Bestechungsskandal um MdB Georg Nüßlein</w:t>
              </w:r>
              <w:r w:rsidR="007E0861">
                <w:rPr>
                  <w:rStyle w:val="Hyperlink"/>
                  <w:szCs w:val="24"/>
                </w:rPr>
                <w:tab/>
                <w:t>64</w:t>
              </w:r>
            </w:hyperlink>
          </w:p>
        </w:tc>
      </w:tr>
      <w:tr w:rsidR="007E0861" w:rsidRPr="005833DD" w:rsidTr="001F3CDA">
        <w:tc>
          <w:tcPr>
            <w:tcW w:w="5000" w:type="pct"/>
          </w:tcPr>
          <w:p w:rsidR="007E0861" w:rsidRDefault="007E0861" w:rsidP="007E0861">
            <w:pPr>
              <w:pStyle w:val="LTVerzDerFragenden"/>
            </w:pPr>
            <w:r>
              <w:t>Monatzeder, Hep (BÜNDNIS 90/DIE GRÜNEN)</w:t>
            </w:r>
          </w:p>
        </w:tc>
      </w:tr>
      <w:tr w:rsidR="007E0861" w:rsidRPr="005833DD" w:rsidTr="001F3CDA">
        <w:tc>
          <w:tcPr>
            <w:tcW w:w="5000" w:type="pct"/>
          </w:tcPr>
          <w:p w:rsidR="007E0861" w:rsidRDefault="00982BA0" w:rsidP="00407887">
            <w:pPr>
              <w:pStyle w:val="LTVerzDerFragendenFrage"/>
            </w:pPr>
            <w:hyperlink w:anchor="Frage_Nr_39" w:tooltip="Frage Nr 39" w:history="1">
              <w:r w:rsidR="007E0861">
                <w:rPr>
                  <w:rStyle w:val="Hyperlink"/>
                  <w:szCs w:val="24"/>
                </w:rPr>
                <w:t>Weiterentwicklung der Nachhaltigkeitsstrategie</w:t>
              </w:r>
              <w:r w:rsidR="007E0861">
                <w:rPr>
                  <w:rStyle w:val="Hyperlink"/>
                  <w:szCs w:val="24"/>
                </w:rPr>
                <w:tab/>
              </w:r>
            </w:hyperlink>
            <w:r w:rsidR="00407887">
              <w:rPr>
                <w:rStyle w:val="Hyperlink"/>
                <w:szCs w:val="24"/>
              </w:rPr>
              <w:t>40</w:t>
            </w:r>
          </w:p>
        </w:tc>
      </w:tr>
      <w:tr w:rsidR="007E0861" w:rsidRPr="005833DD" w:rsidTr="001F3CDA">
        <w:tc>
          <w:tcPr>
            <w:tcW w:w="5000" w:type="pct"/>
          </w:tcPr>
          <w:p w:rsidR="007E0861" w:rsidRDefault="007E0861" w:rsidP="007E0861">
            <w:pPr>
              <w:pStyle w:val="LTVerzDerFragenden"/>
            </w:pPr>
            <w:r>
              <w:t>Muthmann, Alexander (FDP)</w:t>
            </w:r>
          </w:p>
        </w:tc>
      </w:tr>
      <w:tr w:rsidR="007E0861" w:rsidRPr="005833DD" w:rsidTr="001F3CDA">
        <w:tc>
          <w:tcPr>
            <w:tcW w:w="5000" w:type="pct"/>
          </w:tcPr>
          <w:p w:rsidR="007E0861" w:rsidRDefault="00982BA0" w:rsidP="007E0861">
            <w:pPr>
              <w:pStyle w:val="LTVerzDerFragendenFrage"/>
            </w:pPr>
            <w:hyperlink w:anchor="Frage_Nr_65" w:tooltip="Frage Nr 65" w:history="1">
              <w:r w:rsidR="007E0861">
                <w:rPr>
                  <w:rStyle w:val="Hyperlink"/>
                  <w:szCs w:val="24"/>
                </w:rPr>
                <w:t>Impfdosen in Grenzregion</w:t>
              </w:r>
              <w:r w:rsidR="007E0861">
                <w:rPr>
                  <w:rStyle w:val="Hyperlink"/>
                  <w:szCs w:val="24"/>
                </w:rPr>
                <w:tab/>
                <w:t>65</w:t>
              </w:r>
            </w:hyperlink>
          </w:p>
        </w:tc>
      </w:tr>
      <w:tr w:rsidR="007E0861" w:rsidRPr="005833DD" w:rsidTr="001F3CDA">
        <w:tc>
          <w:tcPr>
            <w:tcW w:w="5000" w:type="pct"/>
          </w:tcPr>
          <w:p w:rsidR="007E0861" w:rsidRDefault="007E0861" w:rsidP="007E0861">
            <w:pPr>
              <w:pStyle w:val="LTVerzDerFragenden"/>
            </w:pPr>
            <w:r>
              <w:t>Müller, Ruth (SPD)</w:t>
            </w:r>
          </w:p>
        </w:tc>
      </w:tr>
      <w:tr w:rsidR="007E0861" w:rsidRPr="005833DD" w:rsidTr="001F3CDA">
        <w:tc>
          <w:tcPr>
            <w:tcW w:w="5000" w:type="pct"/>
          </w:tcPr>
          <w:p w:rsidR="007E0861" w:rsidRDefault="00982BA0" w:rsidP="00407887">
            <w:pPr>
              <w:pStyle w:val="LTVerzDerFragendenFrage"/>
            </w:pPr>
            <w:hyperlink w:anchor="Frage_Nr_32" w:tooltip="Frage Nr 32" w:history="1">
              <w:r w:rsidR="007E0861">
                <w:rPr>
                  <w:rStyle w:val="Hyperlink"/>
                  <w:szCs w:val="24"/>
                </w:rPr>
                <w:t>Öffnungsperspektive für die bayerische Fahrgastschifffahrt</w:t>
              </w:r>
              <w:r w:rsidR="007E0861">
                <w:rPr>
                  <w:rStyle w:val="Hyperlink"/>
                  <w:szCs w:val="24"/>
                </w:rPr>
                <w:tab/>
                <w:t>3</w:t>
              </w:r>
            </w:hyperlink>
            <w:r w:rsidR="00407887">
              <w:rPr>
                <w:rStyle w:val="Hyperlink"/>
                <w:szCs w:val="24"/>
              </w:rPr>
              <w:t>3</w:t>
            </w:r>
          </w:p>
        </w:tc>
      </w:tr>
      <w:tr w:rsidR="007E0861" w:rsidRPr="005833DD" w:rsidTr="001F3CDA">
        <w:tc>
          <w:tcPr>
            <w:tcW w:w="5000" w:type="pct"/>
          </w:tcPr>
          <w:p w:rsidR="007E0861" w:rsidRDefault="007E0861" w:rsidP="007E0861">
            <w:pPr>
              <w:pStyle w:val="LTVerzDerFragenden"/>
            </w:pPr>
            <w:r>
              <w:lastRenderedPageBreak/>
              <w:t>Osgyan, Verena (BÜNDNIS 90/DIE GRÜNEN)</w:t>
            </w:r>
          </w:p>
        </w:tc>
      </w:tr>
      <w:tr w:rsidR="007E0861" w:rsidRPr="005833DD" w:rsidTr="001F3CDA">
        <w:tc>
          <w:tcPr>
            <w:tcW w:w="5000" w:type="pct"/>
          </w:tcPr>
          <w:p w:rsidR="007E0861" w:rsidRDefault="00982BA0" w:rsidP="007E0861">
            <w:pPr>
              <w:pStyle w:val="LTVerzDerFragendenFrage"/>
            </w:pPr>
            <w:hyperlink w:anchor="Frage_Nr_66" w:tooltip="Frage Nr 66" w:history="1">
              <w:r w:rsidR="007E0861">
                <w:rPr>
                  <w:rStyle w:val="Hyperlink"/>
                  <w:szCs w:val="24"/>
                </w:rPr>
                <w:t>Bestechungsskandal um Masken: Vertrag mit Staatsministerium für Gesundheit und Pflege</w:t>
              </w:r>
              <w:r w:rsidR="007E0861">
                <w:rPr>
                  <w:rStyle w:val="Hyperlink"/>
                  <w:szCs w:val="24"/>
                </w:rPr>
                <w:tab/>
                <w:t>66</w:t>
              </w:r>
            </w:hyperlink>
          </w:p>
        </w:tc>
      </w:tr>
      <w:tr w:rsidR="007E0861" w:rsidRPr="005833DD" w:rsidTr="001F3CDA">
        <w:tc>
          <w:tcPr>
            <w:tcW w:w="5000" w:type="pct"/>
          </w:tcPr>
          <w:p w:rsidR="007E0861" w:rsidRDefault="007E0861" w:rsidP="007E0861">
            <w:pPr>
              <w:pStyle w:val="LTVerzDerFragenden"/>
            </w:pPr>
            <w:r>
              <w:t>Pargent, Tim (BÜNDNIS 90/DIE GRÜNEN)</w:t>
            </w:r>
          </w:p>
        </w:tc>
      </w:tr>
      <w:tr w:rsidR="007E0861" w:rsidRPr="005833DD" w:rsidTr="001F3CDA">
        <w:tc>
          <w:tcPr>
            <w:tcW w:w="5000" w:type="pct"/>
          </w:tcPr>
          <w:p w:rsidR="007E0861" w:rsidRDefault="00982BA0" w:rsidP="007E0861">
            <w:pPr>
              <w:pStyle w:val="LTVerzDerFragendenFrage"/>
            </w:pPr>
            <w:hyperlink w:anchor="Frage_Nr_67" w:tooltip="Frage Nr 67" w:history="1">
              <w:r w:rsidR="007E0861">
                <w:rPr>
                  <w:rStyle w:val="Hyperlink"/>
                  <w:szCs w:val="24"/>
                </w:rPr>
                <w:t>Kühlboxbeschaffung der Firma Dometic Germany GmbH</w:t>
              </w:r>
              <w:r w:rsidR="007E0861">
                <w:rPr>
                  <w:rStyle w:val="Hyperlink"/>
                  <w:szCs w:val="24"/>
                </w:rPr>
                <w:tab/>
                <w:t>67</w:t>
              </w:r>
            </w:hyperlink>
          </w:p>
        </w:tc>
      </w:tr>
      <w:tr w:rsidR="007E0861" w:rsidRPr="005833DD" w:rsidTr="001F3CDA">
        <w:tc>
          <w:tcPr>
            <w:tcW w:w="5000" w:type="pct"/>
          </w:tcPr>
          <w:p w:rsidR="007E0861" w:rsidRDefault="007E0861" w:rsidP="007E0861">
            <w:pPr>
              <w:pStyle w:val="LTVerzDerFragenden"/>
            </w:pPr>
            <w:r>
              <w:t>Rauscher, Doris (SPD)</w:t>
            </w:r>
          </w:p>
        </w:tc>
      </w:tr>
      <w:tr w:rsidR="007E0861" w:rsidRPr="005833DD" w:rsidTr="001F3CDA">
        <w:tc>
          <w:tcPr>
            <w:tcW w:w="5000" w:type="pct"/>
          </w:tcPr>
          <w:p w:rsidR="007E0861" w:rsidRDefault="00982BA0" w:rsidP="007E0861">
            <w:pPr>
              <w:pStyle w:val="LTVerzDerFragendenFrage"/>
            </w:pPr>
            <w:hyperlink w:anchor="Frage_Nr_68" w:tooltip="Frage Nr 68" w:history="1">
              <w:r w:rsidR="00773102">
                <w:rPr>
                  <w:rStyle w:val="Hyperlink"/>
                  <w:szCs w:val="24"/>
                </w:rPr>
                <w:t>Pflegereform 2021 –</w:t>
              </w:r>
              <w:r w:rsidR="007E0861">
                <w:rPr>
                  <w:rStyle w:val="Hyperlink"/>
                  <w:szCs w:val="24"/>
                </w:rPr>
                <w:t xml:space="preserve"> Tagespflegebudget</w:t>
              </w:r>
              <w:r w:rsidR="007E0861">
                <w:rPr>
                  <w:rStyle w:val="Hyperlink"/>
                  <w:szCs w:val="24"/>
                </w:rPr>
                <w:tab/>
                <w:t>68</w:t>
              </w:r>
            </w:hyperlink>
          </w:p>
        </w:tc>
      </w:tr>
      <w:tr w:rsidR="007E0861" w:rsidRPr="005833DD" w:rsidTr="001F3CDA">
        <w:tc>
          <w:tcPr>
            <w:tcW w:w="5000" w:type="pct"/>
          </w:tcPr>
          <w:p w:rsidR="007E0861" w:rsidRDefault="007E0861" w:rsidP="007E0861">
            <w:pPr>
              <w:pStyle w:val="LTVerzDerFragenden"/>
            </w:pPr>
            <w:r>
              <w:t>Rinderspacher, Markus (SPD)</w:t>
            </w:r>
          </w:p>
        </w:tc>
      </w:tr>
      <w:tr w:rsidR="007E0861" w:rsidRPr="005833DD" w:rsidTr="001F3CDA">
        <w:tc>
          <w:tcPr>
            <w:tcW w:w="5000" w:type="pct"/>
          </w:tcPr>
          <w:p w:rsidR="007E0861" w:rsidRDefault="00982BA0" w:rsidP="007E0861">
            <w:pPr>
              <w:pStyle w:val="LTVerzDerFragendenFrage"/>
            </w:pPr>
            <w:hyperlink w:anchor="Frage_Nr_7" w:tooltip="Frage Nr 7" w:history="1">
              <w:r w:rsidR="007E0861">
                <w:rPr>
                  <w:rStyle w:val="Hyperlink"/>
                  <w:szCs w:val="24"/>
                </w:rPr>
                <w:t>Truderinger Kurve: Verlegung der Kfz-Verwahrstelle</w:t>
              </w:r>
              <w:r w:rsidR="007E0861">
                <w:rPr>
                  <w:rStyle w:val="Hyperlink"/>
                  <w:szCs w:val="24"/>
                </w:rPr>
                <w:tab/>
                <w:t>7</w:t>
              </w:r>
            </w:hyperlink>
          </w:p>
        </w:tc>
      </w:tr>
      <w:tr w:rsidR="007E0861" w:rsidRPr="005833DD" w:rsidTr="001F3CDA">
        <w:tc>
          <w:tcPr>
            <w:tcW w:w="5000" w:type="pct"/>
          </w:tcPr>
          <w:p w:rsidR="007E0861" w:rsidRDefault="007E0861" w:rsidP="007E0861">
            <w:pPr>
              <w:pStyle w:val="LTVerzDerFragenden"/>
            </w:pPr>
            <w:r>
              <w:t>Ritter, Florian (SPD)</w:t>
            </w:r>
          </w:p>
        </w:tc>
      </w:tr>
      <w:tr w:rsidR="007E0861" w:rsidRPr="005833DD" w:rsidTr="001F3CDA">
        <w:tc>
          <w:tcPr>
            <w:tcW w:w="5000" w:type="pct"/>
          </w:tcPr>
          <w:p w:rsidR="007E0861" w:rsidRDefault="00982BA0" w:rsidP="007E0861">
            <w:pPr>
              <w:pStyle w:val="LTVerzDerFragendenFrage"/>
            </w:pPr>
            <w:hyperlink w:anchor="Frage_Nr_3" w:tooltip="Frage Nr 3" w:history="1">
              <w:r w:rsidR="007E0861">
                <w:rPr>
                  <w:rStyle w:val="Hyperlink"/>
                  <w:szCs w:val="24"/>
                </w:rPr>
                <w:t>Rechtsextreme Straftaten 2019 und 2018</w:t>
              </w:r>
              <w:r w:rsidR="007E0861">
                <w:rPr>
                  <w:rStyle w:val="Hyperlink"/>
                  <w:szCs w:val="24"/>
                </w:rPr>
                <w:tab/>
                <w:t>3</w:t>
              </w:r>
            </w:hyperlink>
          </w:p>
        </w:tc>
      </w:tr>
      <w:tr w:rsidR="007E0861" w:rsidRPr="005833DD" w:rsidTr="001F3CDA">
        <w:tc>
          <w:tcPr>
            <w:tcW w:w="5000" w:type="pct"/>
          </w:tcPr>
          <w:p w:rsidR="007E0861" w:rsidRDefault="007E0861" w:rsidP="007E0861">
            <w:pPr>
              <w:pStyle w:val="LTVerzDerFragenden"/>
            </w:pPr>
            <w:r>
              <w:t>Sandt, Julika (FDP)</w:t>
            </w:r>
          </w:p>
        </w:tc>
      </w:tr>
      <w:tr w:rsidR="007E0861" w:rsidRPr="005833DD" w:rsidTr="001F3CDA">
        <w:tc>
          <w:tcPr>
            <w:tcW w:w="5000" w:type="pct"/>
          </w:tcPr>
          <w:p w:rsidR="007E0861" w:rsidRDefault="00982BA0" w:rsidP="00407887">
            <w:pPr>
              <w:pStyle w:val="LTVerzDerFragendenFrage"/>
            </w:pPr>
            <w:hyperlink w:anchor="Frage_Nr_43" w:tooltip="Frage Nr 43" w:history="1">
              <w:r w:rsidR="007E0861">
                <w:rPr>
                  <w:rStyle w:val="Hyperlink"/>
                  <w:szCs w:val="24"/>
                </w:rPr>
                <w:t>Schnelltests für Kita-Kinder</w:t>
              </w:r>
              <w:r w:rsidR="007E0861">
                <w:rPr>
                  <w:rStyle w:val="Hyperlink"/>
                  <w:szCs w:val="24"/>
                </w:rPr>
                <w:tab/>
                <w:t>4</w:t>
              </w:r>
            </w:hyperlink>
            <w:r w:rsidR="00407887">
              <w:rPr>
                <w:rStyle w:val="Hyperlink"/>
                <w:szCs w:val="24"/>
              </w:rPr>
              <w:t>4</w:t>
            </w:r>
          </w:p>
        </w:tc>
      </w:tr>
      <w:tr w:rsidR="007E0861" w:rsidRPr="005833DD" w:rsidTr="001F3CDA">
        <w:tc>
          <w:tcPr>
            <w:tcW w:w="5000" w:type="pct"/>
          </w:tcPr>
          <w:p w:rsidR="007E0861" w:rsidRDefault="007E0861" w:rsidP="007E0861">
            <w:pPr>
              <w:pStyle w:val="LTVerzDerFragenden"/>
            </w:pPr>
            <w:r>
              <w:t>Schiffers, Jan (AfD)</w:t>
            </w:r>
          </w:p>
        </w:tc>
      </w:tr>
      <w:tr w:rsidR="007E0861" w:rsidRPr="005833DD" w:rsidTr="001F3CDA">
        <w:tc>
          <w:tcPr>
            <w:tcW w:w="5000" w:type="pct"/>
          </w:tcPr>
          <w:p w:rsidR="007E0861" w:rsidRDefault="00982BA0" w:rsidP="007E0861">
            <w:pPr>
              <w:pStyle w:val="LTVerzDerFragendenFrage"/>
            </w:pPr>
            <w:hyperlink w:anchor="Frage_Nr_69" w:tooltip="Frage Nr 69" w:history="1">
              <w:r w:rsidR="007E0861">
                <w:rPr>
                  <w:rStyle w:val="Hyperlink"/>
                  <w:szCs w:val="24"/>
                </w:rPr>
                <w:t>Fortbestand der Impfzentren in Bayern</w:t>
              </w:r>
              <w:r w:rsidR="007E0861">
                <w:rPr>
                  <w:rStyle w:val="Hyperlink"/>
                  <w:szCs w:val="24"/>
                </w:rPr>
                <w:tab/>
                <w:t>69</w:t>
              </w:r>
            </w:hyperlink>
          </w:p>
        </w:tc>
      </w:tr>
      <w:tr w:rsidR="007E0861" w:rsidRPr="005833DD" w:rsidTr="001F3CDA">
        <w:tc>
          <w:tcPr>
            <w:tcW w:w="5000" w:type="pct"/>
          </w:tcPr>
          <w:p w:rsidR="007E0861" w:rsidRDefault="007E0861" w:rsidP="007E0861">
            <w:pPr>
              <w:pStyle w:val="LTVerzDerFragenden"/>
            </w:pPr>
            <w:r>
              <w:t>Schuberl, Toni (BÜNDNIS 90/DIE GRÜNEN)</w:t>
            </w:r>
          </w:p>
        </w:tc>
      </w:tr>
      <w:tr w:rsidR="007E0861" w:rsidRPr="005833DD" w:rsidTr="001F3CDA">
        <w:tc>
          <w:tcPr>
            <w:tcW w:w="5000" w:type="pct"/>
          </w:tcPr>
          <w:p w:rsidR="007E0861" w:rsidRDefault="00982BA0" w:rsidP="007E0861">
            <w:pPr>
              <w:pStyle w:val="LTVerzDerFragendenFrage"/>
            </w:pPr>
            <w:hyperlink w:anchor="Frage_Nr_10" w:tooltip="Frage Nr 10" w:history="1">
              <w:r w:rsidR="007E0861">
                <w:rPr>
                  <w:rStyle w:val="Hyperlink"/>
                  <w:szCs w:val="24"/>
                </w:rPr>
                <w:t>Staatsanwaltschaftliche Berichte im Bestechungsskandal</w:t>
              </w:r>
              <w:r w:rsidR="007E0861">
                <w:rPr>
                  <w:rStyle w:val="Hyperlink"/>
                  <w:szCs w:val="24"/>
                </w:rPr>
                <w:tab/>
                <w:t>10</w:t>
              </w:r>
            </w:hyperlink>
          </w:p>
        </w:tc>
      </w:tr>
      <w:tr w:rsidR="007E0861" w:rsidRPr="005833DD" w:rsidTr="001F3CDA">
        <w:tc>
          <w:tcPr>
            <w:tcW w:w="5000" w:type="pct"/>
          </w:tcPr>
          <w:p w:rsidR="007E0861" w:rsidRDefault="007E0861" w:rsidP="007E0861">
            <w:pPr>
              <w:pStyle w:val="LTVerzDerFragenden"/>
            </w:pPr>
            <w:r>
              <w:t>Schuhknecht, Stephanie (BÜNDNIS 90/DIE GRÜNEN)</w:t>
            </w:r>
          </w:p>
        </w:tc>
      </w:tr>
      <w:tr w:rsidR="007E0861" w:rsidRPr="005833DD" w:rsidTr="001F3CDA">
        <w:tc>
          <w:tcPr>
            <w:tcW w:w="5000" w:type="pct"/>
          </w:tcPr>
          <w:p w:rsidR="007E0861" w:rsidRDefault="00982BA0" w:rsidP="00D76C8C">
            <w:pPr>
              <w:pStyle w:val="LTVerzDerFragendenFrage"/>
            </w:pPr>
            <w:hyperlink w:anchor="Frage_Nr_20" w:tooltip="Frage Nr 20" w:history="1">
              <w:r w:rsidR="007E0861">
                <w:rPr>
                  <w:rStyle w:val="Hyperlink"/>
                  <w:szCs w:val="24"/>
                </w:rPr>
                <w:t>Küns</w:t>
              </w:r>
              <w:r w:rsidR="00AC6C23">
                <w:rPr>
                  <w:rStyle w:val="Hyperlink"/>
                  <w:szCs w:val="24"/>
                </w:rPr>
                <w:t>tlerinnen- bzw. Künstlerhilfen –</w:t>
              </w:r>
              <w:r w:rsidR="007E0861">
                <w:rPr>
                  <w:rStyle w:val="Hyperlink"/>
                  <w:szCs w:val="24"/>
                </w:rPr>
                <w:t xml:space="preserve"> Rückzahlungsforderungen wegen </w:t>
              </w:r>
              <w:r w:rsidR="00434496">
                <w:rPr>
                  <w:rStyle w:val="Hyperlink"/>
                  <w:szCs w:val="24"/>
                </w:rPr>
                <w:br/>
              </w:r>
              <w:r w:rsidR="00773102">
                <w:rPr>
                  <w:rStyle w:val="Hyperlink"/>
                  <w:szCs w:val="24"/>
                </w:rPr>
                <w:t>Überkompensation –</w:t>
              </w:r>
              <w:r w:rsidR="007E0861">
                <w:rPr>
                  <w:rStyle w:val="Hyperlink"/>
                  <w:szCs w:val="24"/>
                </w:rPr>
                <w:t xml:space="preserve"> Bagatellregelung geplant?</w:t>
              </w:r>
              <w:r w:rsidR="007E0861">
                <w:rPr>
                  <w:rStyle w:val="Hyperlink"/>
                  <w:szCs w:val="24"/>
                </w:rPr>
                <w:tab/>
                <w:t>2</w:t>
              </w:r>
            </w:hyperlink>
            <w:r w:rsidR="00D76C8C">
              <w:rPr>
                <w:rStyle w:val="Hyperlink"/>
                <w:szCs w:val="24"/>
              </w:rPr>
              <w:t>1</w:t>
            </w:r>
          </w:p>
        </w:tc>
      </w:tr>
      <w:tr w:rsidR="007E0861" w:rsidRPr="005833DD" w:rsidTr="001F3CDA">
        <w:tc>
          <w:tcPr>
            <w:tcW w:w="5000" w:type="pct"/>
          </w:tcPr>
          <w:p w:rsidR="007E0861" w:rsidRDefault="007E0861" w:rsidP="007E0861">
            <w:pPr>
              <w:pStyle w:val="LTVerzDerFragenden"/>
            </w:pPr>
            <w:r>
              <w:t>Schulze, Katharina (BÜNDNIS 90/DIE GRÜNEN)</w:t>
            </w:r>
          </w:p>
        </w:tc>
      </w:tr>
      <w:tr w:rsidR="007E0861" w:rsidRPr="005833DD" w:rsidTr="001F3CDA">
        <w:tc>
          <w:tcPr>
            <w:tcW w:w="5000" w:type="pct"/>
          </w:tcPr>
          <w:p w:rsidR="007E0861" w:rsidRDefault="00982BA0" w:rsidP="007E0861">
            <w:pPr>
              <w:pStyle w:val="LTVerzDerFragendenFrage"/>
            </w:pPr>
            <w:hyperlink w:anchor="Frage_Nr_11" w:tooltip="Frage Nr 11" w:history="1">
              <w:r w:rsidR="007E0861">
                <w:rPr>
                  <w:rStyle w:val="Hyperlink"/>
                  <w:szCs w:val="24"/>
                </w:rPr>
                <w:t>Bestechungsskandal um MdB Nüßlein</w:t>
              </w:r>
              <w:r w:rsidR="007E0861">
                <w:rPr>
                  <w:rStyle w:val="Hyperlink"/>
                  <w:szCs w:val="24"/>
                </w:rPr>
                <w:tab/>
                <w:t>11</w:t>
              </w:r>
            </w:hyperlink>
          </w:p>
        </w:tc>
      </w:tr>
      <w:tr w:rsidR="007E0861" w:rsidRPr="005833DD" w:rsidTr="001F3CDA">
        <w:tc>
          <w:tcPr>
            <w:tcW w:w="5000" w:type="pct"/>
          </w:tcPr>
          <w:p w:rsidR="007E0861" w:rsidRDefault="007E0861" w:rsidP="007E0861">
            <w:pPr>
              <w:pStyle w:val="LTVerzDerFragenden"/>
            </w:pPr>
            <w:r>
              <w:t>Schuster, Stefan (SPD)</w:t>
            </w:r>
          </w:p>
        </w:tc>
      </w:tr>
      <w:tr w:rsidR="007E0861" w:rsidRPr="005833DD" w:rsidTr="001F3CDA">
        <w:tc>
          <w:tcPr>
            <w:tcW w:w="5000" w:type="pct"/>
          </w:tcPr>
          <w:p w:rsidR="007E0861" w:rsidRDefault="00982BA0" w:rsidP="007E0861">
            <w:pPr>
              <w:pStyle w:val="LTVerzDerFragendenFrage"/>
            </w:pPr>
            <w:hyperlink w:anchor="Frage_Nr_4" w:tooltip="Frage Nr 4" w:history="1">
              <w:r w:rsidR="007E0861">
                <w:rPr>
                  <w:rStyle w:val="Hyperlink"/>
                  <w:szCs w:val="24"/>
                </w:rPr>
                <w:t>Straßenverkehr-Transp</w:t>
              </w:r>
              <w:r w:rsidR="00434496">
                <w:rPr>
                  <w:rStyle w:val="Hyperlink"/>
                  <w:szCs w:val="24"/>
                </w:rPr>
                <w:t>ortbegleitungsverordnung</w:t>
              </w:r>
              <w:r w:rsidR="007E0861">
                <w:rPr>
                  <w:rStyle w:val="Hyperlink"/>
                  <w:szCs w:val="24"/>
                </w:rPr>
                <w:tab/>
                <w:t>4</w:t>
              </w:r>
            </w:hyperlink>
          </w:p>
        </w:tc>
      </w:tr>
      <w:tr w:rsidR="007E0861" w:rsidRPr="005833DD" w:rsidTr="001F3CDA">
        <w:tc>
          <w:tcPr>
            <w:tcW w:w="5000" w:type="pct"/>
          </w:tcPr>
          <w:p w:rsidR="007E0861" w:rsidRDefault="007E0861" w:rsidP="007E0861">
            <w:pPr>
              <w:pStyle w:val="LTVerzDerFragenden"/>
            </w:pPr>
            <w:r>
              <w:t>Schwamberger, Anna (BÜNDNIS 90/DIE GRÜNEN)</w:t>
            </w:r>
          </w:p>
        </w:tc>
      </w:tr>
      <w:tr w:rsidR="007E0861" w:rsidRPr="005833DD" w:rsidTr="001F3CDA">
        <w:tc>
          <w:tcPr>
            <w:tcW w:w="5000" w:type="pct"/>
          </w:tcPr>
          <w:p w:rsidR="007E0861" w:rsidRDefault="00982BA0" w:rsidP="007E0861">
            <w:pPr>
              <w:pStyle w:val="LTVerzDerFragendenFrage"/>
            </w:pPr>
            <w:hyperlink w:anchor="Frage_Nr_14" w:tooltip="Frage Nr 14" w:history="1">
              <w:r w:rsidR="007E0861">
                <w:rPr>
                  <w:rStyle w:val="Hyperlink"/>
                  <w:szCs w:val="24"/>
                </w:rPr>
                <w:t>Externe Angebote für digitale Lernplattform an bayerischen Schulen</w:t>
              </w:r>
              <w:r w:rsidR="007E0861">
                <w:rPr>
                  <w:rStyle w:val="Hyperlink"/>
                  <w:szCs w:val="24"/>
                </w:rPr>
                <w:tab/>
                <w:t>14</w:t>
              </w:r>
            </w:hyperlink>
          </w:p>
        </w:tc>
      </w:tr>
      <w:tr w:rsidR="007E0861" w:rsidRPr="005833DD" w:rsidTr="001F3CDA">
        <w:tc>
          <w:tcPr>
            <w:tcW w:w="5000" w:type="pct"/>
          </w:tcPr>
          <w:p w:rsidR="007E0861" w:rsidRDefault="007E0861" w:rsidP="007E0861">
            <w:pPr>
              <w:pStyle w:val="LTVerzDerFragenden"/>
            </w:pPr>
            <w:r>
              <w:t>Sengl, Gisela (BÜNDNIS 90/DIE GRÜNEN)</w:t>
            </w:r>
          </w:p>
        </w:tc>
      </w:tr>
      <w:tr w:rsidR="007E0861" w:rsidRPr="005833DD" w:rsidTr="001F3CDA">
        <w:tc>
          <w:tcPr>
            <w:tcW w:w="5000" w:type="pct"/>
          </w:tcPr>
          <w:p w:rsidR="007E0861" w:rsidRDefault="00982BA0" w:rsidP="007E0861">
            <w:pPr>
              <w:pStyle w:val="LTVerzDerFragendenFrage"/>
            </w:pPr>
            <w:hyperlink w:anchor="Frage_Nr_8" w:tooltip="Frage Nr 8" w:history="1">
              <w:r w:rsidR="007E0861">
                <w:rPr>
                  <w:rStyle w:val="Hyperlink"/>
                  <w:szCs w:val="24"/>
                </w:rPr>
                <w:t>Ausweisung von Konzentrationszonen für Kiesabbau durch Kommunen</w:t>
              </w:r>
              <w:r w:rsidR="007E0861">
                <w:rPr>
                  <w:rStyle w:val="Hyperlink"/>
                  <w:szCs w:val="24"/>
                </w:rPr>
                <w:tab/>
                <w:t>8</w:t>
              </w:r>
            </w:hyperlink>
          </w:p>
        </w:tc>
      </w:tr>
      <w:tr w:rsidR="007E0861" w:rsidRPr="005833DD" w:rsidTr="001F3CDA">
        <w:tc>
          <w:tcPr>
            <w:tcW w:w="5000" w:type="pct"/>
          </w:tcPr>
          <w:p w:rsidR="007E0861" w:rsidRDefault="007E0861" w:rsidP="007E0861">
            <w:pPr>
              <w:pStyle w:val="LTVerzDerFragenden"/>
            </w:pPr>
            <w:r>
              <w:t>Siekmann, Florian (BÜNDNIS 90/DIE GRÜNEN)</w:t>
            </w:r>
          </w:p>
        </w:tc>
      </w:tr>
      <w:tr w:rsidR="007E0861" w:rsidRPr="005833DD" w:rsidTr="001F3CDA">
        <w:tc>
          <w:tcPr>
            <w:tcW w:w="5000" w:type="pct"/>
          </w:tcPr>
          <w:p w:rsidR="007E0861" w:rsidRDefault="00982BA0" w:rsidP="007E0861">
            <w:pPr>
              <w:pStyle w:val="LTVerzDerFragendenFrage"/>
            </w:pPr>
            <w:hyperlink w:anchor="Frage_Nr_70" w:tooltip="Frage Nr 70" w:history="1">
              <w:r w:rsidR="007E0861">
                <w:rPr>
                  <w:rStyle w:val="Hyperlink"/>
                  <w:szCs w:val="24"/>
                </w:rPr>
                <w:t>Pandemiebeschaffungsverträge unter Beteiligung von MdB Georg Nüßlein</w:t>
              </w:r>
              <w:r w:rsidR="007E0861">
                <w:rPr>
                  <w:rStyle w:val="Hyperlink"/>
                  <w:szCs w:val="24"/>
                </w:rPr>
                <w:tab/>
                <w:t>70</w:t>
              </w:r>
            </w:hyperlink>
          </w:p>
        </w:tc>
      </w:tr>
      <w:tr w:rsidR="007E0861" w:rsidRPr="005833DD" w:rsidTr="001F3CDA">
        <w:tc>
          <w:tcPr>
            <w:tcW w:w="5000" w:type="pct"/>
          </w:tcPr>
          <w:p w:rsidR="007E0861" w:rsidRDefault="007E0861" w:rsidP="007E0861">
            <w:pPr>
              <w:pStyle w:val="LTVerzDerFragenden"/>
            </w:pPr>
            <w:r>
              <w:t>Singer, Ulrich (AfD)</w:t>
            </w:r>
          </w:p>
        </w:tc>
      </w:tr>
      <w:tr w:rsidR="007E0861" w:rsidRPr="005833DD" w:rsidTr="001F3CDA">
        <w:tc>
          <w:tcPr>
            <w:tcW w:w="5000" w:type="pct"/>
          </w:tcPr>
          <w:p w:rsidR="007E0861" w:rsidRDefault="00982BA0" w:rsidP="00407887">
            <w:pPr>
              <w:pStyle w:val="LTVerzDerFragendenFrage"/>
            </w:pPr>
            <w:hyperlink w:anchor="Frage_Nr_33" w:tooltip="Frage Nr 33" w:history="1">
              <w:r w:rsidR="007E0861">
                <w:rPr>
                  <w:rStyle w:val="Hyperlink"/>
                  <w:szCs w:val="24"/>
                </w:rPr>
                <w:t>Versorgungssicherheit im Lockdown</w:t>
              </w:r>
              <w:r w:rsidR="007E0861">
                <w:rPr>
                  <w:rStyle w:val="Hyperlink"/>
                  <w:szCs w:val="24"/>
                </w:rPr>
                <w:tab/>
                <w:t>3</w:t>
              </w:r>
            </w:hyperlink>
            <w:r w:rsidR="00407887">
              <w:rPr>
                <w:rStyle w:val="Hyperlink"/>
                <w:szCs w:val="24"/>
              </w:rPr>
              <w:t>4</w:t>
            </w:r>
          </w:p>
        </w:tc>
      </w:tr>
      <w:tr w:rsidR="007E0861" w:rsidRPr="005833DD" w:rsidTr="001F3CDA">
        <w:tc>
          <w:tcPr>
            <w:tcW w:w="5000" w:type="pct"/>
          </w:tcPr>
          <w:p w:rsidR="007E0861" w:rsidRDefault="007E0861" w:rsidP="007E0861">
            <w:pPr>
              <w:pStyle w:val="LTVerzDerFragenden"/>
            </w:pPr>
            <w:r>
              <w:t>Skutella, Christoph (FDP)</w:t>
            </w:r>
          </w:p>
        </w:tc>
      </w:tr>
      <w:tr w:rsidR="007E0861" w:rsidRPr="005833DD" w:rsidTr="001F3CDA">
        <w:tc>
          <w:tcPr>
            <w:tcW w:w="5000" w:type="pct"/>
          </w:tcPr>
          <w:p w:rsidR="007E0861" w:rsidRDefault="00982BA0" w:rsidP="00407887">
            <w:pPr>
              <w:pStyle w:val="LTVerzDerFragendenFrage"/>
            </w:pPr>
            <w:hyperlink w:anchor="Frage_Nr_41" w:tooltip="Frage Nr 41" w:history="1">
              <w:r w:rsidR="007E0861">
                <w:rPr>
                  <w:rStyle w:val="Hyperlink"/>
                  <w:szCs w:val="24"/>
                </w:rPr>
                <w:t>CO</w:t>
              </w:r>
              <w:r w:rsidR="007E0861" w:rsidRPr="00434496">
                <w:rPr>
                  <w:rStyle w:val="Hyperlink"/>
                  <w:szCs w:val="24"/>
                  <w:vertAlign w:val="subscript"/>
                </w:rPr>
                <w:t>2</w:t>
              </w:r>
              <w:r w:rsidR="007E0861">
                <w:rPr>
                  <w:rStyle w:val="Hyperlink"/>
                  <w:szCs w:val="24"/>
                </w:rPr>
                <w:t>-B</w:t>
              </w:r>
              <w:r w:rsidR="00773102">
                <w:rPr>
                  <w:rStyle w:val="Hyperlink"/>
                  <w:szCs w:val="24"/>
                </w:rPr>
                <w:t>indungsprämie für Waldbesitzer –</w:t>
              </w:r>
              <w:r w:rsidR="007E0861">
                <w:rPr>
                  <w:rStyle w:val="Hyperlink"/>
                  <w:szCs w:val="24"/>
                </w:rPr>
                <w:t xml:space="preserve"> Sachstand und Zwischenergebnisse </w:t>
              </w:r>
              <w:r w:rsidR="00434496">
                <w:rPr>
                  <w:rStyle w:val="Hyperlink"/>
                  <w:szCs w:val="24"/>
                </w:rPr>
                <w:br/>
              </w:r>
              <w:r w:rsidR="00AC6C23">
                <w:rPr>
                  <w:rStyle w:val="Hyperlink"/>
                  <w:szCs w:val="24"/>
                </w:rPr>
                <w:t>der Bund-Länder-</w:t>
              </w:r>
              <w:r w:rsidR="007E0861">
                <w:rPr>
                  <w:rStyle w:val="Hyperlink"/>
                  <w:szCs w:val="24"/>
                </w:rPr>
                <w:t>Arbeitsgruppe</w:t>
              </w:r>
              <w:r w:rsidR="007E0861">
                <w:rPr>
                  <w:rStyle w:val="Hyperlink"/>
                  <w:szCs w:val="24"/>
                </w:rPr>
                <w:tab/>
                <w:t>4</w:t>
              </w:r>
            </w:hyperlink>
            <w:r w:rsidR="00407887">
              <w:rPr>
                <w:rStyle w:val="Hyperlink"/>
                <w:szCs w:val="24"/>
              </w:rPr>
              <w:t>2</w:t>
            </w:r>
          </w:p>
        </w:tc>
      </w:tr>
      <w:tr w:rsidR="007E0861" w:rsidRPr="005833DD" w:rsidTr="001F3CDA">
        <w:tc>
          <w:tcPr>
            <w:tcW w:w="5000" w:type="pct"/>
          </w:tcPr>
          <w:p w:rsidR="007E0861" w:rsidRDefault="007E0861" w:rsidP="007E0861">
            <w:pPr>
              <w:pStyle w:val="LTVerzDerFragenden"/>
            </w:pPr>
            <w:r>
              <w:t>Sowa, Ursula (BÜNDNIS 90/DIE GRÜNEN)</w:t>
            </w:r>
          </w:p>
        </w:tc>
      </w:tr>
      <w:tr w:rsidR="007E0861" w:rsidRPr="005833DD" w:rsidTr="001F3CDA">
        <w:tc>
          <w:tcPr>
            <w:tcW w:w="5000" w:type="pct"/>
          </w:tcPr>
          <w:p w:rsidR="007E0861" w:rsidRDefault="00982BA0" w:rsidP="00434496">
            <w:pPr>
              <w:pStyle w:val="LTVerzDerFragendenFrage"/>
            </w:pPr>
            <w:hyperlink w:anchor="Frage_Nr_71" w:tooltip="Frage Nr 71" w:history="1">
              <w:r w:rsidR="007E0861">
                <w:rPr>
                  <w:rStyle w:val="Hyperlink"/>
                  <w:szCs w:val="24"/>
                </w:rPr>
                <w:t>Beschaffung von FFP2-Masken durch die Staatsregierung</w:t>
              </w:r>
              <w:r w:rsidR="007E0861">
                <w:rPr>
                  <w:rStyle w:val="Hyperlink"/>
                  <w:szCs w:val="24"/>
                </w:rPr>
                <w:tab/>
                <w:t>71</w:t>
              </w:r>
            </w:hyperlink>
          </w:p>
        </w:tc>
      </w:tr>
      <w:tr w:rsidR="007E0861" w:rsidRPr="005833DD" w:rsidTr="001F3CDA">
        <w:tc>
          <w:tcPr>
            <w:tcW w:w="5000" w:type="pct"/>
          </w:tcPr>
          <w:p w:rsidR="007E0861" w:rsidRDefault="007E0861" w:rsidP="007E0861">
            <w:pPr>
              <w:pStyle w:val="LTVerzDerFragenden"/>
            </w:pPr>
            <w:r>
              <w:t>Dr. Spitzer, Dominik (FDP)</w:t>
            </w:r>
          </w:p>
        </w:tc>
      </w:tr>
      <w:tr w:rsidR="007E0861" w:rsidRPr="005833DD" w:rsidTr="001F3CDA">
        <w:tc>
          <w:tcPr>
            <w:tcW w:w="5000" w:type="pct"/>
          </w:tcPr>
          <w:p w:rsidR="007E0861" w:rsidRDefault="00982BA0" w:rsidP="007E0861">
            <w:pPr>
              <w:pStyle w:val="LTVerzDerFragendenFrage"/>
            </w:pPr>
            <w:hyperlink w:anchor="Frage_Nr_72" w:tooltip="Frage Nr 72" w:history="1">
              <w:r w:rsidR="007E0861">
                <w:rPr>
                  <w:rStyle w:val="Hyperlink"/>
                  <w:szCs w:val="24"/>
                </w:rPr>
                <w:t>Qualitätssicherung der Testungen auf SARS-CoV-2</w:t>
              </w:r>
              <w:r w:rsidR="007E0861">
                <w:rPr>
                  <w:rStyle w:val="Hyperlink"/>
                  <w:szCs w:val="24"/>
                </w:rPr>
                <w:tab/>
                <w:t>72</w:t>
              </w:r>
            </w:hyperlink>
          </w:p>
        </w:tc>
      </w:tr>
      <w:tr w:rsidR="007E0861" w:rsidRPr="005833DD" w:rsidTr="001F3CDA">
        <w:tc>
          <w:tcPr>
            <w:tcW w:w="5000" w:type="pct"/>
          </w:tcPr>
          <w:p w:rsidR="007E0861" w:rsidRDefault="007E0861" w:rsidP="007E0861">
            <w:pPr>
              <w:pStyle w:val="LTVerzDerFragenden"/>
            </w:pPr>
            <w:r>
              <w:t>Stachowitz, Diana (SPD)</w:t>
            </w:r>
          </w:p>
        </w:tc>
      </w:tr>
      <w:tr w:rsidR="007E0861" w:rsidRPr="005833DD" w:rsidTr="001F3CDA">
        <w:tc>
          <w:tcPr>
            <w:tcW w:w="5000" w:type="pct"/>
          </w:tcPr>
          <w:p w:rsidR="007E0861" w:rsidRDefault="00982BA0" w:rsidP="00407887">
            <w:pPr>
              <w:pStyle w:val="LTVerzDerFragendenFrage"/>
            </w:pPr>
            <w:hyperlink w:anchor="Frage_Nr_42" w:tooltip="Frage Nr 42" w:history="1">
              <w:r w:rsidR="007E0861">
                <w:rPr>
                  <w:rStyle w:val="Hyperlink"/>
                  <w:szCs w:val="24"/>
                </w:rPr>
                <w:t>Hydrologisches Gutachten Hofgut Erlenfurt</w:t>
              </w:r>
              <w:r w:rsidR="007E0861">
                <w:rPr>
                  <w:rStyle w:val="Hyperlink"/>
                  <w:szCs w:val="24"/>
                </w:rPr>
                <w:tab/>
                <w:t>4</w:t>
              </w:r>
            </w:hyperlink>
            <w:r w:rsidR="00407887">
              <w:rPr>
                <w:rStyle w:val="Hyperlink"/>
                <w:szCs w:val="24"/>
              </w:rPr>
              <w:t>3</w:t>
            </w:r>
          </w:p>
        </w:tc>
      </w:tr>
      <w:tr w:rsidR="007E0861" w:rsidRPr="005833DD" w:rsidTr="001F3CDA">
        <w:tc>
          <w:tcPr>
            <w:tcW w:w="5000" w:type="pct"/>
          </w:tcPr>
          <w:p w:rsidR="007E0861" w:rsidRDefault="007E0861" w:rsidP="007E0861">
            <w:pPr>
              <w:pStyle w:val="LTVerzDerFragenden"/>
            </w:pPr>
            <w:r>
              <w:lastRenderedPageBreak/>
              <w:t>Steinberger, Rosi (BÜNDNIS 90/DIE GRÜNEN)</w:t>
            </w:r>
          </w:p>
        </w:tc>
      </w:tr>
      <w:tr w:rsidR="007E0861" w:rsidRPr="005833DD" w:rsidTr="001F3CDA">
        <w:tc>
          <w:tcPr>
            <w:tcW w:w="5000" w:type="pct"/>
          </w:tcPr>
          <w:p w:rsidR="007E0861" w:rsidRDefault="00982BA0" w:rsidP="007E0861">
            <w:pPr>
              <w:pStyle w:val="LTVerzDerFragendenFrage"/>
            </w:pPr>
            <w:hyperlink w:anchor="Frage_Nr_73" w:tooltip="Frage Nr 73" w:history="1">
              <w:r w:rsidR="007E0861">
                <w:rPr>
                  <w:rStyle w:val="Hyperlink"/>
                  <w:szCs w:val="24"/>
                </w:rPr>
                <w:t>Impfstrate</w:t>
              </w:r>
              <w:r w:rsidR="00773102">
                <w:rPr>
                  <w:rStyle w:val="Hyperlink"/>
                  <w:szCs w:val="24"/>
                </w:rPr>
                <w:t>gie für Lehrkräfte und Erzieher</w:t>
              </w:r>
              <w:r w:rsidR="007E0861">
                <w:rPr>
                  <w:rStyle w:val="Hyperlink"/>
                  <w:szCs w:val="24"/>
                </w:rPr>
                <w:t>innen</w:t>
              </w:r>
              <w:r w:rsidR="00773102">
                <w:rPr>
                  <w:rStyle w:val="Hyperlink"/>
                  <w:szCs w:val="24"/>
                </w:rPr>
                <w:t xml:space="preserve"> und Erzieher</w:t>
              </w:r>
              <w:r w:rsidR="007E0861">
                <w:rPr>
                  <w:rStyle w:val="Hyperlink"/>
                  <w:szCs w:val="24"/>
                </w:rPr>
                <w:tab/>
                <w:t>73</w:t>
              </w:r>
            </w:hyperlink>
          </w:p>
        </w:tc>
      </w:tr>
      <w:tr w:rsidR="007E0861" w:rsidRPr="005833DD" w:rsidTr="001F3CDA">
        <w:tc>
          <w:tcPr>
            <w:tcW w:w="5000" w:type="pct"/>
          </w:tcPr>
          <w:p w:rsidR="007E0861" w:rsidRDefault="007E0861" w:rsidP="007E0861">
            <w:pPr>
              <w:pStyle w:val="LTVerzDerFragenden"/>
            </w:pPr>
            <w:r>
              <w:t>Dr. Strohmayr, Simone (SPD)</w:t>
            </w:r>
          </w:p>
        </w:tc>
      </w:tr>
      <w:tr w:rsidR="007E0861" w:rsidRPr="005833DD" w:rsidTr="001F3CDA">
        <w:tc>
          <w:tcPr>
            <w:tcW w:w="5000" w:type="pct"/>
          </w:tcPr>
          <w:p w:rsidR="007E0861" w:rsidRDefault="00982BA0" w:rsidP="00407887">
            <w:pPr>
              <w:pStyle w:val="LTVerzDerFragendenFrage"/>
            </w:pPr>
            <w:hyperlink w:anchor="Frage_Nr_44" w:tooltip="Frage Nr 44" w:history="1">
              <w:r w:rsidR="007E0861">
                <w:rPr>
                  <w:rStyle w:val="Hyperlink"/>
                  <w:szCs w:val="24"/>
                </w:rPr>
                <w:t xml:space="preserve">Mittelbereitstellung für das Modell </w:t>
              </w:r>
              <w:r w:rsidR="00102307">
                <w:rPr>
                  <w:rStyle w:val="Hyperlink"/>
                  <w:szCs w:val="24"/>
                </w:rPr>
                <w:t>„</w:t>
              </w:r>
              <w:r w:rsidR="007E0861">
                <w:rPr>
                  <w:rStyle w:val="Hyperlink"/>
                  <w:szCs w:val="24"/>
                </w:rPr>
                <w:t>Kooperativer Ganztag</w:t>
              </w:r>
              <w:r w:rsidR="00102307">
                <w:rPr>
                  <w:rStyle w:val="Hyperlink"/>
                  <w:szCs w:val="24"/>
                </w:rPr>
                <w:t>“</w:t>
              </w:r>
              <w:r w:rsidR="007E0861">
                <w:rPr>
                  <w:rStyle w:val="Hyperlink"/>
                  <w:szCs w:val="24"/>
                </w:rPr>
                <w:tab/>
                <w:t>4</w:t>
              </w:r>
            </w:hyperlink>
            <w:r w:rsidR="00407887">
              <w:rPr>
                <w:rStyle w:val="Hyperlink"/>
                <w:szCs w:val="24"/>
              </w:rPr>
              <w:t>5</w:t>
            </w:r>
          </w:p>
        </w:tc>
      </w:tr>
      <w:tr w:rsidR="007E0861" w:rsidRPr="005833DD" w:rsidTr="001F3CDA">
        <w:tc>
          <w:tcPr>
            <w:tcW w:w="5000" w:type="pct"/>
          </w:tcPr>
          <w:p w:rsidR="007E0861" w:rsidRDefault="007E0861" w:rsidP="007E0861">
            <w:pPr>
              <w:pStyle w:val="LTVerzDerFragenden"/>
            </w:pPr>
            <w:r>
              <w:t>Stümpfig, Martin (BÜNDNIS 90/DIE GRÜNEN)</w:t>
            </w:r>
          </w:p>
        </w:tc>
      </w:tr>
      <w:tr w:rsidR="007E0861" w:rsidRPr="005833DD" w:rsidTr="001F3CDA">
        <w:tc>
          <w:tcPr>
            <w:tcW w:w="5000" w:type="pct"/>
          </w:tcPr>
          <w:p w:rsidR="007E0861" w:rsidRDefault="00982BA0" w:rsidP="00407887">
            <w:pPr>
              <w:pStyle w:val="LTVerzDerFragendenFrage"/>
            </w:pPr>
            <w:hyperlink w:anchor="Frage_Nr_34" w:tooltip="Frage Nr 34" w:history="1">
              <w:r w:rsidR="007E0861">
                <w:rPr>
                  <w:rStyle w:val="Hyperlink"/>
                  <w:szCs w:val="24"/>
                </w:rPr>
                <w:t>Masterplan Geothermie</w:t>
              </w:r>
              <w:r w:rsidR="007E0861">
                <w:rPr>
                  <w:rStyle w:val="Hyperlink"/>
                  <w:szCs w:val="24"/>
                </w:rPr>
                <w:tab/>
                <w:t>3</w:t>
              </w:r>
            </w:hyperlink>
            <w:r w:rsidR="00407887">
              <w:rPr>
                <w:rStyle w:val="Hyperlink"/>
                <w:szCs w:val="24"/>
              </w:rPr>
              <w:t>5</w:t>
            </w:r>
          </w:p>
        </w:tc>
      </w:tr>
      <w:tr w:rsidR="007E0861" w:rsidRPr="005833DD" w:rsidTr="001F3CDA">
        <w:tc>
          <w:tcPr>
            <w:tcW w:w="5000" w:type="pct"/>
          </w:tcPr>
          <w:p w:rsidR="007E0861" w:rsidRDefault="00180058" w:rsidP="007E0861">
            <w:pPr>
              <w:pStyle w:val="LTVerzDerFragenden"/>
            </w:pPr>
            <w:r>
              <w:t>Ta</w:t>
            </w:r>
            <w:r>
              <w:rPr>
                <w:rFonts w:cs="Arial"/>
              </w:rPr>
              <w:t>ş</w:t>
            </w:r>
            <w:r w:rsidR="007E0861">
              <w:t>delen, Arif (SPD)</w:t>
            </w:r>
          </w:p>
        </w:tc>
      </w:tr>
      <w:tr w:rsidR="007E0861" w:rsidRPr="005833DD" w:rsidTr="001F3CDA">
        <w:tc>
          <w:tcPr>
            <w:tcW w:w="5000" w:type="pct"/>
          </w:tcPr>
          <w:p w:rsidR="007E0861" w:rsidRDefault="00982BA0" w:rsidP="00407887">
            <w:pPr>
              <w:pStyle w:val="LTVerzDerFragendenFrage"/>
            </w:pPr>
            <w:hyperlink w:anchor="Frage_Nr_45" w:tooltip="Frage Nr 45" w:history="1">
              <w:r w:rsidR="007E0861">
                <w:rPr>
                  <w:rStyle w:val="Hyperlink"/>
                  <w:szCs w:val="24"/>
                </w:rPr>
                <w:t>Unterstützung für Jugendherbergen</w:t>
              </w:r>
              <w:r w:rsidR="007E0861">
                <w:rPr>
                  <w:rStyle w:val="Hyperlink"/>
                  <w:szCs w:val="24"/>
                </w:rPr>
                <w:tab/>
                <w:t>4</w:t>
              </w:r>
            </w:hyperlink>
            <w:r w:rsidR="00407887">
              <w:rPr>
                <w:rStyle w:val="Hyperlink"/>
                <w:szCs w:val="24"/>
              </w:rPr>
              <w:t>6</w:t>
            </w:r>
          </w:p>
        </w:tc>
      </w:tr>
      <w:tr w:rsidR="007E0861" w:rsidRPr="005833DD" w:rsidTr="001F3CDA">
        <w:tc>
          <w:tcPr>
            <w:tcW w:w="5000" w:type="pct"/>
          </w:tcPr>
          <w:p w:rsidR="007E0861" w:rsidRDefault="007E0861" w:rsidP="007E0861">
            <w:pPr>
              <w:pStyle w:val="LTVerzDerFragenden"/>
            </w:pPr>
            <w:r>
              <w:t>Triebel, Gabriele (BÜNDNIS 90/DIE GRÜNEN)</w:t>
            </w:r>
          </w:p>
        </w:tc>
      </w:tr>
      <w:tr w:rsidR="007E0861" w:rsidRPr="005833DD" w:rsidTr="001F3CDA">
        <w:tc>
          <w:tcPr>
            <w:tcW w:w="5000" w:type="pct"/>
          </w:tcPr>
          <w:p w:rsidR="007E0861" w:rsidRDefault="00982BA0" w:rsidP="007E0861">
            <w:pPr>
              <w:pStyle w:val="LTVerzDerFragendenFrage"/>
            </w:pPr>
            <w:hyperlink w:anchor="Frage_Nr_15" w:tooltip="Frage Nr 15" w:history="1">
              <w:r w:rsidR="007E0861">
                <w:rPr>
                  <w:rStyle w:val="Hyperlink"/>
                  <w:szCs w:val="24"/>
                </w:rPr>
                <w:t xml:space="preserve">Stellenvergabe der Position der pädagogischen Leitung an der </w:t>
              </w:r>
              <w:r w:rsidR="00434496">
                <w:rPr>
                  <w:rStyle w:val="Hyperlink"/>
                  <w:szCs w:val="24"/>
                </w:rPr>
                <w:br/>
              </w:r>
              <w:r w:rsidR="007E0861">
                <w:rPr>
                  <w:rStyle w:val="Hyperlink"/>
                  <w:szCs w:val="24"/>
                </w:rPr>
                <w:t>KZ-Gedenkstätte Dachau</w:t>
              </w:r>
              <w:r w:rsidR="007E0861">
                <w:rPr>
                  <w:rStyle w:val="Hyperlink"/>
                  <w:szCs w:val="24"/>
                </w:rPr>
                <w:tab/>
                <w:t>15</w:t>
              </w:r>
            </w:hyperlink>
          </w:p>
        </w:tc>
      </w:tr>
      <w:tr w:rsidR="007E0861" w:rsidRPr="005833DD" w:rsidTr="001F3CDA">
        <w:tc>
          <w:tcPr>
            <w:tcW w:w="5000" w:type="pct"/>
          </w:tcPr>
          <w:p w:rsidR="007E0861" w:rsidRDefault="007E0861" w:rsidP="007E0861">
            <w:pPr>
              <w:pStyle w:val="LTVerzDerFragenden"/>
            </w:pPr>
            <w:r>
              <w:t>Urban, Hans (BÜNDNIS 90/DIE GRÜNEN)</w:t>
            </w:r>
          </w:p>
        </w:tc>
      </w:tr>
      <w:tr w:rsidR="007E0861" w:rsidRPr="005833DD" w:rsidTr="001F3CDA">
        <w:tc>
          <w:tcPr>
            <w:tcW w:w="5000" w:type="pct"/>
          </w:tcPr>
          <w:p w:rsidR="007E0861" w:rsidRDefault="00982BA0" w:rsidP="00407887">
            <w:pPr>
              <w:pStyle w:val="LTVerzDerFragendenFrage"/>
            </w:pPr>
            <w:hyperlink w:anchor="Frage_Nr_46" w:tooltip="Frage Nr 46" w:history="1">
              <w:r w:rsidR="007E0861">
                <w:rPr>
                  <w:rStyle w:val="Hyperlink"/>
                  <w:szCs w:val="24"/>
                </w:rPr>
                <w:t>Kinderarmut</w:t>
              </w:r>
              <w:r w:rsidR="007E0861">
                <w:rPr>
                  <w:rStyle w:val="Hyperlink"/>
                  <w:szCs w:val="24"/>
                </w:rPr>
                <w:tab/>
                <w:t>4</w:t>
              </w:r>
            </w:hyperlink>
            <w:r w:rsidR="00407887">
              <w:rPr>
                <w:rStyle w:val="Hyperlink"/>
                <w:szCs w:val="24"/>
              </w:rPr>
              <w:t>7</w:t>
            </w:r>
          </w:p>
        </w:tc>
      </w:tr>
      <w:tr w:rsidR="007E0861" w:rsidRPr="005833DD" w:rsidTr="001F3CDA">
        <w:tc>
          <w:tcPr>
            <w:tcW w:w="5000" w:type="pct"/>
          </w:tcPr>
          <w:p w:rsidR="007E0861" w:rsidRDefault="007E0861" w:rsidP="007E0861">
            <w:pPr>
              <w:pStyle w:val="LTVerzDerFragenden"/>
            </w:pPr>
            <w:r>
              <w:t>Waldmann, Ruth (SPD)</w:t>
            </w:r>
          </w:p>
        </w:tc>
      </w:tr>
      <w:tr w:rsidR="007E0861" w:rsidRPr="005833DD" w:rsidTr="001F3CDA">
        <w:tc>
          <w:tcPr>
            <w:tcW w:w="5000" w:type="pct"/>
          </w:tcPr>
          <w:p w:rsidR="007E0861" w:rsidRDefault="00982BA0" w:rsidP="007E0861">
            <w:pPr>
              <w:pStyle w:val="LTVerzDerFragendenFrage"/>
            </w:pPr>
            <w:hyperlink w:anchor="Frage_Nr_74" w:tooltip="Frage Nr 74" w:history="1">
              <w:r w:rsidR="007E0861">
                <w:rPr>
                  <w:rStyle w:val="Hyperlink"/>
                  <w:szCs w:val="24"/>
                </w:rPr>
                <w:t>Neue Stellen im Öffentlichen Gesundheitsdienst</w:t>
              </w:r>
              <w:r w:rsidR="007E0861">
                <w:rPr>
                  <w:rStyle w:val="Hyperlink"/>
                  <w:szCs w:val="24"/>
                </w:rPr>
                <w:tab/>
                <w:t>74</w:t>
              </w:r>
            </w:hyperlink>
          </w:p>
        </w:tc>
      </w:tr>
      <w:tr w:rsidR="007E0861" w:rsidRPr="005833DD" w:rsidTr="001F3CDA">
        <w:tc>
          <w:tcPr>
            <w:tcW w:w="5000" w:type="pct"/>
          </w:tcPr>
          <w:p w:rsidR="007E0861" w:rsidRDefault="007E0861" w:rsidP="007E0861">
            <w:pPr>
              <w:pStyle w:val="LTVerzDerFragenden"/>
            </w:pPr>
            <w:r>
              <w:t>Dr. Weigand, Sabine (BÜNDNIS 90/DIE GRÜNEN)</w:t>
            </w:r>
          </w:p>
        </w:tc>
      </w:tr>
      <w:tr w:rsidR="007E0861" w:rsidRPr="005833DD" w:rsidTr="001F3CDA">
        <w:tc>
          <w:tcPr>
            <w:tcW w:w="5000" w:type="pct"/>
          </w:tcPr>
          <w:p w:rsidR="007E0861" w:rsidRDefault="00982BA0" w:rsidP="007E0861">
            <w:pPr>
              <w:pStyle w:val="LTVerzDerFragendenFrage"/>
            </w:pPr>
            <w:hyperlink w:anchor="Frage_Nr_75" w:tooltip="Frage Nr 75" w:history="1">
              <w:r w:rsidR="007E0861">
                <w:rPr>
                  <w:rStyle w:val="Hyperlink"/>
                  <w:szCs w:val="24"/>
                </w:rPr>
                <w:t>Pandemiebescha</w:t>
              </w:r>
              <w:r w:rsidR="00AC6C23">
                <w:rPr>
                  <w:rStyle w:val="Hyperlink"/>
                  <w:szCs w:val="24"/>
                </w:rPr>
                <w:t>ffungsverträge Hohlmeier/</w:t>
              </w:r>
              <w:r w:rsidR="00AC6C23" w:rsidRPr="00AC6C23">
                <w:rPr>
                  <w:rStyle w:val="Hyperlink"/>
                  <w:szCs w:val="24"/>
                  <w:highlight w:val="black"/>
                </w:rPr>
                <w:t>---------------</w:t>
              </w:r>
              <w:r w:rsidR="007E0861">
                <w:rPr>
                  <w:rStyle w:val="Hyperlink"/>
                  <w:szCs w:val="24"/>
                </w:rPr>
                <w:tab/>
                <w:t>75</w:t>
              </w:r>
            </w:hyperlink>
          </w:p>
        </w:tc>
      </w:tr>
      <w:tr w:rsidR="007E0861" w:rsidRPr="005833DD" w:rsidTr="001F3CDA">
        <w:tc>
          <w:tcPr>
            <w:tcW w:w="5000" w:type="pct"/>
          </w:tcPr>
          <w:p w:rsidR="007E0861" w:rsidRDefault="007E0861" w:rsidP="007E0861">
            <w:pPr>
              <w:pStyle w:val="LTVerzDerFragenden"/>
            </w:pPr>
            <w:r>
              <w:t>Wild, Margit (SPD)</w:t>
            </w:r>
          </w:p>
        </w:tc>
      </w:tr>
      <w:tr w:rsidR="007E0861" w:rsidRPr="005833DD" w:rsidTr="001F3CDA">
        <w:tc>
          <w:tcPr>
            <w:tcW w:w="5000" w:type="pct"/>
          </w:tcPr>
          <w:p w:rsidR="007E0861" w:rsidRDefault="00982BA0" w:rsidP="00407887">
            <w:pPr>
              <w:pStyle w:val="LTVerzDerFragendenFrage"/>
            </w:pPr>
            <w:hyperlink w:anchor="Frage_Nr_21" w:tooltip="Frage Nr 21" w:history="1">
              <w:r w:rsidR="007E0861">
                <w:rPr>
                  <w:rStyle w:val="Hyperlink"/>
                  <w:szCs w:val="24"/>
                </w:rPr>
                <w:t>Novelle zum Hochschulgesetz</w:t>
              </w:r>
              <w:r w:rsidR="007E0861">
                <w:rPr>
                  <w:rStyle w:val="Hyperlink"/>
                  <w:szCs w:val="24"/>
                </w:rPr>
                <w:tab/>
                <w:t>2</w:t>
              </w:r>
            </w:hyperlink>
            <w:r w:rsidR="00407887">
              <w:rPr>
                <w:rStyle w:val="Hyperlink"/>
                <w:szCs w:val="24"/>
              </w:rPr>
              <w:t>2</w:t>
            </w:r>
          </w:p>
        </w:tc>
      </w:tr>
      <w:tr w:rsidR="007E0861" w:rsidRPr="005833DD" w:rsidTr="001F3CDA">
        <w:tc>
          <w:tcPr>
            <w:tcW w:w="5000" w:type="pct"/>
          </w:tcPr>
          <w:p w:rsidR="007E0861" w:rsidRDefault="007E0861" w:rsidP="007E0861">
            <w:pPr>
              <w:pStyle w:val="LTVerzDerFragenden"/>
            </w:pPr>
            <w:r>
              <w:t>Winhart, Andreas (AfD)</w:t>
            </w:r>
          </w:p>
        </w:tc>
      </w:tr>
      <w:tr w:rsidR="007E0861" w:rsidRPr="005833DD" w:rsidTr="001F3CDA">
        <w:tc>
          <w:tcPr>
            <w:tcW w:w="5000" w:type="pct"/>
          </w:tcPr>
          <w:p w:rsidR="007E0861" w:rsidRDefault="00982BA0" w:rsidP="00407887">
            <w:pPr>
              <w:pStyle w:val="LTVerzDerFragendenFrage"/>
            </w:pPr>
            <w:hyperlink w:anchor="Frage_Nr_35" w:tooltip="Frage Nr 35" w:history="1">
              <w:r w:rsidR="007E0861">
                <w:rPr>
                  <w:rStyle w:val="Hyperlink"/>
                  <w:szCs w:val="24"/>
                </w:rPr>
                <w:t>Maskenverbund Bayern</w:t>
              </w:r>
              <w:r w:rsidR="007E0861">
                <w:rPr>
                  <w:rStyle w:val="Hyperlink"/>
                  <w:szCs w:val="24"/>
                </w:rPr>
                <w:tab/>
                <w:t>3</w:t>
              </w:r>
            </w:hyperlink>
            <w:r w:rsidR="00407887">
              <w:rPr>
                <w:rStyle w:val="Hyperlink"/>
                <w:szCs w:val="24"/>
              </w:rPr>
              <w:t>6</w:t>
            </w:r>
          </w:p>
        </w:tc>
      </w:tr>
      <w:tr w:rsidR="007E0861" w:rsidRPr="005833DD" w:rsidTr="001F3CDA">
        <w:tc>
          <w:tcPr>
            <w:tcW w:w="5000" w:type="pct"/>
          </w:tcPr>
          <w:p w:rsidR="007E0861" w:rsidRDefault="007E0861" w:rsidP="007E0861">
            <w:pPr>
              <w:pStyle w:val="LTVerzDerFragenden"/>
            </w:pPr>
            <w:r>
              <w:t>Zwanziger, Christian (BÜNDNIS 90/DIE GRÜNEN)</w:t>
            </w:r>
          </w:p>
        </w:tc>
      </w:tr>
      <w:tr w:rsidR="007E0861" w:rsidRPr="005833DD" w:rsidTr="001F3CDA">
        <w:tc>
          <w:tcPr>
            <w:tcW w:w="5000" w:type="pct"/>
          </w:tcPr>
          <w:p w:rsidR="007E0861" w:rsidRDefault="00982BA0" w:rsidP="007E0861">
            <w:pPr>
              <w:pStyle w:val="LTVerzDerFragendenFrage"/>
            </w:pPr>
            <w:hyperlink w:anchor="Frage_Nr_76" w:tooltip="Frage Nr 76" w:history="1">
              <w:r w:rsidR="007E0861">
                <w:rPr>
                  <w:rStyle w:val="Hyperlink"/>
                  <w:szCs w:val="24"/>
                </w:rPr>
                <w:t xml:space="preserve">Meldeverzüge </w:t>
              </w:r>
              <w:r w:rsidR="00773102">
                <w:rPr>
                  <w:rStyle w:val="Hyperlink"/>
                  <w:szCs w:val="24"/>
                </w:rPr>
                <w:t>und Schwankungen –</w:t>
              </w:r>
              <w:r w:rsidR="007E0861">
                <w:rPr>
                  <w:rStyle w:val="Hyperlink"/>
                  <w:szCs w:val="24"/>
                </w:rPr>
                <w:t xml:space="preserve"> verlässliche, belastbare Grundlage für Schulen </w:t>
              </w:r>
              <w:r w:rsidR="00102307">
                <w:rPr>
                  <w:rStyle w:val="Hyperlink"/>
                  <w:szCs w:val="24"/>
                </w:rPr>
                <w:t>u. a.</w:t>
              </w:r>
              <w:r w:rsidR="007E0861">
                <w:rPr>
                  <w:rStyle w:val="Hyperlink"/>
                  <w:szCs w:val="24"/>
                </w:rPr>
                <w:tab/>
                <w:t>76</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7E0861" w:rsidP="007E0861">
      <w:pPr>
        <w:pStyle w:val="LTUeberschrRessort"/>
      </w:pPr>
      <w:bookmarkStart w:id="1" w:name="FragenNachGeschBereichen"/>
      <w:bookmarkEnd w:id="1"/>
      <w:r>
        <w:lastRenderedPageBreak/>
        <w:t>Geschäftsbereich des Staatsministeriums des Innern, für Sport und Integration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80058" w:rsidTr="00180058">
        <w:tc>
          <w:tcPr>
            <w:tcW w:w="1883" w:type="dxa"/>
          </w:tcPr>
          <w:p w:rsidR="00180058" w:rsidRDefault="00180058" w:rsidP="00180058">
            <w:pPr>
              <w:pStyle w:val="LTAnfrageInitiator"/>
            </w:pPr>
            <w:r>
              <w:t>Abgeordnete</w:t>
            </w:r>
            <w:r>
              <w:rPr>
                <w:b/>
              </w:rPr>
              <w:br/>
              <w:t>Barbara</w:t>
            </w:r>
            <w:r>
              <w:rPr>
                <w:b/>
              </w:rPr>
              <w:br/>
              <w:t>Fuchs</w:t>
            </w:r>
            <w:r>
              <w:rPr>
                <w:b/>
              </w:rPr>
              <w:br/>
            </w:r>
            <w:r>
              <w:t>(BÜNDNIS 90/DIE GRÜNEN)</w:t>
            </w:r>
            <w:bookmarkStart w:id="2" w:name="Frage_Nr_1"/>
            <w:bookmarkEnd w:id="2"/>
          </w:p>
        </w:tc>
        <w:tc>
          <w:tcPr>
            <w:tcW w:w="5733" w:type="dxa"/>
          </w:tcPr>
          <w:p w:rsidR="00180058" w:rsidRPr="00180058" w:rsidRDefault="00180058" w:rsidP="00180058">
            <w:pPr>
              <w:pStyle w:val="LTAnfrageText"/>
            </w:pPr>
            <w:r w:rsidRPr="00180058">
              <w:t>Ich frage die Staatsregierung, welche Kenntnis sie über entgeltliche Beratungs- oder Vermittlungstätigkeiten von MdB Michael Kuffer mit bayerischen Ministerien oder nachgelagerten Behörden hat, die in einem direkten Zusammenhang mit dem Aufgabengebiet stehen, das er in der Bundestagsfraktion betreut, und ob der Freistaat Bayern insbesondere mit der Civitas Institut für Bildung und Innovation im öffentlichen Sektor GmbH in den vergangenen fünf Jahren welche Verträge abgeschlossen hat?</w:t>
            </w:r>
          </w:p>
        </w:tc>
        <w:tc>
          <w:tcPr>
            <w:tcW w:w="5733" w:type="dxa"/>
          </w:tcPr>
          <w:p w:rsidR="00180058" w:rsidRDefault="00180058" w:rsidP="00180058">
            <w:pPr>
              <w:pStyle w:val="LTAnfrageText"/>
            </w:pPr>
          </w:p>
        </w:tc>
      </w:tr>
    </w:tbl>
    <w:p w:rsidR="007E0861" w:rsidRDefault="007E0861" w:rsidP="007E0861">
      <w:pPr>
        <w:pStyle w:val="LTUeberschrAntwortRessort"/>
      </w:pPr>
      <w:r>
        <w:t>Antwort des Staatsministeriums des Innern, für Sport und Integration</w:t>
      </w:r>
    </w:p>
    <w:p w:rsidR="007E0861" w:rsidRDefault="007E0861" w:rsidP="007E0861">
      <w:pPr>
        <w:pStyle w:val="LTAntwortRessortText"/>
      </w:pPr>
      <w:r>
        <w:t>Für die Beantwortung der Anfrage zum Plenum ist eine Abfra</w:t>
      </w:r>
      <w:r w:rsidR="00187DFF">
        <w:t>ge unter sämtlichen Ressorts er</w:t>
      </w:r>
      <w:r>
        <w:t>forderlich, die in der Kürze der für die Beantwortung zur Ver</w:t>
      </w:r>
      <w:r w:rsidR="00187DFF">
        <w:t>fügung stehenden Zeit nicht mög</w:t>
      </w:r>
      <w:r>
        <w:t>lich ist.</w:t>
      </w:r>
    </w:p>
    <w:p w:rsidR="007E0861" w:rsidRDefault="007E0861" w:rsidP="007E0861">
      <w:pPr>
        <w:pStyle w:val="LTAntwortRessortText"/>
      </w:pPr>
      <w:r>
        <w:t>Die Antwort auf die Anfrage zum Plenum wird sobald wie möglich nachgeliefert.</w:t>
      </w:r>
    </w:p>
    <w:p w:rsidR="007E0861" w:rsidRDefault="007E0861" w:rsidP="007E0861">
      <w:pPr>
        <w:pStyle w:val="LTAntwortRessortText"/>
      </w:pPr>
      <w:r>
        <w:t xml:space="preserve">Im Übrigen wird darauf hingewiesen, dass nach den Verhaltensregeln für die Mitglieder des Deutschen Bundestags (Anlage 1 zur Geschäftsordnung des Deutschen Bundestags), die sich der Bundestag aufgrund von § 44b </w:t>
      </w:r>
      <w:r w:rsidR="00773102">
        <w:t xml:space="preserve">Abgeordnetengesetz </w:t>
      </w:r>
      <w:r>
        <w:t xml:space="preserve">selbst gegeben hat, </w:t>
      </w:r>
      <w:r w:rsidR="00102307">
        <w:t>u. a.</w:t>
      </w:r>
      <w:r>
        <w:t xml:space="preserve"> </w:t>
      </w:r>
      <w:r w:rsidR="00187DFF">
        <w:t>bestimmte entgeltliche Tätig</w:t>
      </w:r>
      <w:r>
        <w:t>keiten neben dem Mandat, die selbstständig oder im Rahmen eines Anstellungsverhältnisses ausgeübt werden, dem Präsidenten des Deutschen Bundestags schriftlich anzuzeigen sind. Die Erfüllung dieser Anzeigepflicht obliegt nicht der Kontrolle der Staatsregierung.</w:t>
      </w:r>
    </w:p>
    <w:p w:rsidR="007E0861" w:rsidRDefault="007E0861">
      <w:bookmarkStart w:id="3" w:name="Frage_Nr_1_Ende"/>
      <w:bookmarkEnd w:id="3"/>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180058" w:rsidTr="00180058">
        <w:tc>
          <w:tcPr>
            <w:tcW w:w="1875" w:type="dxa"/>
          </w:tcPr>
          <w:p w:rsidR="00180058" w:rsidRDefault="00180058" w:rsidP="00180058">
            <w:pPr>
              <w:pStyle w:val="LTAnfrageInitiator"/>
            </w:pPr>
            <w:r>
              <w:lastRenderedPageBreak/>
              <w:t>Abgeordnete</w:t>
            </w:r>
            <w:r>
              <w:rPr>
                <w:b/>
              </w:rPr>
              <w:br/>
              <w:t>Alexandra</w:t>
            </w:r>
            <w:r>
              <w:rPr>
                <w:b/>
              </w:rPr>
              <w:br/>
              <w:t>Hiersemann</w:t>
            </w:r>
            <w:r>
              <w:rPr>
                <w:b/>
              </w:rPr>
              <w:br/>
            </w:r>
            <w:r>
              <w:t>(SPD)</w:t>
            </w:r>
            <w:bookmarkStart w:id="4" w:name="Frage_Nr_2"/>
            <w:bookmarkEnd w:id="4"/>
          </w:p>
        </w:tc>
        <w:tc>
          <w:tcPr>
            <w:tcW w:w="5741" w:type="dxa"/>
          </w:tcPr>
          <w:p w:rsidR="00180058" w:rsidRPr="00F37ED4" w:rsidRDefault="00180058" w:rsidP="00153FFA">
            <w:pPr>
              <w:pStyle w:val="LTAnfrageText"/>
            </w:pPr>
            <w:r w:rsidRPr="00F37ED4">
              <w:t xml:space="preserve">Aufgrund der am 23.02.2021 erfolgten Sammelabschiebung nach Armenien von höchst vulnerablen Personen und den daraus resultierenden gesundheitlichen, psychischen und sozialen Schwierigkeiten und Komplikationen für die Betroffenen und alle Beteiligten, frage ich die Staatsregierung, wie viele Personen abgeschoben wurden (bitte aufgeschlüsselt nach Alter und Geschlecht und mit Nennung von bekannten Erkrankungen bzw. vorliegenden Attesten), bei wie vielen Personen musste die Abschiebung abgebrochen werden (bitte mit Angabe der jeweiligen Gründe) und welche Behördenvertretende oder andere Verantwortliche waren an der Abschiebung beteiligt (bitte mit Nennung der Ausländerbehörden, Anzahl der Polizeibeamtinnen bzw. </w:t>
            </w:r>
            <w:r w:rsidR="00153FFA">
              <w:t>-</w:t>
            </w:r>
            <w:r w:rsidRPr="00F37ED4">
              <w:t>beamten und ggf. Ärztinnen und Ärzten vor Ort bzw. während des Fluges)? </w:t>
            </w:r>
          </w:p>
        </w:tc>
        <w:tc>
          <w:tcPr>
            <w:tcW w:w="5741" w:type="dxa"/>
          </w:tcPr>
          <w:p w:rsidR="00180058" w:rsidRDefault="00180058" w:rsidP="00180058">
            <w:pPr>
              <w:pStyle w:val="LTAnfrageText"/>
            </w:pPr>
          </w:p>
        </w:tc>
      </w:tr>
    </w:tbl>
    <w:p w:rsidR="007E0861" w:rsidRDefault="007E0861" w:rsidP="007E0861">
      <w:pPr>
        <w:pStyle w:val="LTUeberschrAntwortRessort"/>
      </w:pPr>
      <w:r>
        <w:t>Antwort des Staatsministeriums des Innern, für Sport und Integration</w:t>
      </w:r>
    </w:p>
    <w:p w:rsidR="007E0861" w:rsidRDefault="007E0861" w:rsidP="007E0861">
      <w:pPr>
        <w:pStyle w:val="LTAntwortRessortText"/>
      </w:pPr>
      <w:r>
        <w:t>Aus bayerischer Zuständigkeit wurden am 23.02.2021 über den Flughafen München nach Eriwan/Armenien insgesamt 32 vollziehbar ausreisepflichtige armenische Staatsangehörige rückgeführt,</w:t>
      </w:r>
      <w:r w:rsidR="00F8499E">
        <w:t xml:space="preserve"> </w:t>
      </w:r>
      <w:r>
        <w:t>darunter 14 weibliche und 18 männliche Personen im Alter zwischen einem Jahr und</w:t>
      </w:r>
      <w:r w:rsidR="00F8499E">
        <w:t xml:space="preserve"> </w:t>
      </w:r>
      <w:r>
        <w:t>81 Jahren.</w:t>
      </w:r>
    </w:p>
    <w:p w:rsidR="007E0861" w:rsidRDefault="007E0861" w:rsidP="007E0861">
      <w:pPr>
        <w:pStyle w:val="LTAntwortRessortText"/>
      </w:pPr>
      <w:r>
        <w:t>Es lagen bei insgesamt 14 rückgeführten Personen Erkrankungen bzw. medizinische Unterlagen</w:t>
      </w:r>
      <w:r w:rsidR="00F8499E">
        <w:t xml:space="preserve"> </w:t>
      </w:r>
      <w:r>
        <w:t>vor.</w:t>
      </w:r>
    </w:p>
    <w:p w:rsidR="007E0861" w:rsidRDefault="007E0861" w:rsidP="007E0861">
      <w:pPr>
        <w:pStyle w:val="LTAntwortRessortText"/>
      </w:pPr>
      <w:r>
        <w:t xml:space="preserve">Grundsätzlich wird gemäß § 60a Abs. 2c Satz 1 </w:t>
      </w:r>
      <w:r w:rsidR="00FA46A8">
        <w:t>Aufenthaltsgesetz (</w:t>
      </w:r>
      <w:r>
        <w:t>AufenthG</w:t>
      </w:r>
      <w:r w:rsidR="00FA46A8">
        <w:t>)</w:t>
      </w:r>
      <w:r>
        <w:t xml:space="preserve"> vermutet, dass der Abschiebung gesundheitliche</w:t>
      </w:r>
      <w:r w:rsidR="00F8499E">
        <w:t xml:space="preserve"> </w:t>
      </w:r>
      <w:r>
        <w:t>Gründe nicht entgegenstehen. Vielmehr muss der Ausländer eine Erkrankung, die</w:t>
      </w:r>
      <w:r w:rsidR="00F8499E">
        <w:t xml:space="preserve"> </w:t>
      </w:r>
      <w:r>
        <w:t>die Abschiebung beeinträchtigen kann, durch eine qualifizierte ärztliche Bescheinigung im</w:t>
      </w:r>
      <w:r w:rsidR="00F8499E">
        <w:t xml:space="preserve"> </w:t>
      </w:r>
      <w:r>
        <w:t>Sinne des § 60a Abs. 2c Satz 3 AufenthG glaubhaft machen. Bereits im Vorfeld der Ingewahrsamnahme</w:t>
      </w:r>
      <w:r w:rsidR="00F8499E">
        <w:t xml:space="preserve"> </w:t>
      </w:r>
      <w:r>
        <w:t>und der Abschiebung werden durch die Ausländerbehörden bei Erkrankungen oder</w:t>
      </w:r>
      <w:r w:rsidR="00F8499E">
        <w:t xml:space="preserve"> </w:t>
      </w:r>
      <w:r>
        <w:t>sonstigen Besonderheiten je nach Notwendigkeit im Einzelfall geeignete Maßnahmen getroffen,</w:t>
      </w:r>
      <w:r w:rsidR="00F8499E">
        <w:t xml:space="preserve"> </w:t>
      </w:r>
      <w:r>
        <w:t>um gegebenenfalls gesundheitlichen Schwierigkeiten wirksam zu begegnen. Die Ausländerbehörde</w:t>
      </w:r>
      <w:r w:rsidR="00F8499E">
        <w:t xml:space="preserve"> </w:t>
      </w:r>
      <w:r>
        <w:t>prüft in jedem Stadium des ausländerbehördlichen Vollzugs von Amts wegen unter</w:t>
      </w:r>
      <w:r w:rsidR="00F8499E">
        <w:t xml:space="preserve"> </w:t>
      </w:r>
      <w:r>
        <w:t>Zugrundelegung der bekannten ausländerrechtlichen Unterlagen sowie der fristgerecht vorgelegten</w:t>
      </w:r>
      <w:r w:rsidR="00F8499E">
        <w:t xml:space="preserve"> </w:t>
      </w:r>
      <w:r>
        <w:t>qualifizierten ärztlichen Bescheinigungen, ob die Abschiebung der Person durchgeführt</w:t>
      </w:r>
      <w:r w:rsidR="00F8499E">
        <w:t xml:space="preserve"> </w:t>
      </w:r>
      <w:r>
        <w:t>werden kann und ob sie tatsächlich auch reisefähig ist.</w:t>
      </w:r>
    </w:p>
    <w:p w:rsidR="007E0861" w:rsidRDefault="007E0861" w:rsidP="007E0861">
      <w:pPr>
        <w:pStyle w:val="LTAntwortRessortText"/>
      </w:pPr>
      <w:r>
        <w:t>Nach Prüfung und Rückmeldung durch die zuständigen Ausländerbehörden war bei keiner der</w:t>
      </w:r>
      <w:r w:rsidR="00F8499E">
        <w:t xml:space="preserve"> </w:t>
      </w:r>
      <w:r>
        <w:t>rückgeführten Personen die gesetzliche Vermutung widerlegt.</w:t>
      </w:r>
    </w:p>
    <w:p w:rsidR="007E0861" w:rsidRDefault="007E0861" w:rsidP="007E0861">
      <w:pPr>
        <w:pStyle w:val="LTAntwortRessortText"/>
      </w:pPr>
      <w:r>
        <w:t>Nach Übergabe der rückzuführenden Personen an die Bundespolizei wurde in zwei Fällen der</w:t>
      </w:r>
      <w:r w:rsidR="00F8499E">
        <w:t xml:space="preserve"> </w:t>
      </w:r>
      <w:r>
        <w:t>weitere Vollzug der Abschiebung abgebrochen. Bei einer Person hatte dies aufgrund medizinischer</w:t>
      </w:r>
      <w:r w:rsidR="00F8499E">
        <w:t xml:space="preserve"> </w:t>
      </w:r>
      <w:r>
        <w:t>Gründe zu erfolgen. In der Folge konnte bei der weiteren Person die Familieneinheit im</w:t>
      </w:r>
      <w:r w:rsidR="00F8499E">
        <w:t xml:space="preserve"> </w:t>
      </w:r>
      <w:r>
        <w:t>Rahmen der Maßnahme nicht mehr gewahrt werden, sodass auch hier am weiteren Vollzug der</w:t>
      </w:r>
      <w:r w:rsidR="00F8499E">
        <w:t xml:space="preserve"> </w:t>
      </w:r>
      <w:r>
        <w:t>Maßnahme nicht mehr festzuhalten war.</w:t>
      </w:r>
    </w:p>
    <w:p w:rsidR="007E0861" w:rsidRDefault="007E0861" w:rsidP="007E0861">
      <w:pPr>
        <w:pStyle w:val="LTAntwortRessortText"/>
      </w:pPr>
      <w:r>
        <w:t>An der Abschiebung beteiligt waren das Bayerische Landesamt für Asyl und Rückführungen</w:t>
      </w:r>
      <w:r w:rsidR="00F8499E">
        <w:t xml:space="preserve"> </w:t>
      </w:r>
      <w:r>
        <w:t xml:space="preserve">(vor Ort), die zuständigen Ausländerbehörden (antragstellend; ZAB </w:t>
      </w:r>
      <w:r>
        <w:lastRenderedPageBreak/>
        <w:t>Oberfranken, ZAB Unterfranken,</w:t>
      </w:r>
      <w:r w:rsidR="00F8499E">
        <w:t xml:space="preserve"> </w:t>
      </w:r>
      <w:r>
        <w:t>ZAB Oberpfalz, ZAB Mittelfranken, Stadt Bayreuth) und die Landes- sowie Bundespolizei</w:t>
      </w:r>
      <w:r w:rsidR="00F8499E">
        <w:t xml:space="preserve"> </w:t>
      </w:r>
      <w:r>
        <w:t>(zuführend/vor Ort). Es wurden 16 bayerische Personenbegleiter-Luft eingesetzt.</w:t>
      </w:r>
    </w:p>
    <w:p w:rsidR="007E0861" w:rsidRDefault="007E0861" w:rsidP="007E0861">
      <w:pPr>
        <w:pStyle w:val="LTAntwortRessortText"/>
      </w:pPr>
      <w:r>
        <w:t>Die Maßnahme wurde sowohl vor Ort als auch an Bord des Fluggeräts durch zwei Ärzte medizinisch</w:t>
      </w:r>
      <w:r w:rsidR="00F8499E">
        <w:t xml:space="preserve"> </w:t>
      </w:r>
      <w:r>
        <w:t>begleitet.</w:t>
      </w:r>
    </w:p>
    <w:p w:rsidR="007E0861" w:rsidRDefault="007E0861" w:rsidP="007E0861">
      <w:pPr>
        <w:pStyle w:val="LTAntwortRessortText"/>
      </w:pPr>
      <w:r>
        <w:t>Eine Einreise nach Deutschland unter asylfremden Gründen mit der tragenden Motivation einer</w:t>
      </w:r>
      <w:r w:rsidR="00F8499E">
        <w:t xml:space="preserve"> </w:t>
      </w:r>
      <w:r>
        <w:t>hochwertigeren Behandlung von Krankheiten auf Kosten der Gesundheits- und Sozialsysteme</w:t>
      </w:r>
      <w:r w:rsidR="00F8499E">
        <w:t xml:space="preserve"> </w:t>
      </w:r>
      <w:r>
        <w:t>der Bundesrepublik Deutschland ist bezogen auf das Herkunftsland Armenien, das eine flächendeckende</w:t>
      </w:r>
      <w:r w:rsidR="00F8499E">
        <w:t xml:space="preserve"> </w:t>
      </w:r>
      <w:r>
        <w:t>medizinische Grundversorgung gewährleistet, häufig relevant. Um die Akzeptanz</w:t>
      </w:r>
      <w:r w:rsidR="00F8499E">
        <w:t xml:space="preserve"> </w:t>
      </w:r>
      <w:r>
        <w:t>des Asylrechts insgesamt zu gewährleisten und einer Verfestigung solcher Formen des</w:t>
      </w:r>
      <w:r w:rsidR="00F8499E">
        <w:t xml:space="preserve"> </w:t>
      </w:r>
      <w:r>
        <w:t>Missbrauchs des Asylrechts zu Lasten der sozialen Sicherungssysteme keinen Vorschub zu</w:t>
      </w:r>
      <w:r w:rsidR="00F8499E">
        <w:t xml:space="preserve"> </w:t>
      </w:r>
      <w:r>
        <w:t>leisten, ist diesbezüglich eine konsequente Rückführungspraxis sinnvoll</w:t>
      </w:r>
    </w:p>
    <w:p w:rsidR="007E0861" w:rsidRDefault="007E0861">
      <w:bookmarkStart w:id="5" w:name="Frage_Nr_2_Ende"/>
      <w:bookmarkEnd w:id="5"/>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180058" w:rsidTr="00180058">
        <w:tc>
          <w:tcPr>
            <w:tcW w:w="1854" w:type="dxa"/>
          </w:tcPr>
          <w:p w:rsidR="00180058" w:rsidRDefault="00180058" w:rsidP="00180058">
            <w:pPr>
              <w:pStyle w:val="LTAnfrageInitiator"/>
            </w:pPr>
            <w:r>
              <w:lastRenderedPageBreak/>
              <w:t>Abgeordneter</w:t>
            </w:r>
            <w:r>
              <w:rPr>
                <w:b/>
              </w:rPr>
              <w:br/>
              <w:t>Florian</w:t>
            </w:r>
            <w:r>
              <w:rPr>
                <w:b/>
              </w:rPr>
              <w:br/>
              <w:t>Ritter</w:t>
            </w:r>
            <w:r>
              <w:rPr>
                <w:b/>
              </w:rPr>
              <w:br/>
            </w:r>
            <w:r>
              <w:t>(SPD)</w:t>
            </w:r>
            <w:bookmarkStart w:id="6" w:name="Frage_Nr_3"/>
            <w:bookmarkEnd w:id="6"/>
          </w:p>
        </w:tc>
        <w:tc>
          <w:tcPr>
            <w:tcW w:w="5762" w:type="dxa"/>
          </w:tcPr>
          <w:p w:rsidR="00180058" w:rsidRPr="00F37ED4" w:rsidRDefault="00180058" w:rsidP="00187DFF">
            <w:pPr>
              <w:pStyle w:val="LTAnfrageText"/>
            </w:pPr>
            <w:r w:rsidRPr="00F37ED4">
              <w:t>Ich frage die Staatsregierung, wie viele und welche rechtsextremistischen Straftaten wurden 2019 und 2018 in Bayern polizeilich registriert (bitte aufgeschlüsselt wie in der Antwort auf die Anfrage zum Plenum von Natascha Kohnen vom 09.02.2021 Drs. 18/13713 darstellen)? </w:t>
            </w:r>
          </w:p>
        </w:tc>
        <w:tc>
          <w:tcPr>
            <w:tcW w:w="5762" w:type="dxa"/>
          </w:tcPr>
          <w:p w:rsidR="00180058" w:rsidRDefault="00180058" w:rsidP="00180058">
            <w:pPr>
              <w:pStyle w:val="LTAnfrageText"/>
            </w:pPr>
          </w:p>
        </w:tc>
      </w:tr>
    </w:tbl>
    <w:p w:rsidR="007E0861" w:rsidRDefault="007E0861" w:rsidP="007E0861">
      <w:pPr>
        <w:pStyle w:val="LTUeberschrAntwortRessort"/>
      </w:pPr>
      <w:r>
        <w:t>Antwort des Staatsministeriums des Innern, für Sport und Integration</w:t>
      </w:r>
    </w:p>
    <w:p w:rsidR="007E0861" w:rsidRDefault="007E0861" w:rsidP="007E0861">
      <w:pPr>
        <w:pStyle w:val="LTAntwortRessortText"/>
      </w:pPr>
      <w:r>
        <w:t>Die in den Anlagen dargestellten Rechercheergebnisse des Bayerischen Landeskriminalamts</w:t>
      </w:r>
      <w:r w:rsidR="005D2E4E">
        <w:t xml:space="preserve"> </w:t>
      </w:r>
      <w:r>
        <w:t>(BLKA) beruhen auf dem bundesweit einheitlichen Kriminalpolizeilichen Meldedienst in Fällen</w:t>
      </w:r>
      <w:r w:rsidR="005D2E4E">
        <w:t xml:space="preserve"> </w:t>
      </w:r>
      <w:r>
        <w:t>Politisch Motivierter Kriminalität (KPMD-PMK).</w:t>
      </w:r>
    </w:p>
    <w:p w:rsidR="007E0861" w:rsidRDefault="007E0861" w:rsidP="007E0861">
      <w:pPr>
        <w:pStyle w:val="LTAntwortRessortText"/>
      </w:pPr>
      <w:r>
        <w:t>Demnach wurden für das Jahr 2018 1</w:t>
      </w:r>
      <w:r w:rsidR="00FA46A8">
        <w:t> </w:t>
      </w:r>
      <w:r>
        <w:t>834 und für das Jahr 2019 2</w:t>
      </w:r>
      <w:r w:rsidR="00FA46A8">
        <w:t> </w:t>
      </w:r>
      <w:r>
        <w:t>103 rechtsextremistische</w:t>
      </w:r>
      <w:r w:rsidR="005D2E4E">
        <w:t xml:space="preserve"> </w:t>
      </w:r>
      <w:r>
        <w:t>Straftaten im KPMD-PMK erfasst. Die weitergehenden Informationen können den Anlagen</w:t>
      </w:r>
      <w:r w:rsidR="00207FC6">
        <w:t>*) **)</w:t>
      </w:r>
      <w:r w:rsidR="005D2E4E">
        <w:t xml:space="preserve"> </w:t>
      </w:r>
      <w:r>
        <w:t>entnommen werden.</w:t>
      </w:r>
    </w:p>
    <w:p w:rsidR="007E0861" w:rsidRDefault="007E0861" w:rsidP="007E0861">
      <w:pPr>
        <w:pStyle w:val="LTAntwortRessortText"/>
      </w:pPr>
      <w:r>
        <w:t>Die in den Anlagen dargestellten Abkürzungen stehen für:</w:t>
      </w:r>
    </w:p>
    <w:p w:rsidR="007E0861" w:rsidRDefault="007E0861" w:rsidP="005D2E4E">
      <w:pPr>
        <w:pStyle w:val="LTAntwortRessortText"/>
        <w:numPr>
          <w:ilvl w:val="0"/>
          <w:numId w:val="25"/>
        </w:numPr>
        <w:spacing w:before="0"/>
        <w:ind w:left="697" w:hanging="357"/>
      </w:pPr>
      <w:r>
        <w:t>Pol. mot. Krim: Politisch Motivierte Kriminalität</w:t>
      </w:r>
    </w:p>
    <w:p w:rsidR="007E0861" w:rsidRDefault="007E0861" w:rsidP="005D2E4E">
      <w:pPr>
        <w:pStyle w:val="LTAntwortRessortText"/>
        <w:numPr>
          <w:ilvl w:val="0"/>
          <w:numId w:val="25"/>
        </w:numPr>
        <w:spacing w:before="0"/>
        <w:ind w:left="697" w:hanging="357"/>
      </w:pPr>
      <w:r>
        <w:t>Pol. mot. Gewaltkrim: Politisch Motivierte Gewaltkriminalität</w:t>
      </w:r>
    </w:p>
    <w:p w:rsidR="007E0861" w:rsidRDefault="005D2E4E" w:rsidP="007E0861">
      <w:pPr>
        <w:pStyle w:val="LTAntwortRessortText"/>
      </w:pPr>
      <w:r>
        <w:t xml:space="preserve">*) Von einem Abdruck wurde abgesehen. Die Anlage 1 ist als pdf-Dokument </w:t>
      </w:r>
      <w:hyperlink r:id="rId13" w:history="1">
        <w:r w:rsidRPr="002E02C7">
          <w:rPr>
            <w:rStyle w:val="LTHyperlinkZchn"/>
            <w:b w:val="0"/>
          </w:rPr>
          <w:t>hier</w:t>
        </w:r>
      </w:hyperlink>
      <w:r>
        <w:t xml:space="preserve"> einsehbar.</w:t>
      </w:r>
    </w:p>
    <w:p w:rsidR="007E0861" w:rsidRDefault="005D2E4E" w:rsidP="007E0861">
      <w:pPr>
        <w:pStyle w:val="LTAntwortRessortText"/>
      </w:pPr>
      <w:r>
        <w:t xml:space="preserve">*) Von einem Abdruck wurde abgesehen. Die Anlage 2 ist als pdf-Dokument </w:t>
      </w:r>
      <w:hyperlink r:id="rId14" w:history="1">
        <w:r w:rsidRPr="002E02C7">
          <w:rPr>
            <w:rStyle w:val="LTHyperlinkZchn"/>
            <w:b w:val="0"/>
          </w:rPr>
          <w:t>hier</w:t>
        </w:r>
      </w:hyperlink>
      <w:r>
        <w:t xml:space="preserve"> einsehbar.</w:t>
      </w:r>
    </w:p>
    <w:p w:rsidR="005D2E4E" w:rsidRDefault="005D2E4E" w:rsidP="007E0861">
      <w:pPr>
        <w:pStyle w:val="LTAntwortRessortText"/>
      </w:pPr>
    </w:p>
    <w:p w:rsidR="007E0861" w:rsidRDefault="007E0861">
      <w:bookmarkStart w:id="7" w:name="Frage_Nr_3_Ende"/>
      <w:bookmarkEnd w:id="7"/>
      <w:r>
        <w:br w:type="page"/>
      </w:r>
    </w:p>
    <w:tbl>
      <w:tblPr>
        <w:tblStyle w:val="Tabellenraster"/>
        <w:tblW w:w="1335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gridCol w:w="5739"/>
      </w:tblGrid>
      <w:tr w:rsidR="00180058" w:rsidTr="00180058">
        <w:tc>
          <w:tcPr>
            <w:tcW w:w="1877" w:type="dxa"/>
          </w:tcPr>
          <w:p w:rsidR="00180058" w:rsidRDefault="00180058" w:rsidP="00180058">
            <w:pPr>
              <w:pStyle w:val="LTAnfrageInitiator"/>
            </w:pPr>
            <w:r>
              <w:lastRenderedPageBreak/>
              <w:t>Abgeordneter</w:t>
            </w:r>
            <w:r>
              <w:rPr>
                <w:b/>
              </w:rPr>
              <w:br/>
              <w:t>Stefan</w:t>
            </w:r>
            <w:r>
              <w:rPr>
                <w:b/>
              </w:rPr>
              <w:br/>
              <w:t>Schuster</w:t>
            </w:r>
            <w:r>
              <w:rPr>
                <w:b/>
              </w:rPr>
              <w:br/>
            </w:r>
            <w:r>
              <w:t>(SPD)</w:t>
            </w:r>
            <w:bookmarkStart w:id="8" w:name="Frage_Nr_4"/>
            <w:bookmarkEnd w:id="8"/>
          </w:p>
        </w:tc>
        <w:tc>
          <w:tcPr>
            <w:tcW w:w="5739" w:type="dxa"/>
          </w:tcPr>
          <w:p w:rsidR="00180058" w:rsidRPr="00F37ED4" w:rsidRDefault="00180058" w:rsidP="00F37ED4">
            <w:pPr>
              <w:pStyle w:val="LTAnfrageText"/>
            </w:pPr>
            <w:r w:rsidRPr="00F37ED4">
              <w:t>Ich frage die Staatsregierung, besteht eine Straßenverkehr-Transportbegleitungsverordnung (StTbV) des Bundes, die ermöglicht, dass Unternehmen mit der Begleitung von Schwertransporten beliehen werden können und deren Personal gegenüber dem Verkehrsteilnehmer weisungsbefugt ist, und falls das zutrifft, wurde diese Verordnung durch den Freistaat Bayern umgesetzt und wird ein solches Verfahren bereits praktiziert?</w:t>
            </w:r>
          </w:p>
        </w:tc>
        <w:tc>
          <w:tcPr>
            <w:tcW w:w="5739" w:type="dxa"/>
          </w:tcPr>
          <w:p w:rsidR="00180058" w:rsidRDefault="00180058" w:rsidP="00180058">
            <w:pPr>
              <w:pStyle w:val="LTAnfrageText"/>
            </w:pPr>
          </w:p>
        </w:tc>
      </w:tr>
    </w:tbl>
    <w:p w:rsidR="007E0861" w:rsidRDefault="007E0861" w:rsidP="007E0861">
      <w:pPr>
        <w:pStyle w:val="LTUeberschrAntwortRessort"/>
      </w:pPr>
      <w:r>
        <w:t>Antwort des Staatsministeriums des Innern, für Sport und Integration</w:t>
      </w:r>
    </w:p>
    <w:p w:rsidR="007E0861" w:rsidRDefault="007E0861" w:rsidP="007E0861">
      <w:pPr>
        <w:pStyle w:val="LTAntwortRessortText"/>
      </w:pPr>
      <w:r>
        <w:t>Eine Straßenverkehr-Transportbegleitungsverordnung (StTbV) des Bundes besteht noch nicht.</w:t>
      </w:r>
    </w:p>
    <w:p w:rsidR="007E0861" w:rsidRDefault="007E0861" w:rsidP="007E0861">
      <w:pPr>
        <w:pStyle w:val="LTAntwortRessortText"/>
      </w:pPr>
      <w:r>
        <w:t>Das Bundesministerium für Verkehr und digitale Infrastruktur (BMVI) bereitet den Erlass einer</w:t>
      </w:r>
      <w:r w:rsidR="005D2E4E">
        <w:t xml:space="preserve"> </w:t>
      </w:r>
      <w:r>
        <w:t>solchen Verordnung durch eine Verordnung zum Erlass einer Straßenverkehr-Transportbegleitungsverordnung</w:t>
      </w:r>
      <w:r w:rsidR="005D2E4E">
        <w:t xml:space="preserve"> </w:t>
      </w:r>
      <w:r>
        <w:t>und zur Änderung straßenverkehrsrechtlicher Vorschriften derzeit vor.</w:t>
      </w:r>
    </w:p>
    <w:p w:rsidR="007E0861" w:rsidRDefault="007E0861" w:rsidP="007E0861">
      <w:pPr>
        <w:pStyle w:val="LTAntwortRessortText"/>
      </w:pPr>
      <w:r>
        <w:t>Durch die StTbV soll der rechtliche Rahmen geschaffen werden, der es den Ländern ermöglicht,</w:t>
      </w:r>
      <w:r w:rsidR="005D2E4E">
        <w:t xml:space="preserve"> </w:t>
      </w:r>
      <w:r>
        <w:t>die im Einzelfall erforderliche Begleitung von Großraum- und Schwertransporten durch</w:t>
      </w:r>
      <w:r w:rsidR="005D2E4E">
        <w:t xml:space="preserve"> </w:t>
      </w:r>
      <w:r>
        <w:t>private Transportbegleiter zu erweitern. Zu diesem Zweck sollen ausgewählte und besonders</w:t>
      </w:r>
      <w:r w:rsidR="005D2E4E">
        <w:t xml:space="preserve"> </w:t>
      </w:r>
      <w:r>
        <w:t>geschulte private Transportbegleiter durch Beleihung mit straßenverkehrsrechtlichen Anordnungsbefugnissen</w:t>
      </w:r>
      <w:r w:rsidR="005D2E4E">
        <w:t xml:space="preserve"> </w:t>
      </w:r>
      <w:r>
        <w:t>ausgestattet werden können.</w:t>
      </w:r>
    </w:p>
    <w:p w:rsidR="007E0861" w:rsidRDefault="007E0861" w:rsidP="007E0861">
      <w:pPr>
        <w:pStyle w:val="LTAntwortRessortText"/>
      </w:pPr>
      <w:r>
        <w:t>Damit können insbesondere die Polizeien der Länder noch mehr als bisher von Begleitaufgaben</w:t>
      </w:r>
      <w:r w:rsidR="005D2E4E">
        <w:t xml:space="preserve"> </w:t>
      </w:r>
      <w:r>
        <w:t>entlastet werden.</w:t>
      </w:r>
    </w:p>
    <w:p w:rsidR="007E0861" w:rsidRDefault="007E0861">
      <w:bookmarkStart w:id="9" w:name="Frage_Nr_4_Ende"/>
      <w:bookmarkEnd w:id="9"/>
      <w:r>
        <w:br w:type="page"/>
      </w:r>
    </w:p>
    <w:p w:rsidR="007E0861" w:rsidRDefault="007E0861" w:rsidP="007E0861">
      <w:pPr>
        <w:pStyle w:val="LTUeberschrRessort"/>
      </w:pPr>
      <w:r>
        <w:lastRenderedPageBreak/>
        <w:t>Geschäftsbereich des Staatsministeriums für Wohnen, Bau und Verkehr</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F7053" w:rsidTr="00EF7053">
        <w:tc>
          <w:tcPr>
            <w:tcW w:w="1883" w:type="dxa"/>
          </w:tcPr>
          <w:p w:rsidR="00EF7053" w:rsidRDefault="00EF7053" w:rsidP="00EF7053">
            <w:pPr>
              <w:pStyle w:val="LTAnfrageInitiator"/>
            </w:pPr>
            <w:r>
              <w:t>Abgeordneter</w:t>
            </w:r>
            <w:r>
              <w:rPr>
                <w:b/>
              </w:rPr>
              <w:br/>
              <w:t>Dr. Markus</w:t>
            </w:r>
            <w:r>
              <w:rPr>
                <w:b/>
              </w:rPr>
              <w:br/>
              <w:t>Büchler</w:t>
            </w:r>
            <w:r>
              <w:rPr>
                <w:b/>
              </w:rPr>
              <w:br/>
            </w:r>
            <w:r>
              <w:t>(BÜNDNIS 90/DIE GRÜNEN)</w:t>
            </w:r>
            <w:bookmarkStart w:id="10" w:name="Frage_Nr_5"/>
            <w:bookmarkEnd w:id="10"/>
          </w:p>
        </w:tc>
        <w:tc>
          <w:tcPr>
            <w:tcW w:w="5733" w:type="dxa"/>
          </w:tcPr>
          <w:p w:rsidR="00EF7053" w:rsidRPr="00F37ED4" w:rsidRDefault="00EF7053" w:rsidP="00F37ED4">
            <w:pPr>
              <w:pStyle w:val="LTAnfrageText"/>
            </w:pPr>
            <w:r w:rsidRPr="00F37ED4">
              <w:t>Ich frage die Staatsregierung, inwieweit teilt sie die beihilferechtlichen Bedenken des Bayerischen Städtetags bezüglich des Corona-Rettungsschirms für den bayerischen ÖPNV („Das bisherige zweistufige Antragsverfahren, bestehend aus einer Antragsberechtigung nur für die Verkehrsunternehmen in der ersten Stufe bis September 2020 und in einer zweiten Stufe bis Dezember 2020 mit einer Antragsberechtigung nur für die ÖPNV-Aufgabenträger, führte in der Praxis zu Abwicklungsproblemen, weil dabei die beihilferechtliche Absicherung der Weiterleitung der Hilfen an die kommunalen Verkehrsunternehmen durch die ÖPNV-Aufgabenträger zu beachten ist. Eine direkte Beantragung durch die Verkehrsunternehmen würde das Verfahren wesentlich vereinfachen. Hier muss eine beihilferechtliche Lösung gefunden werden.“), inwieweit könnte eine direkte Beantragung der Corona-Hilfen durch die Verkehrsunternehmen das Verfahren wesentlich vereinfachen und wie könnte eine beihilferechtskonforme Ausgestaltung des Corona-Rettungsschirms für den bayerischen ÖPNV aus Sicht der Staatsregierung aussehen?</w:t>
            </w:r>
          </w:p>
        </w:tc>
        <w:tc>
          <w:tcPr>
            <w:tcW w:w="5733" w:type="dxa"/>
          </w:tcPr>
          <w:p w:rsidR="00EF7053" w:rsidRDefault="00EF7053" w:rsidP="00EF7053">
            <w:pPr>
              <w:pStyle w:val="LTAnfrageText"/>
            </w:pPr>
          </w:p>
        </w:tc>
      </w:tr>
    </w:tbl>
    <w:p w:rsidR="007E0861" w:rsidRDefault="007E0861" w:rsidP="007E0861">
      <w:pPr>
        <w:pStyle w:val="LTUeberschrAntwortRessort"/>
      </w:pPr>
      <w:r>
        <w:t>Antwort des Staatsministeriums für Wohnen, Bau und Verkehr</w:t>
      </w:r>
    </w:p>
    <w:p w:rsidR="007E0861" w:rsidRDefault="007E0861" w:rsidP="007E0861">
      <w:pPr>
        <w:pStyle w:val="LTAntwortRessortText"/>
      </w:pPr>
      <w:r>
        <w:t>Die Staatsregierung sieht keine beihilferechtlichen Bedenken bei der Ausreichung der Leistungen aus dem ÖPNV-Rettungsschir</w:t>
      </w:r>
      <w:r w:rsidR="00187DFF">
        <w:t>m. Die 16 Bundesländer haben ge</w:t>
      </w:r>
      <w:r>
        <w:t>meinsam für das Jahr 2020 eine Musterrichtlinie zur Ausreichung der Billigkeits-leistungen im ÖPNV-Rettungsschirm entwickelt.</w:t>
      </w:r>
    </w:p>
    <w:p w:rsidR="007E0861" w:rsidRDefault="007E0861" w:rsidP="007E0861">
      <w:pPr>
        <w:pStyle w:val="LTAntwortRessortText"/>
      </w:pPr>
      <w:r>
        <w:t>In dieser wurden die beihilferechtlichen Vorgab</w:t>
      </w:r>
      <w:r w:rsidR="00187DFF">
        <w:t>en transparent und gut nachvoll</w:t>
      </w:r>
      <w:r>
        <w:t>ziehbar abgebildet. Zusätzlich haben die ko</w:t>
      </w:r>
      <w:r w:rsidR="00187DFF">
        <w:t>mmunalen Spitzenverbände und Un</w:t>
      </w:r>
      <w:r>
        <w:t>ternehmensverbände auf Bundesebene einen Leitfaden zur Anwendung des ÖPNV-Rettungsschirms bereitgestellt, der die vielen Einzelfragen, unter anderem die Fragen des Beihilferechts, beleuchtet.</w:t>
      </w:r>
    </w:p>
    <w:p w:rsidR="007E0861" w:rsidRDefault="007E0861" w:rsidP="007E0861">
      <w:pPr>
        <w:pStyle w:val="LTAntwortRessortText"/>
      </w:pPr>
      <w:r>
        <w:t>Es bestehen mehrere Möglichkeiten, wie Verk</w:t>
      </w:r>
      <w:r w:rsidR="00187DFF">
        <w:t>ehrsunternehmen direkt die Leis</w:t>
      </w:r>
      <w:r>
        <w:t>tungen aus dem ÖPNV-Rettungsschirm in A</w:t>
      </w:r>
      <w:r w:rsidR="00187DFF">
        <w:t>nspruch nehmen können. Viele Un</w:t>
      </w:r>
      <w:r>
        <w:t>ternehmen profitieren von der Vierten Geänd</w:t>
      </w:r>
      <w:r w:rsidR="00187DFF">
        <w:t>erten Regelung zur vorübergehen</w:t>
      </w:r>
      <w:r>
        <w:t xml:space="preserve">den Gewährung geringfügiger Beihilfen im Geltungsbereich der Bundesrepublik Deutschland im Zusammenhang mit dem Ausbruch von </w:t>
      </w:r>
      <w:r w:rsidR="00102307">
        <w:t>COVID-19</w:t>
      </w:r>
      <w:r>
        <w:t xml:space="preserve"> (</w:t>
      </w:r>
      <w:r w:rsidR="00102307">
        <w:t>„</w:t>
      </w:r>
      <w:r w:rsidR="00187DFF">
        <w:t>Vierte Geän</w:t>
      </w:r>
      <w:r>
        <w:t>derte Bundesregelung Kleinbeihilfen 2020</w:t>
      </w:r>
      <w:r w:rsidR="00102307">
        <w:t>“</w:t>
      </w:r>
      <w:r>
        <w:t xml:space="preserve">) </w:t>
      </w:r>
      <w:r w:rsidR="00187DFF">
        <w:t>des Bundesministeriums für Wirt</w:t>
      </w:r>
      <w:r>
        <w:t xml:space="preserve">schaft und Energie vom 12. Februar 2021 (BAnz AT 1.03.2021 B1). Nach dieser Regelung können Beihilfen bis </w:t>
      </w:r>
      <w:r w:rsidR="00FA46A8">
        <w:t>zu einem Gesamtnennbetrag von 1.800.</w:t>
      </w:r>
      <w:r>
        <w:t>000 Euro direkt an die Verkehrsunternehmen ausgereicht werden. Dies betrifft die meisten mittelständischen Unternehmen.</w:t>
      </w:r>
    </w:p>
    <w:p w:rsidR="007E0861" w:rsidRDefault="007E0861" w:rsidP="007E0861">
      <w:pPr>
        <w:pStyle w:val="LTAntwortRessortText"/>
      </w:pPr>
      <w:r>
        <w:t xml:space="preserve">Durch die Regelung zur vorübergehenden Gewährung von Beihilfen zum Ausgleich von Schäden im öffentlichen Personennahverkehr im Geltungsbereich der Bundesrepublik Deutschland im Zusammenhang mit dem Ausbruch von </w:t>
      </w:r>
      <w:r w:rsidR="00102307">
        <w:t>COVID-19“</w:t>
      </w:r>
      <w:r>
        <w:t xml:space="preserve"> (</w:t>
      </w:r>
      <w:r w:rsidR="00102307">
        <w:t>„</w:t>
      </w:r>
      <w:r>
        <w:t xml:space="preserve">Bundesrahmenregelung Beihilfen für </w:t>
      </w:r>
      <w:r w:rsidR="00187DFF">
        <w:t>den öffentlichen Personennahver</w:t>
      </w:r>
      <w:r>
        <w:t>kehr</w:t>
      </w:r>
      <w:r w:rsidR="00102307">
        <w:t>“</w:t>
      </w:r>
      <w:r>
        <w:t>) des Bundesministeriums für Verkehr und digitale Infrastruktur vom</w:t>
      </w:r>
      <w:r w:rsidR="005D2E4E">
        <w:t xml:space="preserve"> </w:t>
      </w:r>
      <w:r>
        <w:t>7.</w:t>
      </w:r>
      <w:r w:rsidR="00153FFA">
        <w:t xml:space="preserve"> August 2020</w:t>
      </w:r>
      <w:r>
        <w:t xml:space="preserve"> konnten auch höhere Beihilfen für die Zeit vom 1. März bis</w:t>
      </w:r>
      <w:r w:rsidR="005D2E4E">
        <w:t xml:space="preserve"> </w:t>
      </w:r>
      <w:r>
        <w:t xml:space="preserve">31. August 2020 direkt an die Verkehrsunternehmen ausgereicht werden. Für die Zeit ab dem 1. September 2020 </w:t>
      </w:r>
      <w:r>
        <w:lastRenderedPageBreak/>
        <w:t xml:space="preserve">sind bei den Unternehmen, die nicht unter die Vierte </w:t>
      </w:r>
      <w:r w:rsidR="00153FFA">
        <w:t>G</w:t>
      </w:r>
      <w:r>
        <w:t xml:space="preserve">eänderte Bundesregelung Kleinbeihilfe </w:t>
      </w:r>
      <w:r w:rsidR="00187DFF">
        <w:t>2020 fallen, die bewährten Rege</w:t>
      </w:r>
      <w:r w:rsidR="00FA46A8">
        <w:t>lungen der Verordnung (EG) Nr. </w:t>
      </w:r>
      <w:r>
        <w:t>1370/2007 des Europäischen Parlaments und des Rates vom 23. Oktober 2007 über öffentliche Personenverkehrsdienste auf Schiene und Straße und zur Aufhebung der Verordnungen (EWG) Nr. 1191/69 und (EWG) Nr. 1107/70 des Rates (Verordnung Nr. 1370/2007) maßgeblich.</w:t>
      </w:r>
    </w:p>
    <w:p w:rsidR="007E0861" w:rsidRDefault="007E0861" w:rsidP="007E0861">
      <w:pPr>
        <w:pStyle w:val="LTAntwortRessortText"/>
      </w:pPr>
      <w:r>
        <w:t xml:space="preserve">Hier bedarf es im Regelfall eines entsprechenden </w:t>
      </w:r>
      <w:r w:rsidR="00187DFF">
        <w:t>öffentlichen Dienstleistungsauf</w:t>
      </w:r>
      <w:r>
        <w:t>trages des zuständigen Aufgabenträgers. Durch die Möglichkeit der Notvergabe in Art. 5 Abs. 5 der Verordnung Nr. 1370/2007 enthält die Verordnung spezielle Regelungen, um mit einer solchen Pandemiesituation umzugehen.</w:t>
      </w:r>
    </w:p>
    <w:p w:rsidR="007E0861" w:rsidRDefault="007E0861" w:rsidP="007E0861">
      <w:pPr>
        <w:pStyle w:val="LTAntwortRessortText"/>
      </w:pPr>
      <w:r>
        <w:t>Auch für das Jahr 2021 wird derzeit eine ent</w:t>
      </w:r>
      <w:r w:rsidR="00187DFF">
        <w:t>sprechende Musterrichtlinie zwi</w:t>
      </w:r>
      <w:r>
        <w:t>schen den Ländern abgestimmt.</w:t>
      </w:r>
    </w:p>
    <w:p w:rsidR="007E0861" w:rsidRDefault="007E0861">
      <w:bookmarkStart w:id="11" w:name="Frage_Nr_5_Ende"/>
      <w:bookmarkEnd w:id="11"/>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F7053" w:rsidTr="00EF7053">
        <w:tc>
          <w:tcPr>
            <w:tcW w:w="1883" w:type="dxa"/>
          </w:tcPr>
          <w:p w:rsidR="00EF7053" w:rsidRDefault="00EF7053" w:rsidP="00EF7053">
            <w:pPr>
              <w:pStyle w:val="LTAnfrageInitiator"/>
            </w:pPr>
            <w:r>
              <w:lastRenderedPageBreak/>
              <w:t>Abgeordneter</w:t>
            </w:r>
            <w:r>
              <w:rPr>
                <w:b/>
              </w:rPr>
              <w:br/>
              <w:t>Paul</w:t>
            </w:r>
            <w:r>
              <w:rPr>
                <w:b/>
              </w:rPr>
              <w:br/>
              <w:t>Knoblach</w:t>
            </w:r>
            <w:r>
              <w:rPr>
                <w:b/>
              </w:rPr>
              <w:br/>
            </w:r>
            <w:r>
              <w:t>(BÜNDNIS 90/DIE GRÜNEN)</w:t>
            </w:r>
            <w:bookmarkStart w:id="12" w:name="Frage_Nr_6"/>
            <w:bookmarkEnd w:id="12"/>
          </w:p>
        </w:tc>
        <w:tc>
          <w:tcPr>
            <w:tcW w:w="5733" w:type="dxa"/>
          </w:tcPr>
          <w:p w:rsidR="00EF7053" w:rsidRPr="00F37ED4" w:rsidRDefault="00EF7053" w:rsidP="00F37ED4">
            <w:pPr>
              <w:pStyle w:val="LTAnfrageText"/>
            </w:pPr>
            <w:r w:rsidRPr="00F37ED4">
              <w:t>Bezüglich der deutlichen Unterschiede in den Ergebnissen der Gutachten zum Nachfragepotenzial der unteren Steigerwaldbahn der verschiedenen Ersteller (Bayerische Eisenbahngesellschaft mbH, Dr. Konrad Schliephake und kobra NVS GmbH) und mit dem Wissen, dass Methodik, Rechenwege und zugrundeliegende Daten der verschiedenen Gutachten der Staatsregierung vorliegen, frage ich die Staatsregierung, inwieweit unterscheidet sich die von der Bayerische Eisenbahngesellschaft mbH verwendete Methodik im Detail von den Methodiken von Dr. Konrad Schliephake und der kobra NVS GmbH, inwieweit unterscheidet sich der von der Bayerische Eisenbahngesellschaft mbH genutzte Rechenweg im Detail von den Rechenwegen von Dr. Konrad Schliephake und der kobra NVS GmbH und inwieweit unterscheiden sich im Detail die zugrundeliegenden Daten der Bayerische Eisenbahngesellschaft mbH von den zugrundeliegenden Daten von Dr. Konrad Schliephake und der kobra NVS GmbH, insbesondere jeweils auch hinsichtlich der Nachfragergruppen aus Einkauf/Besorgung und Tourismus?</w:t>
            </w:r>
          </w:p>
        </w:tc>
        <w:tc>
          <w:tcPr>
            <w:tcW w:w="5733" w:type="dxa"/>
          </w:tcPr>
          <w:p w:rsidR="00EF7053" w:rsidRDefault="00EF7053" w:rsidP="00EF7053">
            <w:pPr>
              <w:pStyle w:val="LTAnfrageText"/>
            </w:pPr>
          </w:p>
        </w:tc>
      </w:tr>
    </w:tbl>
    <w:p w:rsidR="007E0861" w:rsidRDefault="007E0861" w:rsidP="0070116F">
      <w:pPr>
        <w:pStyle w:val="LTUeberschrAntwortRessort"/>
        <w:spacing w:before="720"/>
      </w:pPr>
      <w:r>
        <w:t>Antwort des Staatsministeriums für Wohnen, Bau und Verkehr</w:t>
      </w:r>
    </w:p>
    <w:p w:rsidR="007E0861" w:rsidRDefault="007E0861" w:rsidP="007E0861">
      <w:pPr>
        <w:pStyle w:val="LTAntwortRessortText"/>
      </w:pPr>
      <w:r>
        <w:t>Seitens der kobra NVS GmbH wurde das Gutachten von Herrn Dr. Schliephake mit einigen Korrekturen übernommen. Die G</w:t>
      </w:r>
      <w:r w:rsidR="00187DFF">
        <w:t>rundannahmen sind jedoch diesel</w:t>
      </w:r>
      <w:r>
        <w:t>ben. Deshalb beziehen sich die weiteren Aussagen bzgl. des Schliephake-Gutachtens auch auf das Gutachten der Kobra NVS GmbH.</w:t>
      </w:r>
    </w:p>
    <w:p w:rsidR="007E0861" w:rsidRDefault="007E0861" w:rsidP="007E0861">
      <w:pPr>
        <w:pStyle w:val="LTAntwortRessortText"/>
      </w:pPr>
      <w:r>
        <w:t>Ziel des Gutachtens der Bayerischen Eisenbahngesellschaft (BEG) war es, eine zuverlässige und realistische Aussage über das Nachfragepotenzial der unteren Steigerwaldbahn zu treffen. Die BEG hat seit über 20 Jahren Erfahrung in der Berechnung von Nachfragepotenzialen. Dabei konnte die angewandte Methodik sowohl an neu eingerichteten Haltestellen als auc</w:t>
      </w:r>
      <w:r w:rsidR="00187DFF">
        <w:t>h an bereits reaktivierten Stre</w:t>
      </w:r>
      <w:r>
        <w:t>cken überprüft werden. Hierbei zeigte sich, das</w:t>
      </w:r>
      <w:r w:rsidR="00187DFF">
        <w:t>s die BEG in der Regel die Nach</w:t>
      </w:r>
      <w:r>
        <w:t>frage genauer vorhergesagt hat als von Dritten vorgelegte Gutachten.</w:t>
      </w:r>
    </w:p>
    <w:p w:rsidR="007E0861" w:rsidRDefault="007E0861" w:rsidP="007E0861">
      <w:pPr>
        <w:pStyle w:val="LTAntwortRessortText"/>
      </w:pPr>
      <w:r>
        <w:t>Bezüglich der Nachfrag</w:t>
      </w:r>
      <w:r w:rsidR="00153FFA">
        <w:t>e</w:t>
      </w:r>
      <w:r>
        <w:t>abschätzung zur unteren</w:t>
      </w:r>
      <w:r w:rsidR="00187DFF">
        <w:t xml:space="preserve"> Steigerwaldbahn sind viele Ein</w:t>
      </w:r>
      <w:r>
        <w:t>gangsdaten öffentlich zugänglich und unstrittig. Dies betrifft beispielsweise Ein-wohner-, Schüler- und Pendlerzahlen.</w:t>
      </w:r>
    </w:p>
    <w:p w:rsidR="007E0861" w:rsidRDefault="007E0861" w:rsidP="007E0861">
      <w:pPr>
        <w:pStyle w:val="LTAntwortRessortText"/>
      </w:pPr>
      <w:r>
        <w:t>Die Differenzen bei den Ergebnissen der verschiedenen Gutachten zur unteren Steigerwaldbahn entstehen in den unterschiedlichen methodischen Ansätzen. Vor allem</w:t>
      </w:r>
    </w:p>
    <w:p w:rsidR="007E0861" w:rsidRDefault="007E0861" w:rsidP="005D2E4E">
      <w:pPr>
        <w:pStyle w:val="LTAntwortRessortText"/>
        <w:numPr>
          <w:ilvl w:val="0"/>
          <w:numId w:val="26"/>
        </w:numPr>
        <w:spacing w:before="0"/>
        <w:ind w:left="697" w:hanging="357"/>
      </w:pPr>
      <w:r>
        <w:t>durch unterschiedliche Annahmen zur Frage, wie viele Personen dem direkten Einzugsbereich zuzuordnen sind,</w:t>
      </w:r>
    </w:p>
    <w:p w:rsidR="007E0861" w:rsidRDefault="007E0861" w:rsidP="005D2E4E">
      <w:pPr>
        <w:pStyle w:val="LTAntwortRessortText"/>
        <w:numPr>
          <w:ilvl w:val="0"/>
          <w:numId w:val="26"/>
        </w:numPr>
        <w:spacing w:before="0"/>
        <w:ind w:left="697" w:hanging="357"/>
      </w:pPr>
      <w:r>
        <w:t>durch Unterschiede bei der Abschätzung der Höhe des Verkehrsaufkommens sowie bei der Ermittlung der Quell-Ziel-Beziehungen und</w:t>
      </w:r>
    </w:p>
    <w:p w:rsidR="007E0861" w:rsidRDefault="007E0861" w:rsidP="005D2E4E">
      <w:pPr>
        <w:pStyle w:val="LTAntwortRessortText"/>
        <w:numPr>
          <w:ilvl w:val="0"/>
          <w:numId w:val="26"/>
        </w:numPr>
        <w:spacing w:before="0"/>
        <w:ind w:left="697" w:hanging="357"/>
      </w:pPr>
      <w:r>
        <w:t>durch verschiedene Ansätze bei der Abschätzung des Fremdenverkehrs und des Tourismus.</w:t>
      </w:r>
    </w:p>
    <w:p w:rsidR="007E0861" w:rsidRDefault="007E0861" w:rsidP="007E0861">
      <w:pPr>
        <w:pStyle w:val="LTAntwortRessortText"/>
      </w:pPr>
      <w:r>
        <w:t>Auf diese drei wesentlichen Punkte wird nachfolgend näher eingegangen.</w:t>
      </w:r>
    </w:p>
    <w:p w:rsidR="007E0861" w:rsidRPr="005D2E4E" w:rsidRDefault="007E0861" w:rsidP="007E0861">
      <w:pPr>
        <w:pStyle w:val="LTAntwortRessortText"/>
        <w:rPr>
          <w:u w:val="single"/>
        </w:rPr>
      </w:pPr>
      <w:r w:rsidRPr="005D2E4E">
        <w:rPr>
          <w:u w:val="single"/>
        </w:rPr>
        <w:lastRenderedPageBreak/>
        <w:t>Direkter Einzugsbereich</w:t>
      </w:r>
    </w:p>
    <w:p w:rsidR="007E0861" w:rsidRDefault="007E0861" w:rsidP="005D2E4E">
      <w:pPr>
        <w:pStyle w:val="LTAntwortRessortText"/>
        <w:spacing w:before="0"/>
      </w:pPr>
      <w:r>
        <w:t>Der Einzugsbereich unterstellt, dass die Haltestelle auch zu Fuß erreicht werden kann. Die BEG unterstellt i</w:t>
      </w:r>
      <w:r w:rsidR="00153FFA">
        <w:t>m so</w:t>
      </w:r>
      <w:r>
        <w:t>genannten dir</w:t>
      </w:r>
      <w:r w:rsidR="00153FFA">
        <w:t>ekten Potenz</w:t>
      </w:r>
      <w:r w:rsidR="005D2E4E">
        <w:t>ial einen Einzugsbe</w:t>
      </w:r>
      <w:r w:rsidR="00FA46A8">
        <w:t>reich im Radius von 1 </w:t>
      </w:r>
      <w:r>
        <w:t>500 m um die jeweiligen Haltestellen. Dabei handelt es sich um eine Standardannahme, die beispielsweise auch den Anforderungen im Leitfaden zur volkswirtschaftlichen Bewertung bei Stationsmaßnahmen nach dem Projekt</w:t>
      </w:r>
      <w:r w:rsidR="0070116F">
        <w:t>-</w:t>
      </w:r>
      <w:r w:rsidR="0070116F">
        <w:br/>
      </w:r>
      <w:r>
        <w:t>dossierverfahren der Standardisierten Bewertung entspricht. Das S</w:t>
      </w:r>
      <w:r w:rsidR="0070116F">
        <w:t>chlie</w:t>
      </w:r>
      <w:r>
        <w:t>phake-Gutachten hat teilweise direkte Einzug</w:t>
      </w:r>
      <w:r w:rsidR="0070116F">
        <w:t>sbereiche von bis zu 7 km unter</w:t>
      </w:r>
      <w:r>
        <w:t>stellt. Solche Annahmen entsprechen nicht den Erfahrungen der BEG. Zudem entsteht dadurch ein deutlich höheres Grundpotenzial, also eine deutlich höhere Zahl an Personen, bei denen eine problemlos</w:t>
      </w:r>
      <w:r w:rsidR="0070116F">
        <w:t>e Nutzbarkeit des Schienenperso</w:t>
      </w:r>
      <w:r>
        <w:t>nennahverkehrs (SPNV) unterstellt wird.</w:t>
      </w:r>
    </w:p>
    <w:p w:rsidR="007E0861" w:rsidRPr="005D2E4E" w:rsidRDefault="007E0861" w:rsidP="007E0861">
      <w:pPr>
        <w:pStyle w:val="LTAntwortRessortText"/>
        <w:rPr>
          <w:u w:val="single"/>
        </w:rPr>
      </w:pPr>
      <w:r w:rsidRPr="005D2E4E">
        <w:rPr>
          <w:u w:val="single"/>
        </w:rPr>
        <w:t>Abschätzung der Höhe des Verkehrsaufkommens</w:t>
      </w:r>
    </w:p>
    <w:p w:rsidR="007E0861" w:rsidRDefault="007E0861" w:rsidP="005D2E4E">
      <w:pPr>
        <w:pStyle w:val="LTAntwortRessortText"/>
        <w:spacing w:before="0"/>
      </w:pPr>
      <w:r>
        <w:t>Das Schliephake-Gutachten setzt auf dem oben genannten direkten Potenzial auf und unterstellt, dass jeder Einwohner eine bestimmte Anzahl von Verkehrswegen unternimmt und berechnet diese nach einem theo</w:t>
      </w:r>
      <w:r w:rsidR="0070116F">
        <w:t>retischen Modell. Die tatsächli</w:t>
      </w:r>
      <w:r>
        <w:t xml:space="preserve">chen Quell-Zielbeziehungen vor Ort, also </w:t>
      </w:r>
      <w:r w:rsidR="00102307">
        <w:t>z. B.</w:t>
      </w:r>
      <w:r>
        <w:t xml:space="preserve"> d</w:t>
      </w:r>
      <w:r w:rsidR="0070116F">
        <w:t>ie Frage, wie viele Bewohner ei</w:t>
      </w:r>
      <w:r>
        <w:t>nes bestimmten Ortes überhaupt in einen anderen Ort fahren wollen, werden nicht näher analysiert. Die BEG analysiert die tatsä</w:t>
      </w:r>
      <w:r w:rsidR="0070116F">
        <w:t>chlichen Verkehrsbeziehungen an</w:t>
      </w:r>
      <w:r>
        <w:t>hand der Pendlerdaten auf Gemeindeebene. Auf dieses Grundgerüst aufbauend werden anhand der Einwohner- und Arbeitsplatzdaten Annahmen zu den weiteren Verkehrszwecken getroffen. Dabei werden auch die tatsächlichen Unterschiede zwischen den Reisezeiten im SPNV und Indi</w:t>
      </w:r>
      <w:r w:rsidR="0070116F">
        <w:t>vidualverkehr der einzelnen Ver</w:t>
      </w:r>
      <w:r>
        <w:t>kehrsbeziehungen berücksichtigt. Diese Betrachtung fehlt im Schliephake-Gutachten.</w:t>
      </w:r>
    </w:p>
    <w:p w:rsidR="007E0861" w:rsidRPr="005D2E4E" w:rsidRDefault="007E0861" w:rsidP="007E0861">
      <w:pPr>
        <w:pStyle w:val="LTAntwortRessortText"/>
        <w:rPr>
          <w:u w:val="single"/>
        </w:rPr>
      </w:pPr>
      <w:r w:rsidRPr="005D2E4E">
        <w:rPr>
          <w:u w:val="single"/>
        </w:rPr>
        <w:t>Fremdenverkehr und Tourismus</w:t>
      </w:r>
    </w:p>
    <w:p w:rsidR="007E0861" w:rsidRDefault="007E0861" w:rsidP="005D2E4E">
      <w:pPr>
        <w:pStyle w:val="LTAntwortRessortText"/>
        <w:spacing w:before="0"/>
      </w:pPr>
      <w:r>
        <w:t>Deutliche Unterschiede bestehen auch bei der</w:t>
      </w:r>
      <w:r w:rsidR="0070116F">
        <w:t xml:space="preserve"> Bewertung der Verkehre im Frem</w:t>
      </w:r>
      <w:r>
        <w:t xml:space="preserve">denverkehr und Tourismus, diese verursachen </w:t>
      </w:r>
      <w:r w:rsidR="0070116F">
        <w:t>jedoch eine weniger große Diffe</w:t>
      </w:r>
      <w:r>
        <w:t xml:space="preserve">renz in der Berechnung des Wertes </w:t>
      </w:r>
      <w:r w:rsidR="00102307">
        <w:t>„</w:t>
      </w:r>
      <w:r>
        <w:t>Personenkilometer pro Kilometer Streckenlänge</w:t>
      </w:r>
      <w:r w:rsidR="00102307">
        <w:t>“</w:t>
      </w:r>
      <w:r>
        <w:t>.</w:t>
      </w:r>
    </w:p>
    <w:p w:rsidR="007E0861" w:rsidRDefault="007E0861" w:rsidP="005D2E4E">
      <w:pPr>
        <w:pStyle w:val="LTAntwortRessortText"/>
        <w:spacing w:before="0"/>
      </w:pPr>
      <w:r>
        <w:t>Im Sch</w:t>
      </w:r>
      <w:r w:rsidR="00153FFA">
        <w:t>liephake-Gutachten werden Potenz</w:t>
      </w:r>
      <w:r>
        <w:t>ial</w:t>
      </w:r>
      <w:r w:rsidR="0070116F">
        <w:t>e für Tagesausflüge aus dem Ver</w:t>
      </w:r>
      <w:r>
        <w:t>hältnis der Übernachtungen abgesc</w:t>
      </w:r>
      <w:r w:rsidR="00153FFA">
        <w:t>hätzt und anhand weiterer Potenz</w:t>
      </w:r>
      <w:r>
        <w:t>iale für den Event-Tourismus unterstellt. Somit werden pauschal 90 Personenkilometer pro km Streckenlänge für das touristische Potential berechnet, während das BEG-Gutachten</w:t>
      </w:r>
      <w:r w:rsidR="0070116F">
        <w:t xml:space="preserve"> je nach örtlicher Situation 1 bis</w:t>
      </w:r>
      <w:r>
        <w:t xml:space="preserve"> 25 Personenkilometer pro Kilometer Streckenlänge berechnet.</w:t>
      </w:r>
    </w:p>
    <w:p w:rsidR="007E0861" w:rsidRDefault="007E0861" w:rsidP="007E0861">
      <w:pPr>
        <w:pStyle w:val="LTAntwortRessortText"/>
      </w:pPr>
      <w:r>
        <w:t>Zusammengefasst lässt sich feststellen, dass das Schliephake-Gutachten durch die groß gewählten Einzugsbereiche um die Stationen ein aus Sicht der BEG d</w:t>
      </w:r>
      <w:r w:rsidR="00153FFA">
        <w:t>eutlich zu hohes direktes Potenz</w:t>
      </w:r>
      <w:r>
        <w:t xml:space="preserve">ial unterstellt und pauschal annimmt, dass alle Einwohner aus dem zu hoch angesetzten Einzugsbereich Verkehre erzeugen, die SPNV-relevant sind. Dabei werden pauschale Werte herangezogen. Die BEG unterstellt hingegen ein in der Verkehrsforschung übliches, </w:t>
      </w:r>
      <w:r w:rsidR="0070116F">
        <w:t>deutlich geringeres direktes Po</w:t>
      </w:r>
      <w:r>
        <w:t>ten</w:t>
      </w:r>
      <w:r w:rsidR="00153FFA">
        <w:t>z</w:t>
      </w:r>
      <w:r>
        <w:t>ial im direkten Einzugsbereich. Dabei wi</w:t>
      </w:r>
      <w:r w:rsidR="0070116F">
        <w:t>rd nicht angenommen, dass grund</w:t>
      </w:r>
      <w:r>
        <w:t>sätzlich jeder Einwohner SPNV-relevante B</w:t>
      </w:r>
      <w:r w:rsidR="0070116F">
        <w:t>ewegungen unternimmt. Als Grund</w:t>
      </w:r>
      <w:r>
        <w:t>gerüst der Nachfrage werden die SPNV-rele</w:t>
      </w:r>
      <w:r w:rsidR="0070116F">
        <w:t>vanten Pendlerbeziehungen unter</w:t>
      </w:r>
      <w:r>
        <w:t>stellt. Die BEG greift hierbei auf Erfahrungen ausschließlich aus der Analyse der SPNV-Verkehre zurück und bezieht dabei Nachf</w:t>
      </w:r>
      <w:r w:rsidR="0070116F">
        <w:t>ragedaten von tatsächlich im Be</w:t>
      </w:r>
      <w:r>
        <w:t>trieb befindlichen Strecken mit ein. Die geschilderte Herangehensweise konnte an zurückliegenden Streckenbewertungen überprüft werden.</w:t>
      </w:r>
    </w:p>
    <w:p w:rsidR="007E0861" w:rsidRDefault="007E0861" w:rsidP="007E0861">
      <w:pPr>
        <w:pStyle w:val="LTAntwortRessortText"/>
      </w:pPr>
      <w:r>
        <w:t>Die BEG hatte bereits 2017 den Auftrag, das</w:t>
      </w:r>
      <w:r w:rsidR="0070116F">
        <w:t xml:space="preserve"> Schliephake-Gutachten zu bewer</w:t>
      </w:r>
      <w:r>
        <w:t xml:space="preserve">ten. Im Rahmen dieser Bewertung hat sich der zuständige Sachbearbeiter auch direkt mit Herrn Dr. Schliephake über dessen Methodik ausgetauscht. Die BEG ist damals </w:t>
      </w:r>
      <w:r>
        <w:lastRenderedPageBreak/>
        <w:t>bei der Analyse des Schliephake-Gutachtens zu dem Ergebnis gelangt, das Gutachten nicht als Entscheidungsgrundlage bzgl. einer Reaktivierung der unteren Steigerwaldbahn heranzuziehen.</w:t>
      </w:r>
    </w:p>
    <w:p w:rsidR="007E0861" w:rsidRDefault="007E0861">
      <w:bookmarkStart w:id="13" w:name="Frage_Nr_6_Ende"/>
      <w:bookmarkEnd w:id="13"/>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EF7053" w:rsidTr="00EF7053">
        <w:tc>
          <w:tcPr>
            <w:tcW w:w="1854" w:type="dxa"/>
          </w:tcPr>
          <w:p w:rsidR="00EF7053" w:rsidRDefault="00EF7053" w:rsidP="00EF7053">
            <w:pPr>
              <w:pStyle w:val="LTAnfrageInitiator"/>
            </w:pPr>
            <w:r>
              <w:lastRenderedPageBreak/>
              <w:t>Abgeordneter</w:t>
            </w:r>
            <w:r>
              <w:rPr>
                <w:b/>
              </w:rPr>
              <w:br/>
              <w:t>Markus</w:t>
            </w:r>
            <w:r>
              <w:rPr>
                <w:b/>
              </w:rPr>
              <w:br/>
              <w:t>Rinderspacher</w:t>
            </w:r>
            <w:r>
              <w:rPr>
                <w:b/>
              </w:rPr>
              <w:br/>
            </w:r>
            <w:r>
              <w:t>(SPD)</w:t>
            </w:r>
            <w:bookmarkStart w:id="14" w:name="Frage_Nr_7"/>
            <w:bookmarkEnd w:id="14"/>
          </w:p>
        </w:tc>
        <w:tc>
          <w:tcPr>
            <w:tcW w:w="5762" w:type="dxa"/>
          </w:tcPr>
          <w:p w:rsidR="00EF7053" w:rsidRPr="00F37ED4" w:rsidRDefault="00EF7053" w:rsidP="00F37ED4">
            <w:pPr>
              <w:pStyle w:val="LTAnfrageText"/>
            </w:pPr>
            <w:r w:rsidRPr="00F37ED4">
              <w:t>Ich frage die Staatsregierung, welche behördlichen Maßnahmen hat die Staatsregierung eingeleitet, die Kfz-Verwahrstelle in</w:t>
            </w:r>
            <w:r w:rsidR="00FA46A8">
              <w:t xml:space="preserve"> der Truderinger Thomas-Hauser-</w:t>
            </w:r>
            <w:r w:rsidRPr="00F37ED4">
              <w:t xml:space="preserve">Straße an einen anderen Ort zu verlegen, um eine anwohnerfreundliche Trassenvariante der Truderinger Kurve zu ermöglichen (bitte jeweils mit Datumsangabe der behördlichen Kommunikation), welche konkreten Angebote unter besonderer Berücksichtigung des Kfz-Verwahrstellen-Standorts hat die Staatsregierung der DB Bahn Netz AG unterbreitet, damit eine anwohnerfreundliche Trassenführung ermöglicht werden kann (bitte unter Angabe des Briefwortlauts und Datums des Schreibens) und wie bewertet die Staatsregierung, dass </w:t>
            </w:r>
            <w:r w:rsidR="00FA46A8">
              <w:t>laut Bundestagsanfrage auf Drs. </w:t>
            </w:r>
            <w:r w:rsidRPr="00F37ED4">
              <w:t>19/26080 vom 21.01.2021 die Vorhabenträgerin „das Risiko einer mehrjährigen Verzögerung des Schienenprojekts bei Verlegung der Kfz-Verwahrstelle als sehr hoch“ einschätzt? </w:t>
            </w:r>
          </w:p>
        </w:tc>
        <w:tc>
          <w:tcPr>
            <w:tcW w:w="5762" w:type="dxa"/>
          </w:tcPr>
          <w:p w:rsidR="00EF7053" w:rsidRDefault="00EF7053" w:rsidP="00EF7053">
            <w:pPr>
              <w:pStyle w:val="LTAnfrageText"/>
            </w:pPr>
          </w:p>
        </w:tc>
      </w:tr>
    </w:tbl>
    <w:p w:rsidR="007E0861" w:rsidRDefault="007E0861" w:rsidP="007E0861">
      <w:pPr>
        <w:pStyle w:val="LTUeberschrAntwortRessort"/>
      </w:pPr>
      <w:r>
        <w:t>Antwort des Staatsministeriums für Wohnen, Bau und Verkehr</w:t>
      </w:r>
    </w:p>
    <w:p w:rsidR="007E0861" w:rsidRDefault="007E0861" w:rsidP="007E0861">
      <w:pPr>
        <w:pStyle w:val="LTAntwortRessortText"/>
      </w:pPr>
      <w:r>
        <w:t xml:space="preserve">Die Maßnahmen Daglfinger und Truderinger Kurve sowie </w:t>
      </w:r>
      <w:r w:rsidR="00FA46A8">
        <w:t>zweigleisiger Ausbau Trudering –</w:t>
      </w:r>
      <w:r>
        <w:t xml:space="preserve"> Daglfing sind als Teilmaßnahmen der Au</w:t>
      </w:r>
      <w:r w:rsidR="00FA46A8">
        <w:t>sbaustrecke München – Mühldorf –</w:t>
      </w:r>
      <w:r>
        <w:t xml:space="preserve"> Freilassing (ABS 38) Bestandteil des Vordringlichen Bedarfs des Bundesverkehrswegeplan 2030 und werden derzeit von der Deutschen Bahn (DB) im Auftrag des Bundes geplant. Die geplante Va</w:t>
      </w:r>
      <w:r w:rsidR="0070116F">
        <w:t>riante der DB stößt bei der Bür</w:t>
      </w:r>
      <w:r>
        <w:t xml:space="preserve">gerschaft und Landeshauptstadt München (LHM) auf Ablehnung. </w:t>
      </w:r>
      <w:r w:rsidR="005D2E4E">
        <w:t>Eine erste fach</w:t>
      </w:r>
      <w:r>
        <w:t>liche Einschätzung des Staatsministeriums für Wohnen, Bau und Verkehr sieht die von den Bürgerinnen und Bürgern vorgesc</w:t>
      </w:r>
      <w:r w:rsidR="00153FFA">
        <w:t>hlagene Variante B1 als vorzugsw</w:t>
      </w:r>
      <w:r>
        <w:t>ürdig. Für die Realisierung der Variante B1 ist die Verlegung der Kfz-Verwahrstelle notwendig. Diese kann nur geli</w:t>
      </w:r>
      <w:r w:rsidR="0070116F">
        <w:t>ngen, wenn die LHM intensiv mit</w:t>
      </w:r>
      <w:r>
        <w:t xml:space="preserve">wirkt. Frau Staatsministerin </w:t>
      </w:r>
      <w:r w:rsidR="00153FFA">
        <w:t xml:space="preserve">Kerstin </w:t>
      </w:r>
      <w:r>
        <w:t>Schreyer, MdL hat sich hierzu mit Schreiben vom 20</w:t>
      </w:r>
      <w:r w:rsidR="00FA46A8">
        <w:t>.01.</w:t>
      </w:r>
      <w:r>
        <w:t>2021 an Herrn Oberbürgermeister Reiter gewandt. Mit Schreiben vom 12</w:t>
      </w:r>
      <w:r w:rsidR="00FA46A8">
        <w:t>.02.</w:t>
      </w:r>
      <w:r>
        <w:t xml:space="preserve">2021 hat Herr Oberbürgermeister </w:t>
      </w:r>
      <w:r w:rsidR="00153FFA">
        <w:t xml:space="preserve">Dieter </w:t>
      </w:r>
      <w:r>
        <w:t>Reiter die notwendige intensive Mitwirkung der LHM bei der Suche eines Ersatzgrundstückes zugesagt. Die Staatsregierung bereitet derzeit ein gemeinsame</w:t>
      </w:r>
      <w:r w:rsidR="0070116F">
        <w:t>s Gespräch mit dem Polizeipräsi</w:t>
      </w:r>
      <w:r>
        <w:t>dium München und der LHM vor, in welchem di</w:t>
      </w:r>
      <w:r w:rsidR="0070116F">
        <w:t>e Möglichkeiten des weiteren Umg</w:t>
      </w:r>
      <w:r>
        <w:t>angs mit der Kfz-Verwahrstelle erörtert werden sollen. Terminvorschläge liegen der LHM bereits vor. Es wird angenommen, dass durch die gemeinsamen Anstrengungen bei der Suche eines Ersatzgrun</w:t>
      </w:r>
      <w:r w:rsidR="0070116F">
        <w:t>dstückes keine mehrjährigen Ver</w:t>
      </w:r>
      <w:r>
        <w:t>zögerungen des Schienenprojekts zu erwarten sind.</w:t>
      </w:r>
    </w:p>
    <w:p w:rsidR="007E0861" w:rsidRDefault="007E0861" w:rsidP="007E0861">
      <w:pPr>
        <w:pStyle w:val="LTAntwortRessortText"/>
      </w:pPr>
      <w:r>
        <w:t xml:space="preserve">Außerdem hat sich Frau Staatsministerin </w:t>
      </w:r>
      <w:r w:rsidR="00FA46A8">
        <w:t xml:space="preserve">Kerstin </w:t>
      </w:r>
      <w:r>
        <w:t>Schreyer, MdL mit Schreiben vom 20</w:t>
      </w:r>
      <w:r w:rsidR="00FA46A8">
        <w:t>.01.</w:t>
      </w:r>
      <w:r>
        <w:t xml:space="preserve">2021 an Herrn Bundesminister </w:t>
      </w:r>
      <w:r w:rsidR="00FA46A8">
        <w:t xml:space="preserve">Andreas </w:t>
      </w:r>
      <w:r>
        <w:t>Scheuer, MdB und die DB gewandt, um die Aufhebung des Variantenentscheids zugunst</w:t>
      </w:r>
      <w:r w:rsidR="0070116F">
        <w:t>en der von der Bürgschaft einge</w:t>
      </w:r>
      <w:r>
        <w:t>brachten Variante B1 zu erreichen.</w:t>
      </w:r>
    </w:p>
    <w:p w:rsidR="007E0861" w:rsidRDefault="007E0861" w:rsidP="007E0861">
      <w:pPr>
        <w:pStyle w:val="LTAntwortRessortText"/>
      </w:pPr>
      <w:r>
        <w:t>Im Weiteren wird auf die Beantwortung der S</w:t>
      </w:r>
      <w:r w:rsidR="00FA46A8">
        <w:t>chriftlichen Anfrage vom 12.11.</w:t>
      </w:r>
      <w:r>
        <w:t>20</w:t>
      </w:r>
      <w:r w:rsidR="00FA46A8">
        <w:t>20 (Drs. 18/12054 vom 19.01.</w:t>
      </w:r>
      <w:r w:rsidR="00526778">
        <w:t>2021) verwiesen, die weiter</w:t>
      </w:r>
      <w:r>
        <w:t>hin Gültigkeit behält.</w:t>
      </w:r>
    </w:p>
    <w:p w:rsidR="007E0861" w:rsidRDefault="007E0861">
      <w:bookmarkStart w:id="15" w:name="Frage_Nr_7_Ende"/>
      <w:bookmarkEnd w:id="15"/>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50F30" w:rsidTr="0070116F">
        <w:tc>
          <w:tcPr>
            <w:tcW w:w="1883" w:type="dxa"/>
          </w:tcPr>
          <w:p w:rsidR="00C50F30" w:rsidRDefault="00C50F30" w:rsidP="00C50F30">
            <w:pPr>
              <w:pStyle w:val="LTAnfrageInitiator"/>
            </w:pPr>
            <w:r>
              <w:lastRenderedPageBreak/>
              <w:t>Abgeordnete</w:t>
            </w:r>
            <w:r>
              <w:rPr>
                <w:b/>
              </w:rPr>
              <w:br/>
              <w:t>Gisela</w:t>
            </w:r>
            <w:r>
              <w:rPr>
                <w:b/>
              </w:rPr>
              <w:br/>
              <w:t>Sengl</w:t>
            </w:r>
            <w:r>
              <w:rPr>
                <w:b/>
              </w:rPr>
              <w:br/>
            </w:r>
            <w:r>
              <w:t>(BÜNDNIS 90/DIE GRÜNEN)</w:t>
            </w:r>
            <w:bookmarkStart w:id="16" w:name="Frage_Nr_8"/>
            <w:bookmarkEnd w:id="16"/>
          </w:p>
        </w:tc>
        <w:tc>
          <w:tcPr>
            <w:tcW w:w="5733" w:type="dxa"/>
          </w:tcPr>
          <w:p w:rsidR="00C50F30" w:rsidRPr="003E61AF" w:rsidRDefault="00C50F30" w:rsidP="0070116F">
            <w:pPr>
              <w:pStyle w:val="LTAnfrageText"/>
            </w:pPr>
            <w:r w:rsidRPr="003E61AF">
              <w:t>Ich frage die Staatsregierung, gibt es einen verbindlichen Richtwert für die Mindestgröße einer Konzentrationszone für Kiesabbau, um den Klagegrund einer Verhinderungsplanung auszuschließen, haben Eigentümer, deren Grundstücke in einer Konzentrationszone liegen, einen Rechtsanspruch, ihre Grundstücke von der Ausweisung auszuschließen und ist mit der Ausweisung einer Konzentrationszone weiterer Kiesabbau innerhalb des Gemeindegebiets ausgeschlossen? </w:t>
            </w:r>
          </w:p>
        </w:tc>
        <w:tc>
          <w:tcPr>
            <w:tcW w:w="5733" w:type="dxa"/>
          </w:tcPr>
          <w:p w:rsidR="00C50F30" w:rsidRDefault="00C50F30" w:rsidP="00C50F30">
            <w:pPr>
              <w:pStyle w:val="LTAnfrageText"/>
            </w:pPr>
          </w:p>
        </w:tc>
      </w:tr>
    </w:tbl>
    <w:p w:rsidR="007E0861" w:rsidRDefault="007E0861" w:rsidP="007E0861">
      <w:pPr>
        <w:pStyle w:val="LTUeberschrAntwortRessort"/>
      </w:pPr>
      <w:r>
        <w:t>Antwort des Staatsministeriums für Wohnen, Bau und Verkehr</w:t>
      </w:r>
    </w:p>
    <w:p w:rsidR="007E0861" w:rsidRDefault="007E0861" w:rsidP="00153FFA">
      <w:pPr>
        <w:pStyle w:val="LTAntwortRessortText"/>
      </w:pPr>
      <w:r>
        <w:t>Einen verbindlichen Richtwert für eine Minde</w:t>
      </w:r>
      <w:r w:rsidR="0070116F">
        <w:t>stgröße gibt es nicht. Erforder</w:t>
      </w:r>
      <w:r>
        <w:t>lich für die Ausweisung</w:t>
      </w:r>
      <w:r w:rsidR="00FA46A8">
        <w:t xml:space="preserve"> von Konzentrationsflächen ist –</w:t>
      </w:r>
      <w:r>
        <w:t xml:space="preserve"> so die ober- und höchst-gerichtliche Rechtsprechun</w:t>
      </w:r>
      <w:r w:rsidR="00FA46A8">
        <w:t>g –</w:t>
      </w:r>
      <w:r>
        <w:t>, dass der privileg</w:t>
      </w:r>
      <w:r w:rsidR="0070116F">
        <w:t>ierten Nutzung ein gesamträumli</w:t>
      </w:r>
      <w:r>
        <w:t>ches Planungskonzept und eine ausreichende Darstellung von Positivflächen zu Grunde liegen (BVerwGE 118, 33). Die Gemeinde ist daran gehindert, eine allein auf die Verhinderung bestimmter Nutzungen gerichtete Planung zu betreiben. Wo die Grenze zur unzulässigen Verhinderungsplanung verläuft, lässt sich jedoch nicht abstrakt bestimmen (BVerwGE 117, 287).</w:t>
      </w:r>
    </w:p>
    <w:p w:rsidR="007E0861" w:rsidRDefault="007E0861" w:rsidP="00153FFA">
      <w:pPr>
        <w:pStyle w:val="LTAntwortRessortText"/>
      </w:pPr>
      <w:r>
        <w:t>Grundstückseigentümer haben keinen Anspruch darauf, dass ihre Grundstücke von der Ausweisung der Konzentrationsfläche</w:t>
      </w:r>
      <w:r w:rsidR="0070116F">
        <w:t xml:space="preserve"> ausgeschlossen werden. Die Pla</w:t>
      </w:r>
      <w:r w:rsidR="00FA46A8">
        <w:t>nungshoheit obliegt –</w:t>
      </w:r>
      <w:r>
        <w:t xml:space="preserve"> i</w:t>
      </w:r>
      <w:r w:rsidR="00FA46A8">
        <w:t>m Rahmen der geltenden Gesetze –</w:t>
      </w:r>
      <w:r>
        <w:t xml:space="preserve"> den Gemeinden. Bei der Ausweisung von Konzentrationsflächen steht den Eigentümern innerhalb der frühzeitigen und förmlichen Öffentlichkeitsbeteiligung jedoch die Möglichkeit offen, Einwendungen gegen die Planung vorzubringen (§ 3 Abs. 1 und 2 </w:t>
      </w:r>
      <w:r w:rsidR="00FA46A8">
        <w:t xml:space="preserve">Baugesetzbuch – </w:t>
      </w:r>
      <w:r>
        <w:t>BauGB).</w:t>
      </w:r>
    </w:p>
    <w:p w:rsidR="007E0861" w:rsidRDefault="007E0861" w:rsidP="00153FFA">
      <w:pPr>
        <w:pStyle w:val="LTAntwortRessortText"/>
      </w:pPr>
      <w:r>
        <w:t xml:space="preserve">Liegen entsprechende Ausweisungen von Konzentrationsflächen vor, hat dies zur Folge, dass die privilegierten Vorhaben an anderen als den vorgesehenen Standorten nicht zulässig sind. Die Rechtsfolge gilt nach § 35 Abs. 3 Satz 3 BauGB </w:t>
      </w:r>
      <w:r w:rsidR="00102307">
        <w:t>„</w:t>
      </w:r>
      <w:r>
        <w:t>in der Regel</w:t>
      </w:r>
      <w:r w:rsidR="00102307">
        <w:t>“</w:t>
      </w:r>
      <w:r>
        <w:t>, das heißt sie gilt nicht i</w:t>
      </w:r>
      <w:r w:rsidR="0070116F">
        <w:t>n Sonderfällen. In Betracht kom</w:t>
      </w:r>
      <w:r>
        <w:t>men Einzelfälle, die nicht Zielrichtung des Planvorbehalts sind oder sein sollten (BVerwGE 117, 287).</w:t>
      </w:r>
    </w:p>
    <w:p w:rsidR="007E0861" w:rsidRDefault="007E0861">
      <w:bookmarkStart w:id="17" w:name="Frage_Nr_8_Ende"/>
      <w:bookmarkEnd w:id="17"/>
      <w:r>
        <w:br w:type="page"/>
      </w:r>
    </w:p>
    <w:p w:rsidR="007E0861" w:rsidRDefault="007E0861" w:rsidP="007E0861">
      <w:pPr>
        <w:pStyle w:val="LTUeberschrRessort"/>
      </w:pPr>
      <w:r>
        <w:lastRenderedPageBreak/>
        <w:t>Geschäftsbereich des Staatsministeriums der Justiz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50F30" w:rsidTr="00C50F30">
        <w:tc>
          <w:tcPr>
            <w:tcW w:w="1883" w:type="dxa"/>
          </w:tcPr>
          <w:p w:rsidR="00C50F30" w:rsidRDefault="00C50F30" w:rsidP="00C50F30">
            <w:pPr>
              <w:pStyle w:val="LTAnfrageInitiator"/>
            </w:pPr>
            <w:r>
              <w:t>Abgeordnete</w:t>
            </w:r>
            <w:r>
              <w:rPr>
                <w:b/>
              </w:rPr>
              <w:br/>
              <w:t>Eva</w:t>
            </w:r>
            <w:r>
              <w:rPr>
                <w:b/>
              </w:rPr>
              <w:br/>
              <w:t>Lettenbauer</w:t>
            </w:r>
            <w:r>
              <w:rPr>
                <w:b/>
              </w:rPr>
              <w:br/>
            </w:r>
            <w:r>
              <w:t>(BÜNDNIS 90/DIE GRÜNEN)</w:t>
            </w:r>
            <w:bookmarkStart w:id="18" w:name="Frage_Nr_9"/>
            <w:bookmarkEnd w:id="18"/>
          </w:p>
        </w:tc>
        <w:tc>
          <w:tcPr>
            <w:tcW w:w="5733" w:type="dxa"/>
          </w:tcPr>
          <w:p w:rsidR="00C50F30" w:rsidRPr="003E61AF" w:rsidRDefault="00C50F30" w:rsidP="003E61AF">
            <w:pPr>
              <w:pStyle w:val="LTAnfrageText"/>
            </w:pPr>
            <w:r w:rsidRPr="003E61AF">
              <w:t>Im Hinblick auf den Bestechungsskandal um MdB Georg Nüßlein frage ich die Staatsregierung, wann Staatsminister für Justiz Georg Eisenreich über das Ermittlungsverfahren der Generalstaatsanwaltschaft München</w:t>
            </w:r>
            <w:r w:rsidR="00FA46A8">
              <w:t xml:space="preserve"> gegen MdB Georg Nüßlein (CSU) </w:t>
            </w:r>
            <w:r w:rsidRPr="003E61AF">
              <w:t xml:space="preserve">erstmals informiert wurde, wann Staatsminister des Innern, für Sport und Integration Joachim Herrmann über das Ermittlungsverfahren der Generalstaatsanwaltschaft München gegen Georg Nüßlein MdB erstmals informiert wurde und wann Ministerpräsident Dr. Markus Söder über das Ermittlungsverfahren gegen Georg Nüßlein erstmals informiert wurde? </w:t>
            </w:r>
          </w:p>
        </w:tc>
        <w:tc>
          <w:tcPr>
            <w:tcW w:w="5733" w:type="dxa"/>
          </w:tcPr>
          <w:p w:rsidR="00C50F30" w:rsidRDefault="00C50F30" w:rsidP="00C50F30">
            <w:pPr>
              <w:pStyle w:val="LTAnfrageText"/>
            </w:pPr>
          </w:p>
        </w:tc>
      </w:tr>
    </w:tbl>
    <w:p w:rsidR="007E0861" w:rsidRDefault="007E0861" w:rsidP="007E0861">
      <w:pPr>
        <w:pStyle w:val="LTUeberschrAntwortRessort"/>
      </w:pPr>
      <w:r>
        <w:t>Antwort des Staatsministeriums der Justiz</w:t>
      </w:r>
    </w:p>
    <w:p w:rsidR="007E0861" w:rsidRDefault="007E0861" w:rsidP="007E0861">
      <w:pPr>
        <w:pStyle w:val="LTAntwortRessortText"/>
      </w:pPr>
      <w:r>
        <w:t>Herr Staatsminister Georg Eisenreich wurde am 8. Februar 2021 über die erfolgte Einleitung des genannten Ermittlungsverfahrens informiert.</w:t>
      </w:r>
    </w:p>
    <w:p w:rsidR="007E0861" w:rsidRDefault="007E0861" w:rsidP="007E0861">
      <w:pPr>
        <w:pStyle w:val="LTAntwortRessortText"/>
      </w:pPr>
      <w:r>
        <w:t>Nach Auskunft des Staatsministeriums des Innern, für Sport und Integration wurde Herr Staatsminister Joachim Herrmann am 2</w:t>
      </w:r>
      <w:r w:rsidR="0070116F">
        <w:t>5. Februar 2021 über das Ermitt</w:t>
      </w:r>
      <w:r>
        <w:t>lungsverfahren informiert.</w:t>
      </w:r>
    </w:p>
    <w:p w:rsidR="007E0861" w:rsidRDefault="007E0861" w:rsidP="007E0861">
      <w:pPr>
        <w:pStyle w:val="LTAntwortRessortText"/>
      </w:pPr>
      <w:r>
        <w:t>Die Staatskanzlei teilte mit, dass dort entsprech</w:t>
      </w:r>
      <w:r w:rsidR="0070116F">
        <w:t>ende Berichte erstmals aus Pres</w:t>
      </w:r>
      <w:r>
        <w:t>semeldungen vom 25. und 26. Februar 2021 bekannt wurden</w:t>
      </w:r>
      <w:r w:rsidR="00D01638">
        <w:t>.</w:t>
      </w:r>
    </w:p>
    <w:p w:rsidR="007E0861" w:rsidRDefault="007E0861">
      <w:bookmarkStart w:id="19" w:name="Frage_Nr_9_Ende"/>
      <w:bookmarkEnd w:id="19"/>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50F30" w:rsidTr="00C50F30">
        <w:tc>
          <w:tcPr>
            <w:tcW w:w="1883" w:type="dxa"/>
          </w:tcPr>
          <w:p w:rsidR="00C50F30" w:rsidRDefault="00C50F30" w:rsidP="00C50F30">
            <w:pPr>
              <w:pStyle w:val="LTAnfrageInitiator"/>
            </w:pPr>
            <w:r>
              <w:lastRenderedPageBreak/>
              <w:t>Abgeordneter</w:t>
            </w:r>
            <w:r>
              <w:rPr>
                <w:b/>
              </w:rPr>
              <w:br/>
              <w:t>Toni</w:t>
            </w:r>
            <w:r>
              <w:rPr>
                <w:b/>
              </w:rPr>
              <w:br/>
              <w:t>Schuberl</w:t>
            </w:r>
            <w:r>
              <w:rPr>
                <w:b/>
              </w:rPr>
              <w:br/>
            </w:r>
            <w:r>
              <w:t>(BÜNDNIS 90/DIE GRÜNEN)</w:t>
            </w:r>
            <w:bookmarkStart w:id="20" w:name="Frage_Nr_10"/>
            <w:bookmarkEnd w:id="20"/>
          </w:p>
        </w:tc>
        <w:tc>
          <w:tcPr>
            <w:tcW w:w="5733" w:type="dxa"/>
          </w:tcPr>
          <w:p w:rsidR="00C50F30" w:rsidRPr="003E61AF" w:rsidRDefault="00C50F30" w:rsidP="007B31D4">
            <w:pPr>
              <w:pStyle w:val="LTAnfrageText"/>
            </w:pPr>
            <w:r w:rsidRPr="003E61AF">
              <w:t>Im Hinb</w:t>
            </w:r>
            <w:r w:rsidR="007B31D4">
              <w:t>lick auf den Bestechungsskandal</w:t>
            </w:r>
            <w:r w:rsidRPr="003E61AF">
              <w:t xml:space="preserve"> gegen MdB Georg Nüßlein frage ich die Staatsregierung, ob das von der Generalstaatsanwaltschaft München geführte Ermittlungsverfahren als Berichtssache geführt wird , wenn ja, wann (bitte genaue Daten) dem Staatsministerium für Justiz durch die Generalstaatsanwaltschaft jeweils berichtet wurde u</w:t>
            </w:r>
            <w:r w:rsidR="005A5E63">
              <w:t xml:space="preserve">nd welchen Inhalt die Berichte </w:t>
            </w:r>
            <w:r w:rsidR="00153FFA">
              <w:t>hatten?</w:t>
            </w:r>
          </w:p>
        </w:tc>
        <w:tc>
          <w:tcPr>
            <w:tcW w:w="5733" w:type="dxa"/>
          </w:tcPr>
          <w:p w:rsidR="00C50F30" w:rsidRDefault="00C50F30" w:rsidP="00C50F30">
            <w:pPr>
              <w:pStyle w:val="LTAnfrageText"/>
            </w:pPr>
          </w:p>
        </w:tc>
      </w:tr>
    </w:tbl>
    <w:p w:rsidR="007E0861" w:rsidRDefault="007E0861" w:rsidP="007E0861">
      <w:pPr>
        <w:pStyle w:val="LTUeberschrAntwortRessort"/>
      </w:pPr>
      <w:r>
        <w:t>Antwort des Staatsministeriums der Justiz</w:t>
      </w:r>
    </w:p>
    <w:p w:rsidR="007E0861" w:rsidRDefault="007E0861" w:rsidP="007E0861">
      <w:pPr>
        <w:pStyle w:val="LTAntwortRessortText"/>
      </w:pPr>
      <w:r>
        <w:t>Die Generalstaatsanwaltschaft München bericht</w:t>
      </w:r>
      <w:r w:rsidR="0070116F">
        <w:t>et zu dem genannten Ermittlungs</w:t>
      </w:r>
      <w:r>
        <w:t>verfahren auf Grundlage vo</w:t>
      </w:r>
      <w:r w:rsidR="0070116F">
        <w:t>n Nr. 1 der Bekanntmachung des Staats</w:t>
      </w:r>
      <w:r>
        <w:t xml:space="preserve">ministeriums der Justiz </w:t>
      </w:r>
      <w:r w:rsidR="005A5E63">
        <w:t xml:space="preserve">(StMJ) </w:t>
      </w:r>
      <w:r>
        <w:t xml:space="preserve">über die Berichtspflichten in Strafsachen vom 7. Dezember 2005 (BeStra, JMBl. 2006 S. 2) und Nr. 5.3 der Bekanntmachung des </w:t>
      </w:r>
      <w:r w:rsidR="005A5E63">
        <w:t>StMJ</w:t>
      </w:r>
      <w:r>
        <w:t xml:space="preserve"> über die Immunität</w:t>
      </w:r>
      <w:r w:rsidR="0070116F">
        <w:t xml:space="preserve"> der Mitglieder der gesetzgeben</w:t>
      </w:r>
      <w:r>
        <w:t>den Körperschaften vom 27. Dezember 2019 (Immunitätsbekanntmachung, BayMBl. 2020, Nr. 34)</w:t>
      </w:r>
    </w:p>
    <w:p w:rsidR="007E0861" w:rsidRDefault="007E0861" w:rsidP="007E0861">
      <w:pPr>
        <w:pStyle w:val="LTAntwortRessortText"/>
      </w:pPr>
      <w:r>
        <w:t>Mit Schreiben vom 4. Februar, 12. Februar und 17. Februar 2021 ersuchte die</w:t>
      </w:r>
      <w:r w:rsidR="005D2E4E">
        <w:t xml:space="preserve"> </w:t>
      </w:r>
      <w:r>
        <w:t>Generalstaatsanwaltschaft München um Weiterleitung von Schreiben an den</w:t>
      </w:r>
      <w:r w:rsidR="005D2E4E">
        <w:t xml:space="preserve"> </w:t>
      </w:r>
      <w:r>
        <w:t xml:space="preserve">Präsidenten des Deutschen Bundestages auf dem nach Nr. 192 Abs. 3 </w:t>
      </w:r>
      <w:r w:rsidR="005A5E63">
        <w:t>Richtlinien für das Straf- und das Bußgeldverfahren (</w:t>
      </w:r>
      <w:r>
        <w:t>RiStBV</w:t>
      </w:r>
      <w:r w:rsidR="005A5E63">
        <w:t>)</w:t>
      </w:r>
      <w:r>
        <w:t xml:space="preserve"> vorgesehenen Dienstweg in Immunitätsangelegenheiten. Weitere Schreiben vom 11. Januar, 22. Januar, 5. März und 12. März 2021 enthielten zusätz</w:t>
      </w:r>
      <w:r w:rsidR="0070116F">
        <w:t>liche Informa</w:t>
      </w:r>
      <w:r>
        <w:t>tionen zum Sachverhalt und zum Gang des Verfahrens.</w:t>
      </w:r>
    </w:p>
    <w:p w:rsidR="007E0861" w:rsidRDefault="007E0861" w:rsidP="007E0861">
      <w:pPr>
        <w:pStyle w:val="LTAntwortRessortText"/>
      </w:pPr>
      <w:r>
        <w:t>Aufgrund der laufenden Ermittlungen können weitere Informationen zum Inhalt der Schreiben nicht erteilt werden, um den Untersuchungszweck nicht zu gefährden.</w:t>
      </w:r>
    </w:p>
    <w:p w:rsidR="007E0861" w:rsidRDefault="007E0861">
      <w:bookmarkStart w:id="21" w:name="Frage_Nr_10_Ende"/>
      <w:bookmarkEnd w:id="21"/>
      <w:r>
        <w:br w:type="page"/>
      </w:r>
    </w:p>
    <w:tbl>
      <w:tblPr>
        <w:tblStyle w:val="Tabellenraster"/>
        <w:tblW w:w="133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tblGrid>
      <w:tr w:rsidR="00C50F30" w:rsidTr="00C50F30">
        <w:tc>
          <w:tcPr>
            <w:tcW w:w="1894" w:type="dxa"/>
          </w:tcPr>
          <w:p w:rsidR="00C50F30" w:rsidRDefault="00C50F30" w:rsidP="00C50F30">
            <w:pPr>
              <w:pStyle w:val="LTAnfrageInitiator"/>
            </w:pPr>
            <w:r>
              <w:lastRenderedPageBreak/>
              <w:t>Abgeordnete</w:t>
            </w:r>
            <w:r>
              <w:rPr>
                <w:b/>
              </w:rPr>
              <w:br/>
              <w:t>Katharina</w:t>
            </w:r>
            <w:r>
              <w:rPr>
                <w:b/>
              </w:rPr>
              <w:br/>
              <w:t>Schulze</w:t>
            </w:r>
            <w:r>
              <w:rPr>
                <w:b/>
              </w:rPr>
              <w:br/>
            </w:r>
            <w:r>
              <w:t>(BÜNDNIS 90/DIE GRÜNEN)</w:t>
            </w:r>
            <w:bookmarkStart w:id="22" w:name="Frage_Nr_11"/>
            <w:bookmarkEnd w:id="22"/>
          </w:p>
        </w:tc>
        <w:tc>
          <w:tcPr>
            <w:tcW w:w="5722" w:type="dxa"/>
          </w:tcPr>
          <w:p w:rsidR="00C50F30" w:rsidRPr="003E61AF" w:rsidRDefault="00C50F30" w:rsidP="003E61AF">
            <w:pPr>
              <w:pStyle w:val="LTAnfrageText"/>
            </w:pPr>
            <w:r w:rsidRPr="003E61AF">
              <w:t>Im Hinblick auf das Ermittlungsverfahren der Generalstaatsanwaltschaft München gegen MdB Georg Nüßlein frage ich die Staatsregierung, welche Erkenntnisse sie zum Sachverhalt hat, welche Erkenntnisse sie insbesondere über die erhobenen Strafvorwürfe gegen MdB Nüßlein und weitere Beschuldigte hat (bitte unter genauer Nennung der Straftatbestände) und welche Orte in Bayern im Zusammenhang mit diesem Ermittlungsverfahren durch die Generalstaatsanwa</w:t>
            </w:r>
            <w:r w:rsidR="00153FFA">
              <w:t>ltschaft durchsucht worden sind</w:t>
            </w:r>
            <w:r w:rsidRPr="003E61AF">
              <w:t>?</w:t>
            </w:r>
          </w:p>
        </w:tc>
        <w:tc>
          <w:tcPr>
            <w:tcW w:w="5722" w:type="dxa"/>
          </w:tcPr>
          <w:p w:rsidR="00C50F30" w:rsidRDefault="00C50F30" w:rsidP="00C50F30">
            <w:pPr>
              <w:pStyle w:val="LTAnfrageText"/>
            </w:pPr>
          </w:p>
        </w:tc>
      </w:tr>
    </w:tbl>
    <w:p w:rsidR="007E0861" w:rsidRDefault="007E0861" w:rsidP="007E0861">
      <w:pPr>
        <w:pStyle w:val="LTUeberschrAntwortRessort"/>
      </w:pPr>
      <w:r>
        <w:t>Antwort des Staatsministeriums der Justiz</w:t>
      </w:r>
    </w:p>
    <w:p w:rsidR="007E0861" w:rsidRDefault="007E0861" w:rsidP="007E0861">
      <w:pPr>
        <w:pStyle w:val="LTAntwortRessortText"/>
      </w:pPr>
      <w:r>
        <w:t>Die Generalstaatsanwaltschaft München führt ei</w:t>
      </w:r>
      <w:r w:rsidR="0070116F">
        <w:t>n Ermittlungsverfahren unter an</w:t>
      </w:r>
      <w:r>
        <w:t xml:space="preserve">derem wegen des Anfangsverdachts der Bestechlichkeit und Bestechung von Mandatsträgern nach § 108e </w:t>
      </w:r>
      <w:r w:rsidR="00C63211">
        <w:t>Strafgesetzbuch (</w:t>
      </w:r>
      <w:r>
        <w:t>StGB</w:t>
      </w:r>
      <w:r w:rsidR="00C63211">
        <w:t>)</w:t>
      </w:r>
      <w:r>
        <w:t xml:space="preserve"> gegen mehrere Beschuldigte im Zusamm</w:t>
      </w:r>
      <w:r w:rsidR="0070116F">
        <w:t>en</w:t>
      </w:r>
      <w:r>
        <w:t>hang mit dem Ankauf von Corona-Atemschutz</w:t>
      </w:r>
      <w:r w:rsidR="0070116F">
        <w:t>masken. Im Rahmen dieses Ermitt</w:t>
      </w:r>
      <w:r>
        <w:t>lungsverfahrens wurden mehrere Objekte in Deutschland und in Liechtenstein durchsucht und Beweismittel sichergestellt, die aktuell ausgewertet werden.</w:t>
      </w:r>
    </w:p>
    <w:p w:rsidR="007E0861" w:rsidRDefault="007E0861" w:rsidP="007E0861">
      <w:pPr>
        <w:pStyle w:val="LTAntwortRessortText"/>
      </w:pPr>
      <w:r>
        <w:t>Aufgrund der laufenden Ermittlungen können weitere Informationen hierzu nicht erteilt werden, um den Untersuchungszweck nicht zu gefährden.</w:t>
      </w:r>
    </w:p>
    <w:p w:rsidR="007E0861" w:rsidRDefault="007E0861">
      <w:bookmarkStart w:id="23" w:name="Frage_Nr_11_Ende"/>
      <w:bookmarkEnd w:id="23"/>
      <w:r>
        <w:br w:type="page"/>
      </w:r>
    </w:p>
    <w:p w:rsidR="007E0861" w:rsidRDefault="007E0861" w:rsidP="007E0861">
      <w:pPr>
        <w:pStyle w:val="LTUeberschrRessort"/>
      </w:pPr>
      <w:r>
        <w:lastRenderedPageBreak/>
        <w:t>Geschäftsbereich des Staatsministeriums für Unterricht und Kultus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50F30" w:rsidTr="00C50F30">
        <w:tc>
          <w:tcPr>
            <w:tcW w:w="1883" w:type="dxa"/>
          </w:tcPr>
          <w:p w:rsidR="00C50F30" w:rsidRDefault="00C50F30" w:rsidP="00C50F30">
            <w:pPr>
              <w:pStyle w:val="LTAnfrageInitiator"/>
            </w:pPr>
            <w:r>
              <w:t>Abgeordneter</w:t>
            </w:r>
            <w:r>
              <w:rPr>
                <w:b/>
              </w:rPr>
              <w:br/>
              <w:t>Maximilian</w:t>
            </w:r>
            <w:r>
              <w:rPr>
                <w:b/>
              </w:rPr>
              <w:br/>
              <w:t>Deisenhofer</w:t>
            </w:r>
            <w:r>
              <w:rPr>
                <w:b/>
              </w:rPr>
              <w:br/>
            </w:r>
            <w:r>
              <w:t>(BÜNDNIS 90/DIE GRÜNEN)</w:t>
            </w:r>
            <w:bookmarkStart w:id="24" w:name="Frage_Nr_12"/>
            <w:bookmarkEnd w:id="24"/>
          </w:p>
        </w:tc>
        <w:tc>
          <w:tcPr>
            <w:tcW w:w="5733" w:type="dxa"/>
          </w:tcPr>
          <w:p w:rsidR="00C50F30" w:rsidRPr="003E61AF" w:rsidRDefault="00C50F30" w:rsidP="0070116F">
            <w:pPr>
              <w:pStyle w:val="LTAnfrageText"/>
            </w:pPr>
            <w:r w:rsidRPr="003E61AF">
              <w:t>Die Schulfamilie betrachtet die Schulöffnungen angesichts der steigenden Inzidenzzahlen mit wachsender Sorge, daher frage ich die Staatsregierung, ob sie die Öffnung angesichts der größtenteils noch nicht vorhandenen Testkits für verantwortbar einschätzt, ob die Staatsregierung den kurzen Zeitraum über das Wochenende zwischen Versand des Kultusministeriellen Schreibens mit dem Rahmenhygieneplan von Freitagnachmittag, 12.03.2021 und bis Schulstart Montagmorgen, 15.03.2021, für angemessen hält, insbesondere in Anbetracht der absoluten Notwendigkeit der Umsetzung des Rahmenhygieneplans und wie die Staatsregierung Unterrichtsbesuche zur Dienstbeurteilung von Lehrkräften in der ersten Woche des Wechselunterrichts bewertet?</w:t>
            </w:r>
          </w:p>
        </w:tc>
        <w:tc>
          <w:tcPr>
            <w:tcW w:w="5733" w:type="dxa"/>
          </w:tcPr>
          <w:p w:rsidR="00C50F30" w:rsidRDefault="00C50F30" w:rsidP="00C50F30">
            <w:pPr>
              <w:pStyle w:val="LTAnfrageText"/>
            </w:pPr>
          </w:p>
        </w:tc>
      </w:tr>
    </w:tbl>
    <w:p w:rsidR="007E0861" w:rsidRDefault="007E0861" w:rsidP="007E0861">
      <w:pPr>
        <w:pStyle w:val="LTUeberschrAntwortRessort"/>
      </w:pPr>
      <w:r>
        <w:t>Antwort des Staatsministeriums für Unterricht und Kultus</w:t>
      </w:r>
    </w:p>
    <w:p w:rsidR="007E0861" w:rsidRDefault="007E0861" w:rsidP="007E0861">
      <w:pPr>
        <w:pStyle w:val="LTAntwortRessortText"/>
      </w:pPr>
      <w:r>
        <w:t>Das Recht auf Bildung von Kindern kann am besten im Präsenzunterricht in der</w:t>
      </w:r>
      <w:r w:rsidR="001817B9">
        <w:t xml:space="preserve"> </w:t>
      </w:r>
      <w:r>
        <w:t>Schule verwirklicht werden. Schulen sind auch als Orte des sozialen Miteinanders</w:t>
      </w:r>
      <w:r w:rsidR="001817B9">
        <w:t xml:space="preserve"> </w:t>
      </w:r>
      <w:r>
        <w:t>von entscheidender Bedeutung für die Entwicklung von Kindern und Jugendlichen,</w:t>
      </w:r>
      <w:r w:rsidR="001817B9">
        <w:t xml:space="preserve"> </w:t>
      </w:r>
      <w:r>
        <w:t xml:space="preserve">sodass seit Beginn der </w:t>
      </w:r>
      <w:r w:rsidR="00B832D1">
        <w:t>Coronapandemie</w:t>
      </w:r>
      <w:r>
        <w:t xml:space="preserve"> seitens der Staatsregierung immer wieder</w:t>
      </w:r>
      <w:r w:rsidR="001817B9">
        <w:t xml:space="preserve"> </w:t>
      </w:r>
      <w:r>
        <w:t>abzuwägen war und ist, mit welchen Maßgaben Präsenzunterricht in der Schule</w:t>
      </w:r>
      <w:r w:rsidR="001817B9">
        <w:t xml:space="preserve"> </w:t>
      </w:r>
      <w:r>
        <w:t>stattfinden kann. Der bestmögliche Gesundheitsschutz aller am Schulbetrieb beteiligten</w:t>
      </w:r>
      <w:r w:rsidR="001817B9">
        <w:t xml:space="preserve"> </w:t>
      </w:r>
      <w:r>
        <w:t>Personen besitzt in diesem Abwägungsprozess oberste Priorität. Gleichzeitig ist</w:t>
      </w:r>
      <w:r w:rsidR="001817B9">
        <w:t xml:space="preserve"> </w:t>
      </w:r>
      <w:r>
        <w:t>es auch Anspruch des Bayerischen Staatsministeriums für Unterricht und Kultus</w:t>
      </w:r>
      <w:r w:rsidR="001817B9">
        <w:t xml:space="preserve"> </w:t>
      </w:r>
      <w:r>
        <w:t>(StMUK), allen Schülerinnen und Schülern so viel Präsenzunterricht anzubieten, wie</w:t>
      </w:r>
      <w:r w:rsidR="001817B9">
        <w:t xml:space="preserve"> </w:t>
      </w:r>
      <w:r>
        <w:t>es das vorherrschende Infektionsgeschehen zulässt. Dabei ist nach dem Grundsatz</w:t>
      </w:r>
      <w:r w:rsidR="001817B9">
        <w:t xml:space="preserve"> </w:t>
      </w:r>
      <w:r>
        <w:t>der Verhältnismäßigkeit auf die Entwicklungen der Infektionslage zielgerichtet und effektiv</w:t>
      </w:r>
      <w:r w:rsidR="001817B9">
        <w:t xml:space="preserve"> </w:t>
      </w:r>
      <w:r>
        <w:t>zu reagieren und die getroffenen Maßnahmen sind laufend an das dynamische</w:t>
      </w:r>
      <w:r w:rsidR="001817B9">
        <w:t xml:space="preserve"> </w:t>
      </w:r>
      <w:r>
        <w:t>Infektionsgeschehen anzupassen.</w:t>
      </w:r>
    </w:p>
    <w:p w:rsidR="007E0861" w:rsidRDefault="007E0861" w:rsidP="007E0861">
      <w:pPr>
        <w:pStyle w:val="LTAntwortRessortText"/>
      </w:pPr>
      <w:r>
        <w:t>Vor diesem Hintergrund ist die Ausweitung des Präsenzunterrichts zum 15.03.2021</w:t>
      </w:r>
      <w:r w:rsidR="001817B9">
        <w:t xml:space="preserve"> </w:t>
      </w:r>
      <w:r>
        <w:t>auf alle Jahrgangsstufen an allen Schularten unter strengen Auflagen zum Infektionsschutz</w:t>
      </w:r>
      <w:r w:rsidR="001817B9">
        <w:t xml:space="preserve"> </w:t>
      </w:r>
      <w:r>
        <w:t>erfolgt. Bei den konkreten Öffnungsschritten wurde bzw. wird nicht nur nach</w:t>
      </w:r>
      <w:r w:rsidR="001817B9">
        <w:t xml:space="preserve"> </w:t>
      </w:r>
      <w:r>
        <w:t xml:space="preserve">Altersstufen, sondern auch nach dem konkreten Infektionsgeschehen </w:t>
      </w:r>
      <w:r w:rsidR="001817B9">
        <w:t>–</w:t>
      </w:r>
      <w:r>
        <w:t xml:space="preserve"> gemessen</w:t>
      </w:r>
      <w:r w:rsidR="001817B9">
        <w:t xml:space="preserve"> </w:t>
      </w:r>
      <w:r w:rsidR="00153FFA">
        <w:t>an der 7</w:t>
      </w:r>
      <w:r w:rsidR="00C63211">
        <w:t>-Tage-Inzidenz –</w:t>
      </w:r>
      <w:r>
        <w:t xml:space="preserve"> im jeweiligen Landkreis bzw. in der jeweiligen kreisfreien</w:t>
      </w:r>
      <w:r w:rsidR="001817B9">
        <w:t xml:space="preserve"> </w:t>
      </w:r>
      <w:r>
        <w:t>Stadt differenziert. So findet beispielsweise an den weiterführenden Schulen</w:t>
      </w:r>
      <w:r w:rsidR="001817B9">
        <w:t xml:space="preserve"> </w:t>
      </w:r>
      <w:r>
        <w:t xml:space="preserve">bis zu einer </w:t>
      </w:r>
      <w:r w:rsidR="00C63211">
        <w:t>7</w:t>
      </w:r>
      <w:r>
        <w:t>-Tage-Inzidenz von 100 Wechsel- bzw. Präsenzunterricht mit Mindestabstand,</w:t>
      </w:r>
      <w:r w:rsidR="001817B9">
        <w:t xml:space="preserve"> </w:t>
      </w:r>
      <w:r>
        <w:t xml:space="preserve">bei einer </w:t>
      </w:r>
      <w:r w:rsidR="00C63211">
        <w:t>7</w:t>
      </w:r>
      <w:r>
        <w:t>-Tage-Inzidenz von über 100 Distanzunterricht (ggf. mit</w:t>
      </w:r>
      <w:r w:rsidR="001817B9">
        <w:t xml:space="preserve"> </w:t>
      </w:r>
      <w:r>
        <w:t>Ausnahme der Abschlussklassen) statt.</w:t>
      </w:r>
    </w:p>
    <w:p w:rsidR="007E0861" w:rsidRDefault="007E0861" w:rsidP="007E0861">
      <w:pPr>
        <w:pStyle w:val="LTAntwortRessortText"/>
      </w:pPr>
      <w:r>
        <w:t>Darüber hinaus hat das StMUK auch für das Schuljahr 2020/2021 in enger Abstimmung</w:t>
      </w:r>
      <w:r w:rsidR="001817B9">
        <w:t xml:space="preserve"> </w:t>
      </w:r>
      <w:r>
        <w:t>mit dem Staatsministerium für Gesundheit und Pflege (StMGP),</w:t>
      </w:r>
      <w:r w:rsidR="001817B9">
        <w:t xml:space="preserve"> </w:t>
      </w:r>
      <w:r>
        <w:t>dem Landesamt für Gesundheit und Lebensmittelsicherheit (LGL) und einer Facharbeitsgruppe</w:t>
      </w:r>
      <w:r w:rsidR="001817B9">
        <w:t xml:space="preserve"> </w:t>
      </w:r>
      <w:r>
        <w:t>am LGL auf Grundlage der jeweils gültigen Bayerischen Infektionsschutzmaßnahmenverordnung</w:t>
      </w:r>
      <w:r w:rsidR="001817B9">
        <w:t xml:space="preserve"> </w:t>
      </w:r>
      <w:r w:rsidR="00C63211">
        <w:t>(BayIfSMV –</w:t>
      </w:r>
      <w:r>
        <w:t xml:space="preserve"> derzeit § 18 Abs. 1 Satz 2 der 12.</w:t>
      </w:r>
      <w:r w:rsidR="001817B9">
        <w:t xml:space="preserve"> </w:t>
      </w:r>
      <w:r>
        <w:t>BayIfSMV) einen Rahmenhygieneplan (aktuelle Version vom 12.03.2021 abrufbar</w:t>
      </w:r>
      <w:r w:rsidR="001817B9">
        <w:t xml:space="preserve"> </w:t>
      </w:r>
      <w:r>
        <w:t xml:space="preserve">unter </w:t>
      </w:r>
      <w:hyperlink r:id="rId15" w:history="1">
        <w:r w:rsidRPr="00C63211">
          <w:rPr>
            <w:rStyle w:val="LTHyperlinkZchn"/>
            <w:b w:val="0"/>
          </w:rPr>
          <w:t>https://www.km.bayern.de/allgemein/meldung/7061/neuer-rahmen-hygieneplan-fuer-schulen-liegt-vor.html</w:t>
        </w:r>
      </w:hyperlink>
      <w:r>
        <w:t>) ausgearbeitet, der unter Berücksichtigung aktueller</w:t>
      </w:r>
      <w:r w:rsidR="001817B9">
        <w:t xml:space="preserve"> </w:t>
      </w:r>
      <w:r>
        <w:t>wissenschaftlicher Erkenntnisse ein Bündel von Hygienemaßnahmen enthält, welches</w:t>
      </w:r>
      <w:r w:rsidR="001817B9">
        <w:t xml:space="preserve"> </w:t>
      </w:r>
      <w:r>
        <w:t>dem eingangs genannten bestmöglichen Gesundheitsschutz aller am Schulbetrieb</w:t>
      </w:r>
      <w:r w:rsidR="001817B9">
        <w:t xml:space="preserve"> </w:t>
      </w:r>
      <w:r>
        <w:t>beteiligten Personen dient. Das aufeinander abgestimmte Konzept verschiedener</w:t>
      </w:r>
      <w:r w:rsidR="001817B9">
        <w:t xml:space="preserve"> </w:t>
      </w:r>
      <w:r>
        <w:lastRenderedPageBreak/>
        <w:t>Einzelmaßnahmen im Rahmenhygieneplan trägt der Tatsache Rechnung, dass</w:t>
      </w:r>
      <w:r w:rsidR="001817B9">
        <w:t xml:space="preserve"> </w:t>
      </w:r>
      <w:r>
        <w:t>effektiver Infektionsschutz schwer mittels einzelner Maßnahmen, sondern nur durch</w:t>
      </w:r>
      <w:r w:rsidR="001817B9">
        <w:t xml:space="preserve"> </w:t>
      </w:r>
      <w:r>
        <w:t>das Zusammenspiel verschiedener Regularien und Maßnahmen erreicht werden</w:t>
      </w:r>
      <w:r w:rsidR="001817B9">
        <w:t xml:space="preserve"> </w:t>
      </w:r>
      <w:r>
        <w:t>kann.</w:t>
      </w:r>
    </w:p>
    <w:p w:rsidR="007E0861" w:rsidRDefault="007E0861" w:rsidP="007E0861">
      <w:pPr>
        <w:pStyle w:val="LTAntwortRessortText"/>
      </w:pPr>
      <w:r>
        <w:t>Das von der Staatsregierung am 11.02.2021 beschlossene Testkonzept für den Bildungsbereich</w:t>
      </w:r>
      <w:r w:rsidR="001817B9">
        <w:t xml:space="preserve"> </w:t>
      </w:r>
      <w:r>
        <w:t>ist ein weiterer Baustein für größtmöglichen Infektionsschutz im schulischen</w:t>
      </w:r>
      <w:r w:rsidR="001817B9">
        <w:t xml:space="preserve"> </w:t>
      </w:r>
      <w:r>
        <w:t>Präsenzbetrieb, nicht jedoch Voraussetzung für die getroffenen weiteren Öffnungsschritte</w:t>
      </w:r>
      <w:r w:rsidR="001817B9">
        <w:t xml:space="preserve"> </w:t>
      </w:r>
      <w:r>
        <w:t>zu einem Präsenzunterricht mit Mindestabstand bzw. Wechselunterricht.</w:t>
      </w:r>
      <w:r w:rsidR="001817B9">
        <w:t xml:space="preserve"> </w:t>
      </w:r>
      <w:r>
        <w:t>Die Schulen wurden seitens des StMUK am 02.03.2021 informiert, dass ab</w:t>
      </w:r>
      <w:r w:rsidR="001817B9">
        <w:t xml:space="preserve"> </w:t>
      </w:r>
      <w:r>
        <w:t>dem 04.03.2021 damit begonnen wird, Selbsttests an die Kreisverwaltungsbehörden</w:t>
      </w:r>
      <w:r w:rsidR="001817B9">
        <w:t xml:space="preserve"> </w:t>
      </w:r>
      <w:r>
        <w:t>zu liefern und diese die Verteilung der Selbsttests an die Schulen eigenverantwortlich</w:t>
      </w:r>
      <w:r w:rsidR="001817B9">
        <w:t xml:space="preserve"> </w:t>
      </w:r>
      <w:r>
        <w:t>organisieren. Es wurde mitgeteilt, dass die Selbsttests aufgrund der eingeschränkten</w:t>
      </w:r>
      <w:r w:rsidR="001817B9">
        <w:t xml:space="preserve"> </w:t>
      </w:r>
      <w:r>
        <w:t>Marktverfügbarkeit zunächst nur bestimmten Kreisen und dort nur den an den Schulen</w:t>
      </w:r>
      <w:r w:rsidR="001817B9">
        <w:t xml:space="preserve"> </w:t>
      </w:r>
      <w:r>
        <w:t>tätigen Personen und in den kommenden Wochen sukzessive auch den Schülerinnen</w:t>
      </w:r>
      <w:r w:rsidR="001817B9">
        <w:t xml:space="preserve"> </w:t>
      </w:r>
      <w:r>
        <w:t>und Schülern ab 15 Jahren zur Verfügung gestellt werden.</w:t>
      </w:r>
    </w:p>
    <w:p w:rsidR="007E0861" w:rsidRDefault="007E0861" w:rsidP="007E0861">
      <w:pPr>
        <w:pStyle w:val="LTAntwortRessortText"/>
      </w:pPr>
      <w:r>
        <w:t>Um die Einführungsphase der Selbsttests an den Schulen bestmöglich zu flankieren,</w:t>
      </w:r>
      <w:r w:rsidR="001817B9">
        <w:t xml:space="preserve"> </w:t>
      </w:r>
      <w:r>
        <w:t>wurden bis zu deren flächendeckender Verfügbarkeit die zum Schulstart eingeführten</w:t>
      </w:r>
      <w:r w:rsidR="001817B9">
        <w:t xml:space="preserve"> </w:t>
      </w:r>
      <w:r>
        <w:t>besonderen Testangebote für Reihentestungen an den lokalen Testzentren und</w:t>
      </w:r>
      <w:r w:rsidR="001817B9">
        <w:t xml:space="preserve"> </w:t>
      </w:r>
      <w:r>
        <w:t>durch Vertragsärztinnen und -ärzte, die bis 15.03.2021 befristet waren, bis zu den</w:t>
      </w:r>
      <w:r w:rsidR="001817B9">
        <w:t xml:space="preserve"> </w:t>
      </w:r>
      <w:r>
        <w:t>Osterferien verlängert.</w:t>
      </w:r>
    </w:p>
    <w:p w:rsidR="007E0861" w:rsidRDefault="007E0861" w:rsidP="007E0861">
      <w:pPr>
        <w:pStyle w:val="LTAntwortRessortText"/>
      </w:pPr>
      <w:r>
        <w:t>Der Rahmenhygieneplan Schulen vom 12.03.2021 beinhaltet weiterhin die bekannten</w:t>
      </w:r>
      <w:r w:rsidR="001817B9">
        <w:t xml:space="preserve"> </w:t>
      </w:r>
      <w:r>
        <w:t>und an den Schulen längst etablierten Einzelmaßnahmen zum Infektionsschutz.</w:t>
      </w:r>
      <w:r w:rsidR="001817B9">
        <w:t xml:space="preserve"> </w:t>
      </w:r>
      <w:r>
        <w:t>Wo angesichts neuer Entwicklungen eine Ergänzung des Rahmenhygieneplans</w:t>
      </w:r>
      <w:r w:rsidR="001817B9">
        <w:t xml:space="preserve"> </w:t>
      </w:r>
      <w:r>
        <w:t>Schulen notwendig wurde (wie etwa bei der Pflicht zum Tragen einer medizinischen</w:t>
      </w:r>
      <w:r w:rsidR="001817B9">
        <w:t xml:space="preserve"> </w:t>
      </w:r>
      <w:r w:rsidR="00C63211">
        <w:t>Gesichtsmaske – sog. OP-Maske –</w:t>
      </w:r>
      <w:r>
        <w:t xml:space="preserve"> für Lehrkräfte), betraf dies in aller Regel Punkte,</w:t>
      </w:r>
      <w:r w:rsidR="001817B9">
        <w:t xml:space="preserve"> </w:t>
      </w:r>
      <w:r>
        <w:t>welche schon vorab kommuniziert waren. Aktuell aufgenommen wurden die Ausführungen</w:t>
      </w:r>
      <w:r w:rsidR="001817B9">
        <w:t xml:space="preserve"> </w:t>
      </w:r>
      <w:r>
        <w:t>in Folge der Verfügbarkeit von Selbsttests in der Bekanntmachung des</w:t>
      </w:r>
      <w:r w:rsidR="001817B9">
        <w:t xml:space="preserve"> </w:t>
      </w:r>
      <w:r w:rsidR="00C63211">
        <w:t>StMGP –</w:t>
      </w:r>
      <w:r>
        <w:t xml:space="preserve"> Vollzug des Infektionsschutzgesetzes (IfSG) -, Quarantäne von Kontaktpersonen</w:t>
      </w:r>
      <w:r w:rsidR="001817B9">
        <w:t xml:space="preserve"> </w:t>
      </w:r>
      <w:r>
        <w:t>der Kategorie I und von Verdachtspersonen, Isolation von positiv auf das</w:t>
      </w:r>
      <w:r w:rsidR="001817B9">
        <w:t xml:space="preserve"> </w:t>
      </w:r>
      <w:r>
        <w:t>Coronavirus getesteten Personen (AV Isolation) in der Fassung der Änderungsbekanntmachung</w:t>
      </w:r>
      <w:r w:rsidR="001817B9">
        <w:t xml:space="preserve"> </w:t>
      </w:r>
      <w:r>
        <w:t>vom 09.03.2021 (BayMBl. Nr. 176; abrufbar unter</w:t>
      </w:r>
      <w:r w:rsidR="001817B9">
        <w:t xml:space="preserve"> </w:t>
      </w:r>
      <w:r w:rsidR="00C63211">
        <w:t>BayMBl. 2021 Nr. 176 –</w:t>
      </w:r>
      <w:r>
        <w:t xml:space="preserve"> Verkündungsplattform Bayern (verkuendung-bayern.de)) sowie</w:t>
      </w:r>
      <w:r w:rsidR="001817B9">
        <w:t xml:space="preserve"> </w:t>
      </w:r>
      <w:r>
        <w:t>die in enger Abstimmung mit den betroffenen Staatsministerien und dem LGL</w:t>
      </w:r>
      <w:r w:rsidR="001817B9">
        <w:t xml:space="preserve"> </w:t>
      </w:r>
      <w:r>
        <w:t>ausgearbeiteten Hinweise zum Umgang mit Personen mit Erkältungssymptomen.</w:t>
      </w:r>
    </w:p>
    <w:p w:rsidR="007E0861" w:rsidRDefault="007E0861" w:rsidP="007E0861">
      <w:pPr>
        <w:pStyle w:val="LTAntwortRessortText"/>
      </w:pPr>
      <w:r>
        <w:t>Die Schulen sowie die Erziehungsberechtigten wurden ferner über die wesentlichen</w:t>
      </w:r>
      <w:r w:rsidR="001817B9">
        <w:t xml:space="preserve"> </w:t>
      </w:r>
      <w:r>
        <w:t>Maßnahmen zur Organisation des Unterrichtsbetriebs ab dem 15.03.2021 frühzeitig</w:t>
      </w:r>
      <w:r w:rsidR="001817B9">
        <w:t xml:space="preserve"> </w:t>
      </w:r>
      <w:r w:rsidR="00C63211">
        <w:t>mittels K</w:t>
      </w:r>
      <w:r>
        <w:t>ultusministerieller Schreiben (KMS) vom 09.03.2021 informiert (vgl. das Informationsschreiben</w:t>
      </w:r>
      <w:r w:rsidR="001817B9">
        <w:t xml:space="preserve"> </w:t>
      </w:r>
      <w:r>
        <w:t xml:space="preserve">des Herrn Staatsministers vom 09.03.2021, Az. ZS.4-BS4363.0/624, an die Erziehungsberechtigten; abrufbar unter </w:t>
      </w:r>
      <w:hyperlink r:id="rId16" w:history="1">
        <w:r w:rsidRPr="00C63211">
          <w:rPr>
            <w:rStyle w:val="LTHyperlinkZchn"/>
            <w:b w:val="0"/>
          </w:rPr>
          <w:t>https://www.km.bayern.de/download/24663_M-an-Eltern_Unterrichtsbetrieb-ab-dem-15.-M</w:t>
        </w:r>
        <w:r w:rsidR="00102307" w:rsidRPr="00C63211">
          <w:rPr>
            <w:rStyle w:val="LTHyperlinkZchn"/>
            <w:b w:val="0"/>
          </w:rPr>
          <w:t>Prozent</w:t>
        </w:r>
        <w:r w:rsidRPr="00C63211">
          <w:rPr>
            <w:rStyle w:val="LTHyperlinkZchn"/>
            <w:b w:val="0"/>
          </w:rPr>
          <w:t>C3</w:t>
        </w:r>
        <w:r w:rsidR="00102307" w:rsidRPr="00C63211">
          <w:rPr>
            <w:rStyle w:val="LTHyperlinkZchn"/>
            <w:b w:val="0"/>
          </w:rPr>
          <w:t>Prozent</w:t>
        </w:r>
        <w:r w:rsidRPr="00C63211">
          <w:rPr>
            <w:rStyle w:val="LTHyperlinkZchn"/>
            <w:b w:val="0"/>
          </w:rPr>
          <w:t>A4rz-2021_a.pdf</w:t>
        </w:r>
      </w:hyperlink>
      <w:r>
        <w:t>).</w:t>
      </w:r>
    </w:p>
    <w:p w:rsidR="007E0861" w:rsidRDefault="007E0861" w:rsidP="007E0861">
      <w:pPr>
        <w:pStyle w:val="LTAntwortRessortText"/>
      </w:pPr>
      <w:r>
        <w:t>Dienstliche Beurteilungen haben zum Ersten die Aufgabe, der einzelnen Lehrkraft zu</w:t>
      </w:r>
      <w:r w:rsidR="001817B9">
        <w:t xml:space="preserve"> </w:t>
      </w:r>
      <w:r>
        <w:t>zeigen, welches Leistungs-, Befähigungs- und Eignungsbild die Vorgesetzten innerhalb</w:t>
      </w:r>
      <w:r w:rsidR="001817B9">
        <w:t xml:space="preserve"> </w:t>
      </w:r>
      <w:r>
        <w:t>des Beurteilungszeitraums von ihr gewonnen haben. Die dienstliche Beurteilung</w:t>
      </w:r>
      <w:r w:rsidR="001817B9">
        <w:t xml:space="preserve"> </w:t>
      </w:r>
      <w:r>
        <w:t>ist somit ein Instrument der Personalführung und der Qualitätssicherung des Unterrichts.</w:t>
      </w:r>
      <w:r w:rsidR="001817B9">
        <w:t xml:space="preserve"> </w:t>
      </w:r>
      <w:r>
        <w:t>Zum Zweiten soll durch die dienstlichen Beurteilungen regelmäßig ein vergleichender</w:t>
      </w:r>
      <w:r w:rsidR="001817B9">
        <w:t xml:space="preserve"> </w:t>
      </w:r>
      <w:r>
        <w:t>Überblick über das Leistungspotenzial der Lehrkräfte ermöglicht werden.</w:t>
      </w:r>
    </w:p>
    <w:p w:rsidR="007E0861" w:rsidRDefault="007E0861" w:rsidP="007E0861">
      <w:pPr>
        <w:pStyle w:val="LTAntwortRessortText"/>
      </w:pPr>
      <w:r>
        <w:t>Die dienstliche Beurteilung ist somit ein unentbehrliches Instrument der Personalplanung,</w:t>
      </w:r>
      <w:r w:rsidR="001817B9">
        <w:t xml:space="preserve"> </w:t>
      </w:r>
      <w:r>
        <w:t xml:space="preserve">das eine wesentliche Grundlage der Auswahlentscheidungen über die </w:t>
      </w:r>
      <w:r>
        <w:lastRenderedPageBreak/>
        <w:t>dienstliche</w:t>
      </w:r>
      <w:r w:rsidR="001817B9">
        <w:t xml:space="preserve"> </w:t>
      </w:r>
      <w:r>
        <w:t>Verwendung und das berufliche Fortkommen der Lehrkräfte unter Verwirklichung</w:t>
      </w:r>
      <w:r w:rsidR="001817B9">
        <w:t xml:space="preserve"> </w:t>
      </w:r>
      <w:r>
        <w:t>des im Grundgesetz und in der Bayerischen Verfassung niedergelegten Leistungsgrundsatzes</w:t>
      </w:r>
      <w:r w:rsidR="001817B9">
        <w:t xml:space="preserve"> </w:t>
      </w:r>
      <w:r>
        <w:t>darstellt. Die dienstliche Beurteilung ist zum Dritten eine maßgebliche</w:t>
      </w:r>
      <w:r w:rsidR="001817B9">
        <w:t xml:space="preserve"> </w:t>
      </w:r>
      <w:r>
        <w:t>Grundlage für Entscheidungen über Leistungsfeststellungen gemäß Art. 30 Abs. 3</w:t>
      </w:r>
      <w:r w:rsidR="001817B9">
        <w:t xml:space="preserve"> </w:t>
      </w:r>
      <w:r>
        <w:t>Sätze 1 und 3 und Art. 66 Abs. 2 des Bayerischen Besoldungsgesetzes (BayBesG).</w:t>
      </w:r>
    </w:p>
    <w:p w:rsidR="007E0861" w:rsidRDefault="007E0861" w:rsidP="007E0861">
      <w:pPr>
        <w:pStyle w:val="LTAntwortRessortText"/>
      </w:pPr>
      <w:r>
        <w:t>Beurteilen heißt, Beobachtetes unter bestimmten Gesichtspunkten zu bewerten. Ein</w:t>
      </w:r>
      <w:r w:rsidR="001817B9">
        <w:t xml:space="preserve"> </w:t>
      </w:r>
      <w:r>
        <w:t>fundiertes Urteil über eine Lehrkraft kann nur aufgrund mehrfacher, sich über den gesamten</w:t>
      </w:r>
      <w:r w:rsidR="001817B9">
        <w:t xml:space="preserve"> </w:t>
      </w:r>
      <w:r>
        <w:t>Beurteilungszeitraum erstreckender Beobachtungen abgegeben werden.</w:t>
      </w:r>
      <w:r w:rsidR="001817B9">
        <w:t xml:space="preserve"> </w:t>
      </w:r>
      <w:r>
        <w:t>Nachdem es zahlreiche pandemiebedingte Beeinträchtigungen des Unterrichtsbetriebs</w:t>
      </w:r>
      <w:r w:rsidR="001817B9">
        <w:t xml:space="preserve"> </w:t>
      </w:r>
      <w:r>
        <w:t>gegeben hat, jedoch auch personalrechtliche Entscheidungen getroffen werden</w:t>
      </w:r>
      <w:r w:rsidR="001817B9">
        <w:t xml:space="preserve"> </w:t>
      </w:r>
      <w:r>
        <w:t>müssen, kann es durchaus geboten sein, die Zeit des Präsenzunterrichts für (beurteilungsrelevante)</w:t>
      </w:r>
      <w:r w:rsidR="001817B9">
        <w:t xml:space="preserve"> </w:t>
      </w:r>
      <w:r>
        <w:t>Unterrichtsbesuche zu nutzen. Die Entscheidung hierüber trifft</w:t>
      </w:r>
      <w:r w:rsidR="001817B9">
        <w:t xml:space="preserve"> </w:t>
      </w:r>
      <w:r>
        <w:t>die Schulleitung.</w:t>
      </w:r>
    </w:p>
    <w:p w:rsidR="007E0861" w:rsidRDefault="007E0861">
      <w:bookmarkStart w:id="25" w:name="Frage_Nr_12_Ende"/>
      <w:bookmarkEnd w:id="25"/>
      <w:r>
        <w:br w:type="page"/>
      </w:r>
    </w:p>
    <w:tbl>
      <w:tblPr>
        <w:tblStyle w:val="Tabellenraster"/>
        <w:tblW w:w="1332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tblGrid>
      <w:tr w:rsidR="00BE1E41" w:rsidTr="00BE1E41">
        <w:tc>
          <w:tcPr>
            <w:tcW w:w="1905" w:type="dxa"/>
          </w:tcPr>
          <w:p w:rsidR="00BE1E41" w:rsidRDefault="00BE1E41" w:rsidP="00BE1E41">
            <w:pPr>
              <w:pStyle w:val="LTAnfrageInitiator"/>
            </w:pPr>
            <w:r>
              <w:lastRenderedPageBreak/>
              <w:t>Abgeordneter</w:t>
            </w:r>
            <w:r>
              <w:rPr>
                <w:b/>
              </w:rPr>
              <w:br/>
              <w:t>Matthias</w:t>
            </w:r>
            <w:r>
              <w:rPr>
                <w:b/>
              </w:rPr>
              <w:br/>
              <w:t>Fischbach</w:t>
            </w:r>
            <w:r>
              <w:rPr>
                <w:b/>
              </w:rPr>
              <w:br/>
            </w:r>
            <w:r>
              <w:t>(FDP)</w:t>
            </w:r>
            <w:bookmarkStart w:id="26" w:name="Frage_Nr_13"/>
            <w:bookmarkEnd w:id="26"/>
          </w:p>
        </w:tc>
        <w:tc>
          <w:tcPr>
            <w:tcW w:w="5711" w:type="dxa"/>
          </w:tcPr>
          <w:p w:rsidR="00BE1E41" w:rsidRPr="003E61AF" w:rsidRDefault="00BE1E41" w:rsidP="003E61AF">
            <w:pPr>
              <w:pStyle w:val="LTAnfrageText"/>
            </w:pPr>
            <w:r w:rsidRPr="003E61AF">
              <w:t>Ich frage die Staatsregierung:</w:t>
            </w:r>
          </w:p>
          <w:p w:rsidR="00BE1E41" w:rsidRPr="003E61AF" w:rsidRDefault="00BE1E41" w:rsidP="00734E22">
            <w:pPr>
              <w:pStyle w:val="LTAnfrageText"/>
              <w:spacing w:before="0"/>
            </w:pPr>
            <w:r w:rsidRPr="003E61AF">
              <w:t>1. Gültige als auch zuverlässige und objektive Standards an allen Halbjahren der FOS/BOS und an der gesamten Oberstufe der Gymnasien</w:t>
            </w:r>
          </w:p>
          <w:p w:rsidR="00BE1E41" w:rsidRPr="003E61AF" w:rsidRDefault="00BE1E41" w:rsidP="00734E22">
            <w:pPr>
              <w:pStyle w:val="LTAnfrageText"/>
              <w:spacing w:before="0"/>
            </w:pPr>
            <w:r w:rsidRPr="003E61AF">
              <w:t>1.1 Wie viele Prüfungen lässt der durch das Staatsministerium für Unterricht und Kultus (StMUK) aktuell an den jeweiligen Schularten gesetzte Rahmen minimal bzw. maximal zu (bitte aufschlüsseln nach Schulart, Fächern, Halbjahresleistungen als auch Abschlussprüfungen)?</w:t>
            </w:r>
          </w:p>
          <w:p w:rsidR="00BE1E41" w:rsidRPr="003E61AF" w:rsidRDefault="00BE1E41" w:rsidP="00734E22">
            <w:pPr>
              <w:pStyle w:val="LTAnfrageText"/>
              <w:spacing w:before="0"/>
            </w:pPr>
            <w:r w:rsidRPr="003E61AF">
              <w:t>1.2 Was sind die Abweichungen dieses Rahmens hinsichtlich der Anzahl, des Inhalts und des Umfangs der Prüfungen im Vergleich zu den letzten Jahren (bitte nach Schulart und Klassenstufen aufschlüsseln)?</w:t>
            </w:r>
          </w:p>
          <w:p w:rsidR="00BE1E41" w:rsidRPr="003E61AF" w:rsidRDefault="00BE1E41" w:rsidP="00734E22">
            <w:pPr>
              <w:pStyle w:val="LTAnfrageText"/>
              <w:spacing w:before="0"/>
            </w:pPr>
            <w:r w:rsidRPr="003E61AF">
              <w:t>1.3 Wie lauten die konkreten Konzepte zur Sicherung von Fairness und Vergleichbarkeit an den jeweiligen Schularten (FOS/BOS und Gymnasien)?</w:t>
            </w:r>
          </w:p>
          <w:p w:rsidR="00BE1E41" w:rsidRPr="003E61AF" w:rsidRDefault="00BE1E41" w:rsidP="00734E22">
            <w:pPr>
              <w:pStyle w:val="LTAnfrageText"/>
              <w:spacing w:before="0"/>
            </w:pPr>
            <w:r w:rsidRPr="003E61AF">
              <w:t>2. Wahrung der Chancengerechtigkeit an FOS/BOS und Gym-nasien</w:t>
            </w:r>
          </w:p>
          <w:p w:rsidR="00BE1E41" w:rsidRPr="003E61AF" w:rsidRDefault="00BE1E41" w:rsidP="00734E22">
            <w:pPr>
              <w:pStyle w:val="LTAnfrageText"/>
              <w:spacing w:before="0"/>
            </w:pPr>
            <w:r w:rsidRPr="003E61AF">
              <w:t>2.1 Warum müssen an FOS/BOS derzeit die regulär vorgesehenen schriftlichen Leistungserhebungen nachgeholt werden, während an den Gymnasien abwe</w:t>
            </w:r>
            <w:r w:rsidR="0070116F">
              <w:t>ichend von der GSO (GSO = Gymna</w:t>
            </w:r>
            <w:r w:rsidRPr="003E61AF">
              <w:t>sienschulordnung) große Leistungsnachweise beispielsweise nur noch in den drei schriftlichen Abiturprüfungsfächern (Q12) bzw. in den drei Fächern Mathematik, Deutsch und der verpflichtend über vier Kurshalbjahre zu belegenden fortgeführten Fremdsprache (Q11) gefordert sind?</w:t>
            </w:r>
          </w:p>
          <w:p w:rsidR="00BE1E41" w:rsidRPr="003E61AF" w:rsidRDefault="00BE1E41" w:rsidP="00734E22">
            <w:pPr>
              <w:pStyle w:val="LTAnfrageText"/>
              <w:spacing w:before="0"/>
            </w:pPr>
            <w:r w:rsidRPr="003E61AF">
              <w:t>2.2 Wie bewertet das StMUK vor diesem Hintergrund die Wahrung der Chancengerechtigkeit von FOS/BOS und Gymnasien im direkten Vergleich (bitte insbesondere auf den Vergleich in der Anzahl der schriftlichen Leistungserhebungen eingehen)?</w:t>
            </w:r>
          </w:p>
          <w:p w:rsidR="00BE1E41" w:rsidRPr="003E61AF" w:rsidRDefault="00BE1E41" w:rsidP="00734E22">
            <w:pPr>
              <w:pStyle w:val="LTAnfrageText"/>
              <w:spacing w:before="0"/>
            </w:pPr>
            <w:r w:rsidRPr="003E61AF">
              <w:t>2.3 Welche konkreten Konzepte, Maßnahmen bzw. Verfahren sind für die Praktika in der Oberstufe vorgesehen (bitte Aufstellung nach Schularten FOS/BOS, Gymnasien und Jahrgänge vornehmen)?</w:t>
            </w:r>
          </w:p>
          <w:p w:rsidR="00BE1E41" w:rsidRPr="003E61AF" w:rsidRDefault="00BE1E41" w:rsidP="00734E22">
            <w:pPr>
              <w:pStyle w:val="LTAnfrageText"/>
              <w:spacing w:before="0"/>
            </w:pPr>
            <w:r w:rsidRPr="003E61AF">
              <w:t>3. Harmonisierung der zu bewältigenden Leistungen</w:t>
            </w:r>
          </w:p>
          <w:p w:rsidR="00BE1E41" w:rsidRPr="003E61AF" w:rsidRDefault="00BE1E41" w:rsidP="00734E22">
            <w:pPr>
              <w:pStyle w:val="LTAnfrageText"/>
              <w:spacing w:before="0"/>
            </w:pPr>
            <w:r w:rsidRPr="003E61AF">
              <w:t>3.1 Inwiefern weichen die Standards der Leistungserhebungen in der Vorprüfungsphase von denen der Vorjahre ab (bitte Unterschiedlichkeit in Bezug auf die Korrekturstandards wie Notenschlüssel und Bindung der Korrektur an den Erwartungshorizont nach Jahrgangsstufen der Oberstufen darstellen und entsprechend der Schularten FOS/BOS und Gymnasien aufschlüsseln)?</w:t>
            </w:r>
          </w:p>
          <w:p w:rsidR="00BE1E41" w:rsidRPr="003E61AF" w:rsidRDefault="00BE1E41" w:rsidP="00734E22">
            <w:pPr>
              <w:pStyle w:val="LTAnfrageText"/>
              <w:spacing w:before="0"/>
            </w:pPr>
            <w:r w:rsidRPr="003E61AF">
              <w:t>3.2 Wie werden die Vergleichbarkeit und Leistbarkeit hinsichtlich der Prüfungsanforderungen und des vorzubereitenden Unterrichtsstoffs zwischen den Schularten und Jahrgängen gewährleistet?</w:t>
            </w:r>
          </w:p>
          <w:p w:rsidR="00BE1E41" w:rsidRPr="003E61AF" w:rsidRDefault="00BE1E41" w:rsidP="00734E22">
            <w:pPr>
              <w:pStyle w:val="LTAnfrageText"/>
              <w:spacing w:before="0"/>
            </w:pPr>
            <w:r w:rsidRPr="003E61AF">
              <w:t>3.3 Wie bewertet das StMUK die unterschiedlichen Entwicklungen hinsichtlich der Jahresfortgänge an FOS/BOS und Gymnasien vor dem Hintergrund der aufgrund der Coronapandemie getroffenen Regelungen (bitte hierzu insbesondere die absolute und relative Zahl der auf Probe erfolgreich bzw. nicht erfolgreich vorrückenden Schülerinnen und Schüler in den vergangenen Jahren und je Jahrgang und Schulart darstellen)?</w:t>
            </w:r>
          </w:p>
          <w:p w:rsidR="00BE1E41" w:rsidRPr="003E61AF" w:rsidRDefault="00BE1E41" w:rsidP="00734E22">
            <w:pPr>
              <w:pStyle w:val="LTAnfrageText"/>
              <w:spacing w:before="0"/>
            </w:pPr>
            <w:r w:rsidRPr="003E61AF">
              <w:lastRenderedPageBreak/>
              <w:t>4. Wechselunterricht und Abnahme von Prüfungen bzw. die Konsequenz auf das Erreichen des Jahrgangsziels</w:t>
            </w:r>
          </w:p>
          <w:p w:rsidR="00BE1E41" w:rsidRPr="003E61AF" w:rsidRDefault="00BE1E41" w:rsidP="00734E22">
            <w:pPr>
              <w:pStyle w:val="LTAnfrageText"/>
              <w:spacing w:before="0"/>
            </w:pPr>
            <w:r w:rsidRPr="003E61AF">
              <w:t>4.1 Inwiefern sieht das StMUK Probleme hinsichtlich der Chancengerechtigkeit, wenn von den Abschlussklassen jeweils ein Teil der Schüler sich den Stoff aufgrund des Wechselunterrichts praktisch selbst beibringen musste, während der andere Teil diesen in Präsenz vermittelt bekommen hat?</w:t>
            </w:r>
          </w:p>
          <w:p w:rsidR="00BE1E41" w:rsidRPr="003E61AF" w:rsidRDefault="00BE1E41" w:rsidP="00734E22">
            <w:pPr>
              <w:pStyle w:val="LTAnfrageText"/>
              <w:spacing w:before="0"/>
            </w:pPr>
            <w:r w:rsidRPr="003E61AF">
              <w:t>4.2 Wie bewertet das StMUK auftretende Abweichungen aus Frage 4.1 im Hinblick auf die Vergleichbarkeit der Abschlüsse insbesondere den der allgemeinen Hochschulreife und die damit einhergehende Studierfähigkeit?</w:t>
            </w:r>
          </w:p>
          <w:p w:rsidR="00BE1E41" w:rsidRPr="003E61AF" w:rsidRDefault="00BE1E41" w:rsidP="00734E22">
            <w:pPr>
              <w:pStyle w:val="LTAnfrageText"/>
              <w:spacing w:before="0"/>
            </w:pPr>
            <w:r w:rsidRPr="003E61AF">
              <w:t>4.3 Wie viele Schüler mussten in den Jahren 2016 bis 2021 jeweils aus der Einführungsklasse an der BOS zurücktreten bzw. die BOS verlassen (bitte entsprechende Zahlen auch für die FOS-Vorklassen von 2016 bis 2021 auflisten)?</w:t>
            </w:r>
          </w:p>
          <w:p w:rsidR="00BE1E41" w:rsidRPr="003E61AF" w:rsidRDefault="00BE1E41" w:rsidP="00734E22">
            <w:pPr>
              <w:pStyle w:val="LTAnfrageText"/>
              <w:spacing w:before="0"/>
            </w:pPr>
            <w:r w:rsidRPr="003E61AF">
              <w:t>5. Voraussetzungen der zentralen Abschlussprüfungen</w:t>
            </w:r>
          </w:p>
          <w:p w:rsidR="00BE1E41" w:rsidRPr="003E61AF" w:rsidRDefault="00BE1E41" w:rsidP="00734E22">
            <w:pPr>
              <w:pStyle w:val="LTAnfrageText"/>
              <w:spacing w:before="0"/>
            </w:pPr>
            <w:r w:rsidRPr="003E61AF">
              <w:t>5.1 Inwiefern sieht das StMUK an den jeweiligen Schularten FOS/BOS und Gymnasien aktuell eine veränderte Situation zur Abschlussprüfung 2020 hinsichtlich der Voraussetzungen der zentralen Abschlussprüfungen?</w:t>
            </w:r>
          </w:p>
          <w:p w:rsidR="00BE1E41" w:rsidRPr="003E61AF" w:rsidRDefault="00BE1E41" w:rsidP="00734E22">
            <w:pPr>
              <w:pStyle w:val="LTAnfrageText"/>
              <w:spacing w:before="0"/>
            </w:pPr>
            <w:r w:rsidRPr="003E61AF">
              <w:t>5.2 Was sind die konkreten Maßnahmen, die seitens des StMUK ergriffen wurden, um den Standard der Prüfungen zu wahren und auch eine Vergleichbarkeit zwischen den Jahrgängen insb. 2020/2021 aber auch den nicht von Corona beeinträchtigten Jahrgängen herzustellen?</w:t>
            </w:r>
          </w:p>
          <w:p w:rsidR="00BE1E41" w:rsidRPr="003E61AF" w:rsidRDefault="00BE1E41" w:rsidP="00734E22">
            <w:pPr>
              <w:pStyle w:val="LTAnfrageText"/>
              <w:spacing w:before="0"/>
            </w:pPr>
            <w:r w:rsidRPr="003E61AF">
              <w:t>5.3 Wie viele Schüler wiederholen aktuell und in den beiden vorhergehenden Schuljahren eine Jahrgangsstufe an den jeweiligen Schularten und der dazugehörigen Oberstufe (bitte aufschlüsseln nach Schulart, Kursjahr und Freiwilligkeit bzw. Notwendigkeit- der Wiederholung)?</w:t>
            </w:r>
          </w:p>
          <w:p w:rsidR="00BE1E41" w:rsidRPr="003E61AF" w:rsidRDefault="00BE1E41" w:rsidP="00734E22">
            <w:pPr>
              <w:pStyle w:val="LTAnfrageText"/>
              <w:spacing w:before="0"/>
            </w:pPr>
            <w:r w:rsidRPr="003E61AF">
              <w:t>6. Anforderungen der zentralen Abschlussprüfungen</w:t>
            </w:r>
          </w:p>
          <w:p w:rsidR="00BE1E41" w:rsidRPr="003E61AF" w:rsidRDefault="00BE1E41" w:rsidP="00734E22">
            <w:pPr>
              <w:pStyle w:val="LTAnfrageText"/>
              <w:spacing w:before="0"/>
            </w:pPr>
            <w:r w:rsidRPr="003E61AF">
              <w:t>6.1 Welche abweichenden Anforderungen gelten hinsichtlich der Abschlussprüfungen an FOS/BOS und Gymnasien jeweils vor dem Hintergrund der Coronapandemie (zum Beispiel Notenschlüssel und Erwartungshorizonte für die Zentralprüfungen)?</w:t>
            </w:r>
          </w:p>
          <w:p w:rsidR="00BE1E41" w:rsidRPr="003E61AF" w:rsidRDefault="00BE1E41" w:rsidP="00734E22">
            <w:pPr>
              <w:pStyle w:val="LTAnfrageText"/>
              <w:spacing w:before="0"/>
            </w:pPr>
            <w:r w:rsidRPr="003E61AF">
              <w:t>6.2 Wie lautet das Konzept des StMUK, die Abschlussprüfungen an die veränderte Unterrichtswirklichkeit (Wechsel-, Distanzunterricht) anzupassen?</w:t>
            </w:r>
          </w:p>
          <w:p w:rsidR="00BE1E41" w:rsidRPr="003E61AF" w:rsidRDefault="00BE1E41" w:rsidP="00734E22">
            <w:pPr>
              <w:pStyle w:val="LTAnfrageText"/>
              <w:spacing w:before="0"/>
            </w:pPr>
            <w:r w:rsidRPr="003E61AF">
              <w:t>6.3 Inwiefern gibt es konkrete Maßnahmen seitens des StMUK, um Schülern im Falle einer Quarantäneanordnung zeitnahe Ersatztermine für die zentrale Abschlussprüfung zu garantieren?</w:t>
            </w:r>
          </w:p>
          <w:p w:rsidR="00BE1E41" w:rsidRPr="003E61AF" w:rsidRDefault="00BE1E41" w:rsidP="00734E22">
            <w:pPr>
              <w:pStyle w:val="LTAnfrageText"/>
              <w:spacing w:before="0"/>
            </w:pPr>
            <w:r w:rsidRPr="003E61AF">
              <w:t>7. Durchführung bzw. Ablegung und Ableistung der zentralen Abschlussprüfungen</w:t>
            </w:r>
          </w:p>
          <w:p w:rsidR="00BE1E41" w:rsidRPr="003E61AF" w:rsidRDefault="00BE1E41" w:rsidP="00734E22">
            <w:pPr>
              <w:pStyle w:val="LTAnfrageText"/>
              <w:spacing w:before="0"/>
            </w:pPr>
            <w:r w:rsidRPr="003E61AF">
              <w:t>7.1 Welche besonderen Sicherheits- und Hygienekonzepte liegen neben dem Rahmenhygieneplan zur Durchführung der Abschlussprüfungen vor?</w:t>
            </w:r>
          </w:p>
          <w:p w:rsidR="00BE1E41" w:rsidRPr="003E61AF" w:rsidRDefault="00BE1E41" w:rsidP="00734E22">
            <w:pPr>
              <w:pStyle w:val="LTAnfrageText"/>
              <w:spacing w:before="0"/>
            </w:pPr>
            <w:r w:rsidRPr="003E61AF">
              <w:t>7.2 Inwiefern ist die Abschlussprüfung an den jeweiligen Schularten im Falle einer Corona-Infektion vor, während und nach der Prüfung wiederholbar (bitte Konzepte unter Nennung der Regelungen darstellen)?</w:t>
            </w:r>
          </w:p>
          <w:p w:rsidR="00BE1E41" w:rsidRPr="003E61AF" w:rsidRDefault="00BE1E41" w:rsidP="00734E22">
            <w:pPr>
              <w:pStyle w:val="LTAnfrageText"/>
              <w:spacing w:before="0"/>
            </w:pPr>
            <w:r w:rsidRPr="003E61AF">
              <w:t>7.3 Inwiefern gibt es eine entsprechende Corona-Klausel, falls Schüler während der Vorbereitungsphase an Corona erkranken und zum Prüfdatum wieder genesen?</w:t>
            </w:r>
          </w:p>
          <w:p w:rsidR="00153FFA" w:rsidRDefault="00153FFA" w:rsidP="00734E22">
            <w:pPr>
              <w:pStyle w:val="LTAnfrageText"/>
              <w:spacing w:before="0"/>
            </w:pPr>
            <w:r>
              <w:br/>
            </w:r>
          </w:p>
          <w:p w:rsidR="00BE1E41" w:rsidRPr="003E61AF" w:rsidRDefault="00BE1E41" w:rsidP="00734E22">
            <w:pPr>
              <w:pStyle w:val="LTAnfrageText"/>
              <w:spacing w:before="0"/>
            </w:pPr>
            <w:r w:rsidRPr="003E61AF">
              <w:lastRenderedPageBreak/>
              <w:t>8. Härtefälle</w:t>
            </w:r>
          </w:p>
          <w:p w:rsidR="00BE1E41" w:rsidRPr="003E61AF" w:rsidRDefault="00BE1E41" w:rsidP="00734E22">
            <w:pPr>
              <w:pStyle w:val="LTAnfrageText"/>
              <w:spacing w:before="0"/>
            </w:pPr>
            <w:r w:rsidRPr="003E61AF">
              <w:t>8.1 Welche Konzepte hat das StMUK für Corona-Härtefälle, die bereits 2020 auftraten und noch nicht von bisherigen Härtefallregelungen erfasst waren, neu entwickelt?</w:t>
            </w:r>
          </w:p>
          <w:p w:rsidR="00BE1E41" w:rsidRPr="003E61AF" w:rsidRDefault="00BE1E41" w:rsidP="00734E22">
            <w:pPr>
              <w:pStyle w:val="LTAnfrageText"/>
              <w:spacing w:before="0"/>
            </w:pPr>
            <w:r w:rsidRPr="003E61AF">
              <w:t>8.2 Wie lauten die exakten Härtefallregelungen für die Abschlussjahrgänge 2021 an FOS/BOS und Gymnasien?</w:t>
            </w:r>
          </w:p>
          <w:p w:rsidR="00BE1E41" w:rsidRPr="003E61AF" w:rsidRDefault="00BE1E41" w:rsidP="00734E22">
            <w:pPr>
              <w:pStyle w:val="LTAnfrageText"/>
              <w:spacing w:before="0"/>
            </w:pPr>
            <w:r w:rsidRPr="003E61AF">
              <w:t>8.3 Wie verbindlich sind die Härtefallregelungen für die Akteure an den FOS/BOS und den Gymnasien?</w:t>
            </w:r>
          </w:p>
        </w:tc>
        <w:tc>
          <w:tcPr>
            <w:tcW w:w="5711" w:type="dxa"/>
          </w:tcPr>
          <w:p w:rsidR="00BE1E41" w:rsidRDefault="00BE1E41" w:rsidP="00BE1E41">
            <w:pPr>
              <w:pStyle w:val="LTAnfrageText"/>
            </w:pPr>
          </w:p>
        </w:tc>
      </w:tr>
    </w:tbl>
    <w:p w:rsidR="007E0861" w:rsidRDefault="007E0861" w:rsidP="007E0861">
      <w:pPr>
        <w:pStyle w:val="LTUeberschrAntwortRessort"/>
      </w:pPr>
      <w:r>
        <w:lastRenderedPageBreak/>
        <w:t>Antwort des Staatsministeriums für Unterricht und Kultus</w:t>
      </w:r>
    </w:p>
    <w:p w:rsidR="007E0861" w:rsidRPr="00265CCB" w:rsidRDefault="007E0861" w:rsidP="007E0861">
      <w:pPr>
        <w:pStyle w:val="LTAntwortRessortText"/>
        <w:rPr>
          <w:b/>
        </w:rPr>
      </w:pPr>
      <w:r w:rsidRPr="00265CCB">
        <w:rPr>
          <w:b/>
        </w:rPr>
        <w:t>Frage 1.: Gültige als auch zuverlässige und objektive Standards an</w:t>
      </w:r>
      <w:r w:rsidR="00D15F26" w:rsidRPr="00265CCB">
        <w:rPr>
          <w:b/>
        </w:rPr>
        <w:t xml:space="preserve"> </w:t>
      </w:r>
      <w:r w:rsidRPr="00265CCB">
        <w:rPr>
          <w:b/>
        </w:rPr>
        <w:t>allen Halbjahren der FOS/BOS und an der gesamten Oberstufe der</w:t>
      </w:r>
      <w:r w:rsidR="00D15F26" w:rsidRPr="00265CCB">
        <w:rPr>
          <w:b/>
        </w:rPr>
        <w:t xml:space="preserve"> </w:t>
      </w:r>
      <w:r w:rsidRPr="00265CCB">
        <w:rPr>
          <w:b/>
        </w:rPr>
        <w:t>Gymnasien</w:t>
      </w:r>
    </w:p>
    <w:p w:rsidR="007E0861" w:rsidRPr="00265CCB" w:rsidRDefault="007E0861" w:rsidP="007E0861">
      <w:pPr>
        <w:pStyle w:val="LTAntwortRessortText"/>
        <w:rPr>
          <w:b/>
        </w:rPr>
      </w:pPr>
      <w:r w:rsidRPr="00265CCB">
        <w:rPr>
          <w:b/>
        </w:rPr>
        <w:t>Frage 1.1: Wie viele Prüfungen lässt der durch das Staatsministerium</w:t>
      </w:r>
      <w:r w:rsidR="00D15F26" w:rsidRPr="00265CCB">
        <w:rPr>
          <w:b/>
        </w:rPr>
        <w:t xml:space="preserve"> </w:t>
      </w:r>
      <w:r w:rsidRPr="00265CCB">
        <w:rPr>
          <w:b/>
        </w:rPr>
        <w:t>für Unterricht und Kultus (StMUK) aktuell an den jeweiligen</w:t>
      </w:r>
      <w:r w:rsidR="00D15F26" w:rsidRPr="00265CCB">
        <w:rPr>
          <w:b/>
        </w:rPr>
        <w:t xml:space="preserve"> </w:t>
      </w:r>
      <w:r w:rsidRPr="00265CCB">
        <w:rPr>
          <w:b/>
        </w:rPr>
        <w:t>Schularten gesetzte Rahmen minimal bzw. maximal zu (bitte</w:t>
      </w:r>
      <w:r w:rsidR="00D15F26" w:rsidRPr="00265CCB">
        <w:rPr>
          <w:b/>
        </w:rPr>
        <w:t xml:space="preserve"> </w:t>
      </w:r>
      <w:r w:rsidRPr="00265CCB">
        <w:rPr>
          <w:b/>
        </w:rPr>
        <w:t>aufschlüsseln nach Schulart, Fächern, Halbjahresleistungen als auch</w:t>
      </w:r>
      <w:r w:rsidR="00D15F26" w:rsidRPr="00265CCB">
        <w:rPr>
          <w:b/>
        </w:rPr>
        <w:t xml:space="preserve"> </w:t>
      </w:r>
      <w:r w:rsidRPr="00265CCB">
        <w:rPr>
          <w:b/>
        </w:rPr>
        <w:t>Abschlussprüfungen)?</w:t>
      </w:r>
    </w:p>
    <w:p w:rsidR="007E0861" w:rsidRDefault="007E0861" w:rsidP="00153FFA">
      <w:pPr>
        <w:pStyle w:val="LTAntwortRessortText"/>
      </w:pPr>
      <w:r>
        <w:t xml:space="preserve">Am </w:t>
      </w:r>
      <w:r w:rsidRPr="00D6673D">
        <w:rPr>
          <w:u w:val="single"/>
        </w:rPr>
        <w:t>Gymnasium</w:t>
      </w:r>
      <w:r>
        <w:t xml:space="preserve"> werden aktuell, d.h. im Schuljahr 2020/2021, für den Abiturjahrgang</w:t>
      </w:r>
      <w:r w:rsidR="00D15F26">
        <w:t xml:space="preserve"> </w:t>
      </w:r>
      <w:r>
        <w:t>2021 (Q12) folgende Leistungsnachweise gefordert:</w:t>
      </w:r>
    </w:p>
    <w:p w:rsidR="007E0861" w:rsidRDefault="007E0861" w:rsidP="007E0861">
      <w:pPr>
        <w:pStyle w:val="LTAntwortRessortText"/>
      </w:pPr>
    </w:p>
    <w:tbl>
      <w:tblPr>
        <w:tblStyle w:val="TableNormal"/>
        <w:tblW w:w="7926"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97"/>
        <w:gridCol w:w="3829"/>
      </w:tblGrid>
      <w:tr w:rsidR="00DF2AD3" w:rsidRPr="00DF2AD3" w:rsidTr="00DF2AD3">
        <w:trPr>
          <w:trHeight w:val="411"/>
        </w:trPr>
        <w:tc>
          <w:tcPr>
            <w:tcW w:w="4097" w:type="dxa"/>
            <w:shd w:val="clear" w:color="auto" w:fill="D9D9D9"/>
          </w:tcPr>
          <w:p w:rsidR="00DF2AD3" w:rsidRPr="00DF2AD3" w:rsidRDefault="00DF2AD3" w:rsidP="00DF2AD3">
            <w:pPr>
              <w:pStyle w:val="TableParagraph"/>
              <w:rPr>
                <w:rFonts w:ascii="Arial" w:hAnsi="Arial" w:cs="Arial"/>
                <w:b/>
                <w:sz w:val="16"/>
              </w:rPr>
            </w:pPr>
            <w:r w:rsidRPr="00DF2AD3">
              <w:rPr>
                <w:rFonts w:ascii="Arial" w:hAnsi="Arial" w:cs="Arial"/>
                <w:b/>
                <w:sz w:val="16"/>
              </w:rPr>
              <w:t>12/1</w:t>
            </w:r>
          </w:p>
        </w:tc>
        <w:tc>
          <w:tcPr>
            <w:tcW w:w="3829" w:type="dxa"/>
            <w:shd w:val="clear" w:color="auto" w:fill="D9D9D9"/>
          </w:tcPr>
          <w:p w:rsidR="00DF2AD3" w:rsidRPr="00DF2AD3" w:rsidRDefault="00DF2AD3" w:rsidP="00DF2AD3">
            <w:pPr>
              <w:pStyle w:val="TableParagraph"/>
              <w:rPr>
                <w:rFonts w:ascii="Arial" w:hAnsi="Arial" w:cs="Arial"/>
                <w:b/>
                <w:sz w:val="16"/>
              </w:rPr>
            </w:pPr>
            <w:r w:rsidRPr="00DF2AD3">
              <w:rPr>
                <w:rFonts w:ascii="Arial" w:hAnsi="Arial" w:cs="Arial"/>
                <w:b/>
                <w:sz w:val="16"/>
              </w:rPr>
              <w:t>12/2</w:t>
            </w:r>
          </w:p>
        </w:tc>
      </w:tr>
      <w:tr w:rsidR="00DF2AD3" w:rsidRPr="00DF2AD3" w:rsidTr="00DF2AD3">
        <w:trPr>
          <w:trHeight w:val="396"/>
        </w:trPr>
        <w:tc>
          <w:tcPr>
            <w:tcW w:w="7926" w:type="dxa"/>
            <w:gridSpan w:val="2"/>
          </w:tcPr>
          <w:p w:rsidR="00DF2AD3" w:rsidRPr="00DF2AD3" w:rsidRDefault="00DF2AD3" w:rsidP="00C63211">
            <w:pPr>
              <w:pStyle w:val="TableParagraph"/>
              <w:spacing w:line="241" w:lineRule="exact"/>
              <w:jc w:val="left"/>
              <w:rPr>
                <w:rFonts w:ascii="Arial" w:hAnsi="Arial" w:cs="Arial"/>
                <w:b/>
                <w:sz w:val="16"/>
              </w:rPr>
            </w:pPr>
            <w:r w:rsidRPr="00DF2AD3">
              <w:rPr>
                <w:rFonts w:ascii="Arial" w:hAnsi="Arial" w:cs="Arial"/>
                <w:b/>
                <w:sz w:val="16"/>
              </w:rPr>
              <w:t xml:space="preserve">Deutsch, </w:t>
            </w:r>
            <w:r w:rsidRPr="00DF2AD3">
              <w:rPr>
                <w:rFonts w:ascii="Arial" w:hAnsi="Arial" w:cs="Arial"/>
                <w:b/>
                <w:spacing w:val="-3"/>
                <w:sz w:val="16"/>
              </w:rPr>
              <w:t xml:space="preserve">Mathematik, 3. </w:t>
            </w:r>
            <w:r w:rsidRPr="00DF2AD3">
              <w:rPr>
                <w:rFonts w:ascii="Arial" w:hAnsi="Arial" w:cs="Arial"/>
                <w:b/>
                <w:sz w:val="16"/>
              </w:rPr>
              <w:t>schriftliches</w:t>
            </w:r>
            <w:r w:rsidRPr="00DF2AD3">
              <w:rPr>
                <w:rFonts w:ascii="Arial" w:hAnsi="Arial" w:cs="Arial"/>
                <w:b/>
                <w:spacing w:val="55"/>
                <w:sz w:val="16"/>
              </w:rPr>
              <w:t xml:space="preserve"> </w:t>
            </w:r>
            <w:r w:rsidRPr="00DF2AD3">
              <w:rPr>
                <w:rFonts w:ascii="Arial" w:hAnsi="Arial" w:cs="Arial"/>
                <w:b/>
                <w:spacing w:val="-4"/>
                <w:sz w:val="16"/>
              </w:rPr>
              <w:t>Abiturprüfungsfach</w:t>
            </w:r>
          </w:p>
        </w:tc>
      </w:tr>
      <w:tr w:rsidR="00DF2AD3" w:rsidRPr="00DF2AD3" w:rsidTr="00DF2AD3">
        <w:trPr>
          <w:trHeight w:val="828"/>
        </w:trPr>
        <w:tc>
          <w:tcPr>
            <w:tcW w:w="4097" w:type="dxa"/>
          </w:tcPr>
          <w:p w:rsidR="00DF2AD3" w:rsidRPr="00DF2AD3" w:rsidRDefault="00DF2AD3" w:rsidP="00C63211">
            <w:pPr>
              <w:pStyle w:val="TableParagraph"/>
              <w:spacing w:line="273" w:lineRule="exact"/>
              <w:jc w:val="left"/>
              <w:rPr>
                <w:rFonts w:ascii="Arial" w:hAnsi="Arial" w:cs="Arial"/>
                <w:sz w:val="16"/>
              </w:rPr>
            </w:pPr>
            <w:r w:rsidRPr="00DF2AD3">
              <w:rPr>
                <w:rFonts w:ascii="Arial" w:hAnsi="Arial" w:cs="Arial"/>
                <w:sz w:val="16"/>
              </w:rPr>
              <w:t>je eine Schulaufgabe sowie mind.</w:t>
            </w:r>
            <w:r w:rsidR="00C63211">
              <w:rPr>
                <w:rFonts w:ascii="Arial" w:hAnsi="Arial" w:cs="Arial"/>
                <w:sz w:val="16"/>
              </w:rPr>
              <w:t xml:space="preserve"> </w:t>
            </w:r>
            <w:r w:rsidRPr="00DF2AD3">
              <w:rPr>
                <w:rFonts w:ascii="Arial" w:hAnsi="Arial" w:cs="Arial"/>
                <w:sz w:val="16"/>
              </w:rPr>
              <w:t xml:space="preserve">zwei kleine </w:t>
            </w:r>
            <w:r w:rsidR="00C63211">
              <w:rPr>
                <w:rFonts w:ascii="Arial" w:hAnsi="Arial" w:cs="Arial"/>
                <w:sz w:val="16"/>
              </w:rPr>
              <w:br/>
            </w:r>
            <w:r w:rsidRPr="00DF2AD3">
              <w:rPr>
                <w:rFonts w:ascii="Arial" w:hAnsi="Arial" w:cs="Arial"/>
                <w:sz w:val="16"/>
              </w:rPr>
              <w:t>Leistungsnachweise</w:t>
            </w:r>
          </w:p>
        </w:tc>
        <w:tc>
          <w:tcPr>
            <w:tcW w:w="3829" w:type="dxa"/>
          </w:tcPr>
          <w:p w:rsidR="00DF2AD3" w:rsidRPr="00DF2AD3" w:rsidRDefault="00DF2AD3" w:rsidP="00C63211">
            <w:pPr>
              <w:pStyle w:val="TableParagraph"/>
              <w:spacing w:line="273" w:lineRule="exact"/>
              <w:jc w:val="left"/>
              <w:rPr>
                <w:rFonts w:ascii="Arial" w:hAnsi="Arial" w:cs="Arial"/>
                <w:sz w:val="16"/>
              </w:rPr>
            </w:pPr>
            <w:r w:rsidRPr="00DF2AD3">
              <w:rPr>
                <w:rFonts w:ascii="Arial" w:hAnsi="Arial" w:cs="Arial"/>
                <w:sz w:val="16"/>
              </w:rPr>
              <w:t>je eine Schulaufgabe sowie mind.</w:t>
            </w:r>
            <w:r w:rsidR="00C63211">
              <w:rPr>
                <w:rFonts w:ascii="Arial" w:hAnsi="Arial" w:cs="Arial"/>
                <w:sz w:val="16"/>
              </w:rPr>
              <w:t xml:space="preserve"> </w:t>
            </w:r>
            <w:r w:rsidRPr="00DF2AD3">
              <w:rPr>
                <w:rFonts w:ascii="Arial" w:hAnsi="Arial" w:cs="Arial"/>
                <w:sz w:val="16"/>
              </w:rPr>
              <w:t xml:space="preserve">zwei kleine </w:t>
            </w:r>
            <w:r w:rsidR="00C63211">
              <w:rPr>
                <w:rFonts w:ascii="Arial" w:hAnsi="Arial" w:cs="Arial"/>
                <w:sz w:val="16"/>
              </w:rPr>
              <w:br/>
            </w:r>
            <w:r w:rsidRPr="00DF2AD3">
              <w:rPr>
                <w:rFonts w:ascii="Arial" w:hAnsi="Arial" w:cs="Arial"/>
                <w:sz w:val="16"/>
              </w:rPr>
              <w:t>Leistungsnachweise</w:t>
            </w:r>
          </w:p>
        </w:tc>
      </w:tr>
      <w:tr w:rsidR="00DF2AD3" w:rsidRPr="00DF2AD3" w:rsidTr="00DF2AD3">
        <w:trPr>
          <w:trHeight w:val="396"/>
        </w:trPr>
        <w:tc>
          <w:tcPr>
            <w:tcW w:w="7926" w:type="dxa"/>
            <w:gridSpan w:val="2"/>
          </w:tcPr>
          <w:p w:rsidR="00DF2AD3" w:rsidRPr="00DF2AD3" w:rsidRDefault="00DF2AD3" w:rsidP="00C63211">
            <w:pPr>
              <w:pStyle w:val="TableParagraph"/>
              <w:spacing w:line="241" w:lineRule="exact"/>
              <w:jc w:val="left"/>
              <w:rPr>
                <w:rFonts w:ascii="Arial" w:hAnsi="Arial" w:cs="Arial"/>
                <w:b/>
                <w:sz w:val="16"/>
              </w:rPr>
            </w:pPr>
            <w:r w:rsidRPr="00DF2AD3">
              <w:rPr>
                <w:rFonts w:ascii="Arial" w:hAnsi="Arial" w:cs="Arial"/>
                <w:b/>
                <w:sz w:val="16"/>
              </w:rPr>
              <w:t>Weitere Fächer</w:t>
            </w:r>
          </w:p>
        </w:tc>
      </w:tr>
    </w:tbl>
    <w:tbl>
      <w:tblPr>
        <w:tblStyle w:val="TableNormal1"/>
        <w:tblW w:w="7906"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77"/>
        <w:gridCol w:w="3829"/>
      </w:tblGrid>
      <w:tr w:rsidR="00DF2AD3" w:rsidRPr="00DF2AD3" w:rsidTr="00C63211">
        <w:trPr>
          <w:trHeight w:val="732"/>
        </w:trPr>
        <w:tc>
          <w:tcPr>
            <w:tcW w:w="4077" w:type="dxa"/>
          </w:tcPr>
          <w:p w:rsidR="00DF2AD3" w:rsidRPr="00DF2AD3" w:rsidRDefault="00DF2AD3" w:rsidP="00C63211">
            <w:pPr>
              <w:pStyle w:val="TableParagraph"/>
              <w:jc w:val="left"/>
              <w:rPr>
                <w:rFonts w:ascii="Arial" w:hAnsi="Arial" w:cs="Arial"/>
                <w:sz w:val="16"/>
              </w:rPr>
            </w:pPr>
            <w:r w:rsidRPr="00DF2AD3">
              <w:rPr>
                <w:rFonts w:ascii="Arial" w:hAnsi="Arial" w:cs="Arial"/>
                <w:sz w:val="16"/>
              </w:rPr>
              <w:t>je eine Schulaufgabe sowie mind.</w:t>
            </w:r>
            <w:r w:rsidR="00C63211">
              <w:rPr>
                <w:rFonts w:ascii="Arial" w:hAnsi="Arial" w:cs="Arial"/>
                <w:sz w:val="16"/>
              </w:rPr>
              <w:t xml:space="preserve"> </w:t>
            </w:r>
            <w:r w:rsidRPr="00DF2AD3">
              <w:rPr>
                <w:rFonts w:ascii="Arial" w:hAnsi="Arial" w:cs="Arial"/>
                <w:sz w:val="16"/>
              </w:rPr>
              <w:t xml:space="preserve">zwei kleine </w:t>
            </w:r>
            <w:r w:rsidR="00C63211">
              <w:rPr>
                <w:rFonts w:ascii="Arial" w:hAnsi="Arial" w:cs="Arial"/>
                <w:sz w:val="16"/>
              </w:rPr>
              <w:br/>
            </w:r>
            <w:r w:rsidRPr="00DF2AD3">
              <w:rPr>
                <w:rFonts w:ascii="Arial" w:hAnsi="Arial" w:cs="Arial"/>
                <w:sz w:val="16"/>
              </w:rPr>
              <w:t>Leistungsnachweise</w:t>
            </w:r>
          </w:p>
        </w:tc>
        <w:tc>
          <w:tcPr>
            <w:tcW w:w="3829" w:type="dxa"/>
          </w:tcPr>
          <w:p w:rsidR="00DF2AD3" w:rsidRPr="00DF2AD3" w:rsidRDefault="00DF2AD3" w:rsidP="00C63211">
            <w:pPr>
              <w:pStyle w:val="TableParagraph"/>
              <w:jc w:val="left"/>
              <w:rPr>
                <w:rFonts w:ascii="Arial" w:hAnsi="Arial" w:cs="Arial"/>
                <w:sz w:val="16"/>
              </w:rPr>
            </w:pPr>
            <w:r w:rsidRPr="00DF2AD3">
              <w:rPr>
                <w:rFonts w:ascii="Arial" w:hAnsi="Arial" w:cs="Arial"/>
                <w:sz w:val="16"/>
              </w:rPr>
              <w:t xml:space="preserve">je eine </w:t>
            </w:r>
            <w:r w:rsidRPr="00DF2AD3">
              <w:rPr>
                <w:rFonts w:ascii="Arial" w:hAnsi="Arial" w:cs="Arial"/>
                <w:sz w:val="16"/>
                <w:u w:val="single"/>
              </w:rPr>
              <w:t>freiwillige</w:t>
            </w:r>
            <w:r w:rsidRPr="00DF2AD3">
              <w:rPr>
                <w:rFonts w:ascii="Arial" w:hAnsi="Arial" w:cs="Arial"/>
                <w:sz w:val="16"/>
              </w:rPr>
              <w:t xml:space="preserve"> Schulaufgabe</w:t>
            </w:r>
            <w:r w:rsidR="00C63211">
              <w:rPr>
                <w:rFonts w:ascii="Arial" w:hAnsi="Arial" w:cs="Arial"/>
                <w:sz w:val="16"/>
              </w:rPr>
              <w:t xml:space="preserve"> </w:t>
            </w:r>
            <w:r w:rsidRPr="00DF2AD3">
              <w:rPr>
                <w:rFonts w:ascii="Arial" w:hAnsi="Arial" w:cs="Arial"/>
                <w:sz w:val="16"/>
              </w:rPr>
              <w:t>sowie mind. zwei kleine Leistungsnachweise</w:t>
            </w:r>
          </w:p>
        </w:tc>
      </w:tr>
      <w:tr w:rsidR="00DF2AD3" w:rsidRPr="00DF2AD3" w:rsidTr="00DF2AD3">
        <w:trPr>
          <w:trHeight w:val="396"/>
        </w:trPr>
        <w:tc>
          <w:tcPr>
            <w:tcW w:w="7906" w:type="dxa"/>
            <w:gridSpan w:val="2"/>
          </w:tcPr>
          <w:p w:rsidR="00DF2AD3" w:rsidRPr="00DF2AD3" w:rsidRDefault="00DF2AD3" w:rsidP="00C63211">
            <w:pPr>
              <w:pStyle w:val="TableParagraph"/>
              <w:spacing w:line="241" w:lineRule="exact"/>
              <w:jc w:val="left"/>
              <w:rPr>
                <w:rFonts w:ascii="Arial" w:hAnsi="Arial" w:cs="Arial"/>
                <w:b/>
                <w:sz w:val="16"/>
              </w:rPr>
            </w:pPr>
            <w:r w:rsidRPr="00DF2AD3">
              <w:rPr>
                <w:rFonts w:ascii="Arial" w:hAnsi="Arial" w:cs="Arial"/>
                <w:b/>
                <w:sz w:val="16"/>
              </w:rPr>
              <w:t>Additum Musik, Kunst, Sport</w:t>
            </w:r>
          </w:p>
        </w:tc>
      </w:tr>
      <w:tr w:rsidR="00DF2AD3" w:rsidRPr="00DF2AD3" w:rsidTr="00C63211">
        <w:trPr>
          <w:trHeight w:val="487"/>
        </w:trPr>
        <w:tc>
          <w:tcPr>
            <w:tcW w:w="4077" w:type="dxa"/>
          </w:tcPr>
          <w:p w:rsidR="00DF2AD3" w:rsidRPr="00DF2AD3" w:rsidRDefault="00DF2AD3" w:rsidP="00C63211">
            <w:pPr>
              <w:pStyle w:val="TableParagraph"/>
              <w:spacing w:line="273" w:lineRule="exact"/>
              <w:jc w:val="left"/>
              <w:rPr>
                <w:rFonts w:ascii="Arial" w:hAnsi="Arial" w:cs="Arial"/>
                <w:sz w:val="16"/>
              </w:rPr>
            </w:pPr>
            <w:r w:rsidRPr="00DF2AD3">
              <w:rPr>
                <w:rFonts w:ascii="Arial" w:hAnsi="Arial" w:cs="Arial"/>
                <w:sz w:val="16"/>
              </w:rPr>
              <w:t>je ein weite</w:t>
            </w:r>
            <w:r w:rsidR="00C63211">
              <w:rPr>
                <w:rFonts w:ascii="Arial" w:hAnsi="Arial" w:cs="Arial"/>
                <w:sz w:val="16"/>
              </w:rPr>
              <w:t>rer großer Leistungs</w:t>
            </w:r>
            <w:r w:rsidRPr="00DF2AD3">
              <w:rPr>
                <w:rFonts w:ascii="Arial" w:hAnsi="Arial" w:cs="Arial"/>
                <w:sz w:val="16"/>
              </w:rPr>
              <w:t>nachweis</w:t>
            </w:r>
          </w:p>
        </w:tc>
        <w:tc>
          <w:tcPr>
            <w:tcW w:w="3829" w:type="dxa"/>
          </w:tcPr>
          <w:p w:rsidR="00DF2AD3" w:rsidRPr="00DF2AD3" w:rsidRDefault="00DF2AD3" w:rsidP="00C63211">
            <w:pPr>
              <w:pStyle w:val="TableParagraph"/>
              <w:spacing w:line="273" w:lineRule="exact"/>
              <w:jc w:val="left"/>
              <w:rPr>
                <w:rFonts w:ascii="Arial" w:hAnsi="Arial" w:cs="Arial"/>
                <w:sz w:val="16"/>
              </w:rPr>
            </w:pPr>
            <w:r w:rsidRPr="00DF2AD3">
              <w:rPr>
                <w:rFonts w:ascii="Arial" w:hAnsi="Arial" w:cs="Arial"/>
                <w:sz w:val="16"/>
              </w:rPr>
              <w:t>j</w:t>
            </w:r>
            <w:r w:rsidR="00C63211">
              <w:rPr>
                <w:rFonts w:ascii="Arial" w:hAnsi="Arial" w:cs="Arial"/>
                <w:sz w:val="16"/>
              </w:rPr>
              <w:t>e ein weiterer großer Leistungs</w:t>
            </w:r>
            <w:r w:rsidRPr="00DF2AD3">
              <w:rPr>
                <w:rFonts w:ascii="Arial" w:hAnsi="Arial" w:cs="Arial"/>
                <w:sz w:val="16"/>
              </w:rPr>
              <w:t>nachweis</w:t>
            </w:r>
          </w:p>
        </w:tc>
      </w:tr>
      <w:tr w:rsidR="00DF2AD3" w:rsidRPr="00DF2AD3" w:rsidTr="00DF2AD3">
        <w:trPr>
          <w:trHeight w:val="395"/>
        </w:trPr>
        <w:tc>
          <w:tcPr>
            <w:tcW w:w="7906" w:type="dxa"/>
            <w:gridSpan w:val="2"/>
          </w:tcPr>
          <w:p w:rsidR="00DF2AD3" w:rsidRPr="00DF2AD3" w:rsidRDefault="00DF2AD3" w:rsidP="00C63211">
            <w:pPr>
              <w:pStyle w:val="TableParagraph"/>
              <w:spacing w:line="241" w:lineRule="exact"/>
              <w:jc w:val="left"/>
              <w:rPr>
                <w:rFonts w:ascii="Arial" w:hAnsi="Arial" w:cs="Arial"/>
                <w:b/>
                <w:sz w:val="16"/>
              </w:rPr>
            </w:pPr>
            <w:r w:rsidRPr="00DF2AD3">
              <w:rPr>
                <w:rFonts w:ascii="Arial" w:hAnsi="Arial" w:cs="Arial"/>
                <w:b/>
                <w:spacing w:val="-3"/>
                <w:sz w:val="16"/>
              </w:rPr>
              <w:t>Wissenschaftspropädeutisches</w:t>
            </w:r>
            <w:r w:rsidRPr="00DF2AD3">
              <w:rPr>
                <w:rFonts w:ascii="Arial" w:hAnsi="Arial" w:cs="Arial"/>
                <w:b/>
                <w:spacing w:val="55"/>
                <w:sz w:val="16"/>
              </w:rPr>
              <w:t xml:space="preserve"> </w:t>
            </w:r>
            <w:r w:rsidRPr="00DF2AD3">
              <w:rPr>
                <w:rFonts w:ascii="Arial" w:hAnsi="Arial" w:cs="Arial"/>
                <w:b/>
                <w:spacing w:val="-4"/>
                <w:sz w:val="16"/>
              </w:rPr>
              <w:t>Seminar</w:t>
            </w:r>
          </w:p>
        </w:tc>
      </w:tr>
      <w:tr w:rsidR="00DF2AD3" w:rsidRPr="00DF2AD3" w:rsidTr="00C63211">
        <w:trPr>
          <w:trHeight w:val="481"/>
        </w:trPr>
        <w:tc>
          <w:tcPr>
            <w:tcW w:w="4077" w:type="dxa"/>
          </w:tcPr>
          <w:p w:rsidR="00DF2AD3" w:rsidRPr="00DF2AD3" w:rsidRDefault="00DF2AD3" w:rsidP="00C63211">
            <w:pPr>
              <w:pStyle w:val="TableParagraph"/>
              <w:spacing w:line="273" w:lineRule="exact"/>
              <w:jc w:val="left"/>
              <w:rPr>
                <w:rFonts w:ascii="Arial" w:hAnsi="Arial" w:cs="Arial"/>
                <w:sz w:val="16"/>
              </w:rPr>
            </w:pPr>
            <w:r w:rsidRPr="00DF2AD3">
              <w:rPr>
                <w:rFonts w:ascii="Arial" w:hAnsi="Arial" w:cs="Arial"/>
                <w:sz w:val="16"/>
              </w:rPr>
              <w:t>Seminararbeit mit Präsentation</w:t>
            </w:r>
            <w:r w:rsidR="00C63211">
              <w:rPr>
                <w:rFonts w:ascii="Arial" w:hAnsi="Arial" w:cs="Arial"/>
                <w:sz w:val="16"/>
              </w:rPr>
              <w:t xml:space="preserve"> </w:t>
            </w:r>
            <w:r w:rsidRPr="00DF2AD3">
              <w:rPr>
                <w:rFonts w:ascii="Arial" w:hAnsi="Arial" w:cs="Arial"/>
                <w:sz w:val="16"/>
              </w:rPr>
              <w:t>und Prüfungsgespräch</w:t>
            </w:r>
          </w:p>
        </w:tc>
        <w:tc>
          <w:tcPr>
            <w:tcW w:w="3829" w:type="dxa"/>
          </w:tcPr>
          <w:p w:rsidR="00DF2AD3" w:rsidRPr="00DF2AD3" w:rsidRDefault="00DF2AD3" w:rsidP="00C63211">
            <w:pPr>
              <w:pStyle w:val="TableParagraph"/>
              <w:spacing w:line="273" w:lineRule="exact"/>
              <w:jc w:val="left"/>
              <w:rPr>
                <w:rFonts w:ascii="Arial" w:hAnsi="Arial" w:cs="Arial"/>
                <w:sz w:val="16"/>
              </w:rPr>
            </w:pPr>
            <w:r w:rsidRPr="00DF2AD3">
              <w:rPr>
                <w:rFonts w:ascii="Arial" w:hAnsi="Arial" w:cs="Arial"/>
                <w:sz w:val="16"/>
              </w:rPr>
              <w:t>--</w:t>
            </w:r>
          </w:p>
        </w:tc>
      </w:tr>
      <w:tr w:rsidR="00DF2AD3" w:rsidRPr="00DF2AD3" w:rsidTr="00DF2AD3">
        <w:trPr>
          <w:trHeight w:val="396"/>
        </w:trPr>
        <w:tc>
          <w:tcPr>
            <w:tcW w:w="7906" w:type="dxa"/>
            <w:gridSpan w:val="2"/>
          </w:tcPr>
          <w:p w:rsidR="00DF2AD3" w:rsidRPr="00DF2AD3" w:rsidRDefault="00DF2AD3" w:rsidP="00C63211">
            <w:pPr>
              <w:pStyle w:val="TableParagraph"/>
              <w:spacing w:line="241" w:lineRule="exact"/>
              <w:jc w:val="left"/>
              <w:rPr>
                <w:rFonts w:ascii="Arial" w:hAnsi="Arial" w:cs="Arial"/>
                <w:b/>
                <w:sz w:val="16"/>
              </w:rPr>
            </w:pPr>
            <w:r w:rsidRPr="00DF2AD3">
              <w:rPr>
                <w:rFonts w:ascii="Arial" w:hAnsi="Arial" w:cs="Arial"/>
                <w:b/>
                <w:sz w:val="16"/>
              </w:rPr>
              <w:t>Projekt-Seminar zur Studien- und Berufsorientierung</w:t>
            </w:r>
          </w:p>
        </w:tc>
      </w:tr>
      <w:tr w:rsidR="00DF2AD3" w:rsidTr="00D6673D">
        <w:trPr>
          <w:trHeight w:val="793"/>
        </w:trPr>
        <w:tc>
          <w:tcPr>
            <w:tcW w:w="4077" w:type="dxa"/>
          </w:tcPr>
          <w:p w:rsidR="00DF2AD3" w:rsidRPr="00D6673D" w:rsidRDefault="00DF2AD3" w:rsidP="00C63211">
            <w:pPr>
              <w:pStyle w:val="TableParagraph"/>
              <w:spacing w:line="273" w:lineRule="exact"/>
              <w:jc w:val="left"/>
              <w:rPr>
                <w:rFonts w:ascii="Arial" w:hAnsi="Arial" w:cs="Arial"/>
                <w:sz w:val="16"/>
                <w:szCs w:val="16"/>
              </w:rPr>
            </w:pPr>
            <w:r w:rsidRPr="00D6673D">
              <w:rPr>
                <w:rFonts w:ascii="Arial" w:hAnsi="Arial" w:cs="Arial"/>
                <w:sz w:val="16"/>
                <w:szCs w:val="16"/>
              </w:rPr>
              <w:t>in den Kurshalbjahren 11/1 bis</w:t>
            </w:r>
            <w:r w:rsidR="00C63211">
              <w:rPr>
                <w:rFonts w:ascii="Arial" w:hAnsi="Arial" w:cs="Arial"/>
                <w:sz w:val="16"/>
                <w:szCs w:val="16"/>
              </w:rPr>
              <w:t xml:space="preserve"> </w:t>
            </w:r>
            <w:r w:rsidRPr="00D6673D">
              <w:rPr>
                <w:rFonts w:ascii="Arial" w:hAnsi="Arial" w:cs="Arial"/>
                <w:sz w:val="16"/>
                <w:szCs w:val="16"/>
              </w:rPr>
              <w:t>12/1 insgesamt mind. zwei kleine Leistungsnachweise</w:t>
            </w:r>
          </w:p>
        </w:tc>
        <w:tc>
          <w:tcPr>
            <w:tcW w:w="3829" w:type="dxa"/>
          </w:tcPr>
          <w:p w:rsidR="00DF2AD3" w:rsidRPr="00D6673D" w:rsidRDefault="00DF2AD3" w:rsidP="00C63211">
            <w:pPr>
              <w:pStyle w:val="TableParagraph"/>
              <w:spacing w:line="273" w:lineRule="exact"/>
              <w:jc w:val="left"/>
              <w:rPr>
                <w:rFonts w:ascii="Arial" w:hAnsi="Arial" w:cs="Arial"/>
                <w:sz w:val="16"/>
                <w:szCs w:val="16"/>
              </w:rPr>
            </w:pPr>
            <w:r w:rsidRPr="00D6673D">
              <w:rPr>
                <w:rFonts w:ascii="Arial" w:hAnsi="Arial" w:cs="Arial"/>
                <w:sz w:val="16"/>
                <w:szCs w:val="16"/>
              </w:rPr>
              <w:t>--</w:t>
            </w:r>
          </w:p>
        </w:tc>
      </w:tr>
    </w:tbl>
    <w:p w:rsidR="007E0861" w:rsidRDefault="007E0861" w:rsidP="007E0861">
      <w:pPr>
        <w:pStyle w:val="LTAntwortRessortText"/>
      </w:pPr>
      <w:r>
        <w:t xml:space="preserve">Am </w:t>
      </w:r>
      <w:r w:rsidRPr="00D6673D">
        <w:rPr>
          <w:u w:val="single"/>
        </w:rPr>
        <w:t>Gymnasium</w:t>
      </w:r>
      <w:r>
        <w:t xml:space="preserve"> gelten für die Abiturprüfung 2021 (Q12) die regulären Rahmenvorgaben,</w:t>
      </w:r>
      <w:r w:rsidR="00D15F26">
        <w:t xml:space="preserve"> </w:t>
      </w:r>
      <w:r>
        <w:t>die folgende Prüfungen umfassen:</w:t>
      </w:r>
    </w:p>
    <w:p w:rsidR="007E0861" w:rsidRDefault="007E0861" w:rsidP="007E0861">
      <w:pPr>
        <w:pStyle w:val="LTAntwortRessortText"/>
      </w:pPr>
    </w:p>
    <w:tbl>
      <w:tblPr>
        <w:tblStyle w:val="TableNormal"/>
        <w:tblW w:w="7926"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1"/>
        <w:gridCol w:w="5255"/>
      </w:tblGrid>
      <w:tr w:rsidR="00D6673D" w:rsidRPr="00D6673D" w:rsidTr="00C63211">
        <w:trPr>
          <w:trHeight w:val="412"/>
        </w:trPr>
        <w:tc>
          <w:tcPr>
            <w:tcW w:w="2671" w:type="dxa"/>
            <w:shd w:val="clear" w:color="auto" w:fill="BEBEBE"/>
          </w:tcPr>
          <w:p w:rsidR="00D6673D" w:rsidRPr="00D6673D" w:rsidRDefault="00D6673D" w:rsidP="00730353">
            <w:pPr>
              <w:pStyle w:val="TableParagraph"/>
              <w:rPr>
                <w:rFonts w:ascii="Arial" w:hAnsi="Arial" w:cs="Arial"/>
                <w:b/>
                <w:sz w:val="16"/>
              </w:rPr>
            </w:pPr>
            <w:r w:rsidRPr="00D6673D">
              <w:rPr>
                <w:rFonts w:ascii="Arial" w:hAnsi="Arial" w:cs="Arial"/>
                <w:b/>
                <w:sz w:val="16"/>
              </w:rPr>
              <w:lastRenderedPageBreak/>
              <w:t>Prüfungen</w:t>
            </w:r>
          </w:p>
        </w:tc>
        <w:tc>
          <w:tcPr>
            <w:tcW w:w="5255" w:type="dxa"/>
            <w:shd w:val="clear" w:color="auto" w:fill="BEBEBE"/>
          </w:tcPr>
          <w:p w:rsidR="00D6673D" w:rsidRPr="00D6673D" w:rsidRDefault="00D6673D" w:rsidP="00C63211">
            <w:pPr>
              <w:pStyle w:val="TableParagraph"/>
              <w:ind w:left="118"/>
              <w:jc w:val="left"/>
              <w:rPr>
                <w:rFonts w:ascii="Arial" w:hAnsi="Arial" w:cs="Arial"/>
                <w:b/>
                <w:sz w:val="16"/>
              </w:rPr>
            </w:pPr>
            <w:r w:rsidRPr="00D6673D">
              <w:rPr>
                <w:rFonts w:ascii="Arial" w:hAnsi="Arial" w:cs="Arial"/>
                <w:b/>
                <w:sz w:val="16"/>
              </w:rPr>
              <w:t>Fächer</w:t>
            </w:r>
          </w:p>
        </w:tc>
      </w:tr>
      <w:tr w:rsidR="00D6673D" w:rsidRPr="00D6673D" w:rsidTr="00C63211">
        <w:trPr>
          <w:trHeight w:val="396"/>
        </w:trPr>
        <w:tc>
          <w:tcPr>
            <w:tcW w:w="2671" w:type="dxa"/>
          </w:tcPr>
          <w:p w:rsidR="00D6673D" w:rsidRPr="00D6673D" w:rsidRDefault="00D6673D" w:rsidP="00C63211">
            <w:pPr>
              <w:pStyle w:val="TableParagraph"/>
              <w:spacing w:line="273" w:lineRule="exact"/>
              <w:jc w:val="left"/>
              <w:rPr>
                <w:rFonts w:ascii="Arial" w:hAnsi="Arial" w:cs="Arial"/>
                <w:sz w:val="16"/>
              </w:rPr>
            </w:pPr>
            <w:r w:rsidRPr="00D6673D">
              <w:rPr>
                <w:rFonts w:ascii="Arial" w:hAnsi="Arial" w:cs="Arial"/>
                <w:sz w:val="16"/>
              </w:rPr>
              <w:t>1. Fach (schriftlich)</w:t>
            </w:r>
          </w:p>
        </w:tc>
        <w:tc>
          <w:tcPr>
            <w:tcW w:w="5255" w:type="dxa"/>
          </w:tcPr>
          <w:p w:rsidR="00D6673D" w:rsidRPr="00D6673D" w:rsidRDefault="00D6673D" w:rsidP="00C63211">
            <w:pPr>
              <w:pStyle w:val="TableParagraph"/>
              <w:spacing w:line="273" w:lineRule="exact"/>
              <w:ind w:left="118"/>
              <w:jc w:val="left"/>
              <w:rPr>
                <w:rFonts w:ascii="Arial" w:hAnsi="Arial" w:cs="Arial"/>
                <w:sz w:val="16"/>
              </w:rPr>
            </w:pPr>
            <w:r w:rsidRPr="00D6673D">
              <w:rPr>
                <w:rFonts w:ascii="Arial" w:hAnsi="Arial" w:cs="Arial"/>
                <w:sz w:val="16"/>
              </w:rPr>
              <w:t>Deutsch</w:t>
            </w:r>
          </w:p>
        </w:tc>
      </w:tr>
      <w:tr w:rsidR="00D6673D" w:rsidRPr="00D6673D" w:rsidTr="00C63211">
        <w:trPr>
          <w:trHeight w:val="412"/>
        </w:trPr>
        <w:tc>
          <w:tcPr>
            <w:tcW w:w="2671" w:type="dxa"/>
          </w:tcPr>
          <w:p w:rsidR="00D6673D" w:rsidRPr="00D6673D" w:rsidRDefault="00D6673D" w:rsidP="00C63211">
            <w:pPr>
              <w:pStyle w:val="TableParagraph"/>
              <w:spacing w:line="273" w:lineRule="exact"/>
              <w:jc w:val="left"/>
              <w:rPr>
                <w:rFonts w:ascii="Arial" w:hAnsi="Arial" w:cs="Arial"/>
                <w:sz w:val="16"/>
              </w:rPr>
            </w:pPr>
            <w:r w:rsidRPr="00D6673D">
              <w:rPr>
                <w:rFonts w:ascii="Arial" w:hAnsi="Arial" w:cs="Arial"/>
                <w:sz w:val="16"/>
              </w:rPr>
              <w:t>2. Fach (schriftlich)</w:t>
            </w:r>
          </w:p>
        </w:tc>
        <w:tc>
          <w:tcPr>
            <w:tcW w:w="5255" w:type="dxa"/>
          </w:tcPr>
          <w:p w:rsidR="00D6673D" w:rsidRPr="00D6673D" w:rsidRDefault="00D6673D" w:rsidP="00C63211">
            <w:pPr>
              <w:pStyle w:val="TableParagraph"/>
              <w:spacing w:line="273" w:lineRule="exact"/>
              <w:ind w:left="118"/>
              <w:jc w:val="left"/>
              <w:rPr>
                <w:rFonts w:ascii="Arial" w:hAnsi="Arial" w:cs="Arial"/>
                <w:sz w:val="16"/>
              </w:rPr>
            </w:pPr>
            <w:r w:rsidRPr="00D6673D">
              <w:rPr>
                <w:rFonts w:ascii="Arial" w:hAnsi="Arial" w:cs="Arial"/>
                <w:sz w:val="16"/>
              </w:rPr>
              <w:t>Mathematik</w:t>
            </w:r>
          </w:p>
        </w:tc>
      </w:tr>
      <w:tr w:rsidR="00D6673D" w:rsidRPr="00D6673D" w:rsidTr="00C63211">
        <w:trPr>
          <w:trHeight w:val="396"/>
        </w:trPr>
        <w:tc>
          <w:tcPr>
            <w:tcW w:w="2671" w:type="dxa"/>
          </w:tcPr>
          <w:p w:rsidR="00D6673D" w:rsidRPr="00D6673D" w:rsidRDefault="00D6673D" w:rsidP="00C63211">
            <w:pPr>
              <w:pStyle w:val="TableParagraph"/>
              <w:spacing w:line="273" w:lineRule="exact"/>
              <w:jc w:val="left"/>
              <w:rPr>
                <w:rFonts w:ascii="Arial" w:hAnsi="Arial" w:cs="Arial"/>
                <w:sz w:val="16"/>
              </w:rPr>
            </w:pPr>
            <w:r w:rsidRPr="00D6673D">
              <w:rPr>
                <w:rFonts w:ascii="Arial" w:hAnsi="Arial" w:cs="Arial"/>
                <w:sz w:val="16"/>
              </w:rPr>
              <w:t>3. Fach (schriftlich)</w:t>
            </w:r>
          </w:p>
        </w:tc>
        <w:tc>
          <w:tcPr>
            <w:tcW w:w="5255" w:type="dxa"/>
            <w:vMerge w:val="restart"/>
          </w:tcPr>
          <w:p w:rsidR="00D6673D" w:rsidRPr="00D6673D" w:rsidRDefault="00D6673D" w:rsidP="00C63211">
            <w:pPr>
              <w:pStyle w:val="TableParagraph"/>
              <w:spacing w:line="355" w:lineRule="auto"/>
              <w:ind w:left="118"/>
              <w:jc w:val="left"/>
              <w:rPr>
                <w:rFonts w:ascii="Arial" w:hAnsi="Arial" w:cs="Arial"/>
                <w:sz w:val="16"/>
              </w:rPr>
            </w:pPr>
            <w:r w:rsidRPr="00D6673D">
              <w:rPr>
                <w:rFonts w:ascii="Arial" w:hAnsi="Arial" w:cs="Arial"/>
                <w:sz w:val="16"/>
              </w:rPr>
              <w:t>darunter mind. eine fortgeführte Fremdsprache und genau ein Fach des gesellschaftswissenschaftlichen Aufgabenfelds</w:t>
            </w:r>
          </w:p>
        </w:tc>
      </w:tr>
      <w:tr w:rsidR="00D6673D" w:rsidRPr="00D6673D" w:rsidTr="00C63211">
        <w:trPr>
          <w:trHeight w:val="412"/>
        </w:trPr>
        <w:tc>
          <w:tcPr>
            <w:tcW w:w="2671" w:type="dxa"/>
          </w:tcPr>
          <w:p w:rsidR="00D6673D" w:rsidRPr="00D6673D" w:rsidRDefault="00D6673D" w:rsidP="00C63211">
            <w:pPr>
              <w:pStyle w:val="TableParagraph"/>
              <w:spacing w:line="273" w:lineRule="exact"/>
              <w:jc w:val="left"/>
              <w:rPr>
                <w:rFonts w:ascii="Arial" w:hAnsi="Arial" w:cs="Arial"/>
                <w:sz w:val="16"/>
              </w:rPr>
            </w:pPr>
            <w:r w:rsidRPr="00D6673D">
              <w:rPr>
                <w:rFonts w:ascii="Arial" w:hAnsi="Arial" w:cs="Arial"/>
                <w:sz w:val="16"/>
              </w:rPr>
              <w:t>4. Fach (mündlich)</w:t>
            </w:r>
          </w:p>
        </w:tc>
        <w:tc>
          <w:tcPr>
            <w:tcW w:w="5255" w:type="dxa"/>
            <w:vMerge/>
            <w:tcBorders>
              <w:top w:val="nil"/>
            </w:tcBorders>
          </w:tcPr>
          <w:p w:rsidR="00D6673D" w:rsidRPr="00D6673D" w:rsidRDefault="00D6673D" w:rsidP="00730353">
            <w:pPr>
              <w:rPr>
                <w:rFonts w:cs="Arial"/>
                <w:sz w:val="2"/>
                <w:szCs w:val="2"/>
              </w:rPr>
            </w:pPr>
          </w:p>
        </w:tc>
      </w:tr>
      <w:tr w:rsidR="00D6673D" w:rsidRPr="00D6673D" w:rsidTr="00C63211">
        <w:trPr>
          <w:trHeight w:val="396"/>
        </w:trPr>
        <w:tc>
          <w:tcPr>
            <w:tcW w:w="2671" w:type="dxa"/>
          </w:tcPr>
          <w:p w:rsidR="00D6673D" w:rsidRPr="00D6673D" w:rsidRDefault="00D6673D" w:rsidP="00C63211">
            <w:pPr>
              <w:pStyle w:val="TableParagraph"/>
              <w:spacing w:line="273" w:lineRule="exact"/>
              <w:jc w:val="left"/>
              <w:rPr>
                <w:rFonts w:ascii="Arial" w:hAnsi="Arial" w:cs="Arial"/>
                <w:sz w:val="16"/>
              </w:rPr>
            </w:pPr>
            <w:r w:rsidRPr="00D6673D">
              <w:rPr>
                <w:rFonts w:ascii="Arial" w:hAnsi="Arial" w:cs="Arial"/>
                <w:sz w:val="16"/>
              </w:rPr>
              <w:t>5. Fach (mündlich)</w:t>
            </w:r>
          </w:p>
        </w:tc>
        <w:tc>
          <w:tcPr>
            <w:tcW w:w="5255" w:type="dxa"/>
            <w:vMerge/>
            <w:tcBorders>
              <w:top w:val="nil"/>
            </w:tcBorders>
          </w:tcPr>
          <w:p w:rsidR="00D6673D" w:rsidRPr="00D6673D" w:rsidRDefault="00D6673D" w:rsidP="00730353">
            <w:pPr>
              <w:rPr>
                <w:rFonts w:cs="Arial"/>
                <w:sz w:val="2"/>
                <w:szCs w:val="2"/>
              </w:rPr>
            </w:pPr>
          </w:p>
        </w:tc>
      </w:tr>
    </w:tbl>
    <w:p w:rsidR="007E0861" w:rsidRDefault="007E0861" w:rsidP="007E0861">
      <w:pPr>
        <w:pStyle w:val="LTAntwortRessortText"/>
      </w:pPr>
      <w:r>
        <w:t>In den schriftlichen Abiturprüfungsfächern wird auf Antrag der Schülerin</w:t>
      </w:r>
      <w:r w:rsidR="00D15F26">
        <w:t xml:space="preserve"> </w:t>
      </w:r>
      <w:r>
        <w:t>oder des Schülers oder auf Anordnung des Prüfungsausschusses eine</w:t>
      </w:r>
      <w:r w:rsidR="00D15F26">
        <w:t xml:space="preserve"> </w:t>
      </w:r>
      <w:r>
        <w:t>mündliche Zusatzprüfung durchgeführt.</w:t>
      </w:r>
    </w:p>
    <w:p w:rsidR="007E0861" w:rsidRDefault="007E0861" w:rsidP="007E0861">
      <w:pPr>
        <w:pStyle w:val="LTAntwortRessortText"/>
      </w:pPr>
      <w:r>
        <w:t xml:space="preserve">An </w:t>
      </w:r>
      <w:r w:rsidRPr="00D6673D">
        <w:rPr>
          <w:u w:val="single"/>
        </w:rPr>
        <w:t>Fachoberschulen (FOS) und Berufsoberschulen (BOS)</w:t>
      </w:r>
      <w:r>
        <w:t xml:space="preserve"> werden aktuell,</w:t>
      </w:r>
      <w:r w:rsidR="00D15F26">
        <w:t xml:space="preserve"> </w:t>
      </w:r>
      <w:r>
        <w:t>d.</w:t>
      </w:r>
      <w:r w:rsidR="00C63211">
        <w:t> </w:t>
      </w:r>
      <w:r>
        <w:t>h. im Schuljahr 2020/2021, für den Fachabitur- (12) bzw. Abiturjahrgang</w:t>
      </w:r>
      <w:r w:rsidR="00D15F26">
        <w:t xml:space="preserve"> </w:t>
      </w:r>
      <w:r>
        <w:t>2021 (13) folgende Leistungsnachweise gefordert:</w:t>
      </w:r>
    </w:p>
    <w:p w:rsidR="00C63211" w:rsidRDefault="00C63211" w:rsidP="007E0861">
      <w:pPr>
        <w:pStyle w:val="LTAntwortRessortText"/>
      </w:pPr>
    </w:p>
    <w:tbl>
      <w:tblPr>
        <w:tblStyle w:val="TableNormal"/>
        <w:tblW w:w="7926"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97"/>
        <w:gridCol w:w="3829"/>
      </w:tblGrid>
      <w:tr w:rsidR="00D6673D" w:rsidRPr="00D6673D" w:rsidTr="00C63211">
        <w:trPr>
          <w:trHeight w:val="396"/>
        </w:trPr>
        <w:tc>
          <w:tcPr>
            <w:tcW w:w="4097" w:type="dxa"/>
            <w:shd w:val="clear" w:color="auto" w:fill="D9D9D9"/>
          </w:tcPr>
          <w:p w:rsidR="00D6673D" w:rsidRPr="00D6673D" w:rsidRDefault="00D6673D" w:rsidP="00C63211">
            <w:pPr>
              <w:pStyle w:val="TableParagraph"/>
              <w:jc w:val="left"/>
              <w:rPr>
                <w:rFonts w:ascii="Arial" w:hAnsi="Arial" w:cs="Arial"/>
                <w:b/>
                <w:sz w:val="16"/>
              </w:rPr>
            </w:pPr>
            <w:r w:rsidRPr="00D6673D">
              <w:rPr>
                <w:rFonts w:ascii="Arial" w:hAnsi="Arial" w:cs="Arial"/>
                <w:b/>
                <w:sz w:val="16"/>
              </w:rPr>
              <w:t>12/1 bzw. 13/1</w:t>
            </w:r>
          </w:p>
        </w:tc>
        <w:tc>
          <w:tcPr>
            <w:tcW w:w="3829" w:type="dxa"/>
            <w:shd w:val="clear" w:color="auto" w:fill="D9D9D9"/>
          </w:tcPr>
          <w:p w:rsidR="00D6673D" w:rsidRPr="00D6673D" w:rsidRDefault="00D6673D" w:rsidP="00C63211">
            <w:pPr>
              <w:pStyle w:val="TableParagraph"/>
              <w:jc w:val="left"/>
              <w:rPr>
                <w:rFonts w:ascii="Arial" w:hAnsi="Arial" w:cs="Arial"/>
                <w:b/>
                <w:sz w:val="16"/>
              </w:rPr>
            </w:pPr>
            <w:r w:rsidRPr="00D6673D">
              <w:rPr>
                <w:rFonts w:ascii="Arial" w:hAnsi="Arial" w:cs="Arial"/>
                <w:b/>
                <w:sz w:val="16"/>
              </w:rPr>
              <w:t>12/2 bzw. 13/2</w:t>
            </w:r>
          </w:p>
        </w:tc>
      </w:tr>
      <w:tr w:rsidR="00D6673D" w:rsidRPr="00D6673D" w:rsidTr="00C63211">
        <w:trPr>
          <w:trHeight w:val="417"/>
        </w:trPr>
        <w:tc>
          <w:tcPr>
            <w:tcW w:w="7926" w:type="dxa"/>
            <w:gridSpan w:val="2"/>
          </w:tcPr>
          <w:p w:rsidR="00D6673D" w:rsidRPr="00D6673D" w:rsidRDefault="00D6673D" w:rsidP="00C63211">
            <w:pPr>
              <w:pStyle w:val="TableParagraph"/>
              <w:jc w:val="left"/>
              <w:rPr>
                <w:rFonts w:ascii="Arial" w:hAnsi="Arial" w:cs="Arial"/>
                <w:b/>
                <w:sz w:val="16"/>
              </w:rPr>
            </w:pPr>
            <w:r w:rsidRPr="00D6673D">
              <w:rPr>
                <w:rFonts w:ascii="Arial" w:hAnsi="Arial" w:cs="Arial"/>
                <w:b/>
                <w:sz w:val="16"/>
              </w:rPr>
              <w:t xml:space="preserve">Deutsch, </w:t>
            </w:r>
            <w:r w:rsidRPr="00D6673D">
              <w:rPr>
                <w:rFonts w:ascii="Arial" w:hAnsi="Arial" w:cs="Arial"/>
                <w:b/>
                <w:spacing w:val="-3"/>
                <w:sz w:val="16"/>
              </w:rPr>
              <w:t>Englisch, Mathematik,</w:t>
            </w:r>
            <w:r w:rsidRPr="00D6673D">
              <w:rPr>
                <w:rFonts w:ascii="Arial" w:hAnsi="Arial" w:cs="Arial"/>
                <w:b/>
                <w:spacing w:val="52"/>
                <w:sz w:val="16"/>
              </w:rPr>
              <w:t xml:space="preserve"> </w:t>
            </w:r>
            <w:r w:rsidRPr="00D6673D">
              <w:rPr>
                <w:rFonts w:ascii="Arial" w:hAnsi="Arial" w:cs="Arial"/>
                <w:b/>
                <w:sz w:val="16"/>
              </w:rPr>
              <w:t>Profilfach</w:t>
            </w:r>
          </w:p>
        </w:tc>
      </w:tr>
    </w:tbl>
    <w:tbl>
      <w:tblPr>
        <w:tblStyle w:val="TableNormal2"/>
        <w:tblW w:w="7906"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77"/>
        <w:gridCol w:w="3829"/>
      </w:tblGrid>
      <w:tr w:rsidR="00D6673D" w:rsidRPr="00D6673D" w:rsidTr="00C63211">
        <w:trPr>
          <w:trHeight w:val="832"/>
        </w:trPr>
        <w:tc>
          <w:tcPr>
            <w:tcW w:w="4077" w:type="dxa"/>
          </w:tcPr>
          <w:p w:rsidR="00D6673D" w:rsidRPr="00D6673D" w:rsidRDefault="00D6673D" w:rsidP="00C63211">
            <w:pPr>
              <w:pStyle w:val="TableParagraph"/>
              <w:jc w:val="left"/>
              <w:rPr>
                <w:rFonts w:ascii="Arial" w:hAnsi="Arial" w:cs="Arial"/>
                <w:sz w:val="16"/>
              </w:rPr>
            </w:pPr>
            <w:r w:rsidRPr="00D6673D">
              <w:rPr>
                <w:rFonts w:ascii="Arial" w:hAnsi="Arial" w:cs="Arial"/>
                <w:sz w:val="16"/>
              </w:rPr>
              <w:t>je eine Schulaufgabe sowie mind.</w:t>
            </w:r>
          </w:p>
          <w:p w:rsidR="00D6673D" w:rsidRPr="00D6673D" w:rsidRDefault="00C63211" w:rsidP="00C63211">
            <w:pPr>
              <w:pStyle w:val="TableParagraph"/>
              <w:spacing w:before="6" w:line="410" w:lineRule="atLeast"/>
              <w:jc w:val="left"/>
              <w:rPr>
                <w:rFonts w:ascii="Arial" w:hAnsi="Arial" w:cs="Arial"/>
                <w:sz w:val="16"/>
              </w:rPr>
            </w:pPr>
            <w:r>
              <w:rPr>
                <w:rFonts w:ascii="Arial" w:hAnsi="Arial" w:cs="Arial"/>
                <w:sz w:val="16"/>
              </w:rPr>
              <w:t>zwei sonstige Leistungsnach</w:t>
            </w:r>
            <w:r w:rsidR="00D6673D" w:rsidRPr="00D6673D">
              <w:rPr>
                <w:rFonts w:ascii="Arial" w:hAnsi="Arial" w:cs="Arial"/>
                <w:sz w:val="16"/>
              </w:rPr>
              <w:t>weise</w:t>
            </w:r>
          </w:p>
        </w:tc>
        <w:tc>
          <w:tcPr>
            <w:tcW w:w="3829" w:type="dxa"/>
          </w:tcPr>
          <w:p w:rsidR="00D6673D" w:rsidRPr="00D6673D" w:rsidRDefault="00D6673D" w:rsidP="00C63211">
            <w:pPr>
              <w:pStyle w:val="TableParagraph"/>
              <w:jc w:val="left"/>
              <w:rPr>
                <w:rFonts w:ascii="Arial" w:hAnsi="Arial" w:cs="Arial"/>
                <w:sz w:val="16"/>
              </w:rPr>
            </w:pPr>
            <w:r w:rsidRPr="00D6673D">
              <w:rPr>
                <w:rFonts w:ascii="Arial" w:hAnsi="Arial" w:cs="Arial"/>
                <w:sz w:val="16"/>
              </w:rPr>
              <w:t>je eine Schulaufgabe sowie mind.</w:t>
            </w:r>
          </w:p>
          <w:p w:rsidR="00D6673D" w:rsidRPr="00D6673D" w:rsidRDefault="00C63211" w:rsidP="00C63211">
            <w:pPr>
              <w:pStyle w:val="TableParagraph"/>
              <w:spacing w:before="6" w:line="410" w:lineRule="atLeast"/>
              <w:jc w:val="left"/>
              <w:rPr>
                <w:rFonts w:ascii="Arial" w:hAnsi="Arial" w:cs="Arial"/>
                <w:sz w:val="16"/>
              </w:rPr>
            </w:pPr>
            <w:r>
              <w:rPr>
                <w:rFonts w:ascii="Arial" w:hAnsi="Arial" w:cs="Arial"/>
                <w:sz w:val="16"/>
              </w:rPr>
              <w:t>zwei sonstige Leistungsnach</w:t>
            </w:r>
            <w:r w:rsidR="00D6673D" w:rsidRPr="00D6673D">
              <w:rPr>
                <w:rFonts w:ascii="Arial" w:hAnsi="Arial" w:cs="Arial"/>
                <w:sz w:val="16"/>
              </w:rPr>
              <w:t>weise</w:t>
            </w:r>
          </w:p>
        </w:tc>
      </w:tr>
      <w:tr w:rsidR="00D6673D" w:rsidRPr="00D6673D" w:rsidTr="00C63211">
        <w:trPr>
          <w:trHeight w:val="396"/>
        </w:trPr>
        <w:tc>
          <w:tcPr>
            <w:tcW w:w="7906" w:type="dxa"/>
            <w:gridSpan w:val="2"/>
          </w:tcPr>
          <w:p w:rsidR="00D6673D" w:rsidRPr="00D6673D" w:rsidRDefault="00D6673D" w:rsidP="00C63211">
            <w:pPr>
              <w:pStyle w:val="TableParagraph"/>
              <w:spacing w:line="241" w:lineRule="exact"/>
              <w:jc w:val="left"/>
              <w:rPr>
                <w:rFonts w:ascii="Arial" w:hAnsi="Arial" w:cs="Arial"/>
                <w:b/>
                <w:sz w:val="16"/>
              </w:rPr>
            </w:pPr>
            <w:r w:rsidRPr="00D6673D">
              <w:rPr>
                <w:rFonts w:ascii="Arial" w:hAnsi="Arial" w:cs="Arial"/>
                <w:b/>
                <w:sz w:val="16"/>
              </w:rPr>
              <w:t>weitere Fächer</w:t>
            </w:r>
          </w:p>
        </w:tc>
      </w:tr>
      <w:tr w:rsidR="00D6673D" w:rsidRPr="00D6673D" w:rsidTr="00C63211">
        <w:trPr>
          <w:trHeight w:val="1403"/>
        </w:trPr>
        <w:tc>
          <w:tcPr>
            <w:tcW w:w="4077" w:type="dxa"/>
          </w:tcPr>
          <w:p w:rsidR="00D6673D" w:rsidRPr="00D6673D" w:rsidRDefault="00D6673D" w:rsidP="00C63211">
            <w:pPr>
              <w:pStyle w:val="TableParagraph"/>
              <w:numPr>
                <w:ilvl w:val="0"/>
                <w:numId w:val="42"/>
              </w:numPr>
              <w:tabs>
                <w:tab w:val="left" w:pos="550"/>
                <w:tab w:val="left" w:pos="551"/>
              </w:tabs>
              <w:spacing w:line="362" w:lineRule="auto"/>
              <w:ind w:right="181"/>
              <w:jc w:val="left"/>
              <w:rPr>
                <w:rFonts w:ascii="Arial" w:hAnsi="Arial" w:cs="Arial"/>
                <w:sz w:val="16"/>
              </w:rPr>
            </w:pPr>
            <w:r w:rsidRPr="00D6673D">
              <w:rPr>
                <w:rFonts w:ascii="Arial" w:hAnsi="Arial" w:cs="Arial"/>
                <w:spacing w:val="-3"/>
                <w:sz w:val="16"/>
              </w:rPr>
              <w:t xml:space="preserve">Profilfach 2: </w:t>
            </w:r>
            <w:r w:rsidRPr="00D6673D">
              <w:rPr>
                <w:rFonts w:ascii="Arial" w:hAnsi="Arial" w:cs="Arial"/>
                <w:spacing w:val="-5"/>
                <w:sz w:val="16"/>
              </w:rPr>
              <w:t xml:space="preserve">eine </w:t>
            </w:r>
            <w:r w:rsidR="00C63211">
              <w:rPr>
                <w:rFonts w:ascii="Arial" w:hAnsi="Arial" w:cs="Arial"/>
                <w:spacing w:val="-3"/>
                <w:sz w:val="16"/>
              </w:rPr>
              <w:t>Schulauf</w:t>
            </w:r>
            <w:r w:rsidRPr="00D6673D">
              <w:rPr>
                <w:rFonts w:ascii="Arial" w:hAnsi="Arial" w:cs="Arial"/>
                <w:spacing w:val="-5"/>
                <w:sz w:val="16"/>
              </w:rPr>
              <w:t xml:space="preserve">gabe </w:t>
            </w:r>
            <w:r w:rsidR="00C63211">
              <w:rPr>
                <w:rFonts w:ascii="Arial" w:hAnsi="Arial" w:cs="Arial"/>
                <w:sz w:val="16"/>
              </w:rPr>
              <w:t>sowie mind. zwei sons</w:t>
            </w:r>
            <w:r w:rsidRPr="00D6673D">
              <w:rPr>
                <w:rFonts w:ascii="Arial" w:hAnsi="Arial" w:cs="Arial"/>
                <w:spacing w:val="-4"/>
                <w:sz w:val="16"/>
              </w:rPr>
              <w:t>tige</w:t>
            </w:r>
            <w:r w:rsidRPr="00D6673D">
              <w:rPr>
                <w:rFonts w:ascii="Arial" w:hAnsi="Arial" w:cs="Arial"/>
                <w:spacing w:val="9"/>
                <w:sz w:val="16"/>
              </w:rPr>
              <w:t xml:space="preserve"> </w:t>
            </w:r>
            <w:r w:rsidRPr="00D6673D">
              <w:rPr>
                <w:rFonts w:ascii="Arial" w:hAnsi="Arial" w:cs="Arial"/>
                <w:spacing w:val="-3"/>
                <w:sz w:val="16"/>
              </w:rPr>
              <w:t>Leistungsnachweise</w:t>
            </w:r>
          </w:p>
          <w:p w:rsidR="00D6673D" w:rsidRPr="00D6673D" w:rsidRDefault="00D6673D" w:rsidP="00C63211">
            <w:pPr>
              <w:pStyle w:val="TableParagraph"/>
              <w:numPr>
                <w:ilvl w:val="0"/>
                <w:numId w:val="42"/>
              </w:numPr>
              <w:tabs>
                <w:tab w:val="left" w:pos="550"/>
                <w:tab w:val="left" w:pos="551"/>
              </w:tabs>
              <w:spacing w:line="348" w:lineRule="auto"/>
              <w:ind w:right="586"/>
              <w:jc w:val="left"/>
              <w:rPr>
                <w:rFonts w:ascii="Arial" w:hAnsi="Arial" w:cs="Arial"/>
                <w:sz w:val="16"/>
              </w:rPr>
            </w:pPr>
            <w:r w:rsidRPr="00D6673D">
              <w:rPr>
                <w:rFonts w:ascii="Arial" w:hAnsi="Arial" w:cs="Arial"/>
                <w:spacing w:val="-3"/>
                <w:sz w:val="16"/>
              </w:rPr>
              <w:t xml:space="preserve">in </w:t>
            </w:r>
            <w:r w:rsidRPr="00D6673D">
              <w:rPr>
                <w:rFonts w:ascii="Arial" w:hAnsi="Arial" w:cs="Arial"/>
                <w:spacing w:val="-5"/>
                <w:sz w:val="16"/>
              </w:rPr>
              <w:t xml:space="preserve">allen anderen </w:t>
            </w:r>
            <w:r w:rsidRPr="00D6673D">
              <w:rPr>
                <w:rFonts w:ascii="Arial" w:hAnsi="Arial" w:cs="Arial"/>
                <w:sz w:val="16"/>
              </w:rPr>
              <w:t>Fächern mind. zwei sonstige</w:t>
            </w:r>
            <w:r w:rsidRPr="00D6673D">
              <w:rPr>
                <w:rFonts w:ascii="Arial" w:hAnsi="Arial" w:cs="Arial"/>
                <w:spacing w:val="-7"/>
                <w:sz w:val="16"/>
              </w:rPr>
              <w:t xml:space="preserve"> </w:t>
            </w:r>
            <w:r>
              <w:rPr>
                <w:rFonts w:ascii="Arial" w:hAnsi="Arial" w:cs="Arial"/>
                <w:spacing w:val="-3"/>
                <w:sz w:val="16"/>
              </w:rPr>
              <w:t>Leis</w:t>
            </w:r>
            <w:r w:rsidRPr="00D6673D">
              <w:rPr>
                <w:rFonts w:ascii="Arial" w:hAnsi="Arial" w:cs="Arial"/>
                <w:sz w:val="16"/>
              </w:rPr>
              <w:t>tungsnachweise</w:t>
            </w:r>
          </w:p>
        </w:tc>
        <w:tc>
          <w:tcPr>
            <w:tcW w:w="3829" w:type="dxa"/>
          </w:tcPr>
          <w:p w:rsidR="00D6673D" w:rsidRPr="00D6673D" w:rsidRDefault="00D6673D" w:rsidP="00C63211">
            <w:pPr>
              <w:pStyle w:val="TableParagraph"/>
              <w:numPr>
                <w:ilvl w:val="0"/>
                <w:numId w:val="42"/>
              </w:numPr>
              <w:spacing w:line="362" w:lineRule="auto"/>
              <w:jc w:val="left"/>
              <w:rPr>
                <w:rFonts w:ascii="Arial" w:hAnsi="Arial" w:cs="Arial"/>
                <w:sz w:val="16"/>
              </w:rPr>
            </w:pPr>
            <w:r w:rsidRPr="00D6673D">
              <w:rPr>
                <w:rFonts w:ascii="Arial" w:hAnsi="Arial" w:cs="Arial"/>
                <w:sz w:val="16"/>
              </w:rPr>
              <w:t>in allen anderen Fächern min</w:t>
            </w:r>
            <w:r w:rsidR="00C63211">
              <w:rPr>
                <w:rFonts w:ascii="Arial" w:hAnsi="Arial" w:cs="Arial"/>
                <w:sz w:val="16"/>
              </w:rPr>
              <w:t>d. zwei sonstige Leistungsnachweise (Schulaufgaben im Profil</w:t>
            </w:r>
            <w:r w:rsidRPr="00D6673D">
              <w:rPr>
                <w:rFonts w:ascii="Arial" w:hAnsi="Arial" w:cs="Arial"/>
                <w:sz w:val="16"/>
              </w:rPr>
              <w:t>fach 2 wurde gestrichen)</w:t>
            </w:r>
          </w:p>
        </w:tc>
      </w:tr>
      <w:tr w:rsidR="00D6673D" w:rsidRPr="00D6673D" w:rsidTr="00C63211">
        <w:trPr>
          <w:trHeight w:val="412"/>
        </w:trPr>
        <w:tc>
          <w:tcPr>
            <w:tcW w:w="7906" w:type="dxa"/>
            <w:gridSpan w:val="2"/>
          </w:tcPr>
          <w:p w:rsidR="00D6673D" w:rsidRPr="00D6673D" w:rsidRDefault="00D6673D" w:rsidP="00C63211">
            <w:pPr>
              <w:pStyle w:val="TableParagraph"/>
              <w:jc w:val="left"/>
              <w:rPr>
                <w:rFonts w:ascii="Arial" w:hAnsi="Arial" w:cs="Arial"/>
                <w:b/>
                <w:sz w:val="16"/>
              </w:rPr>
            </w:pPr>
            <w:r w:rsidRPr="00D6673D">
              <w:rPr>
                <w:rFonts w:ascii="Arial" w:hAnsi="Arial" w:cs="Arial"/>
                <w:b/>
                <w:sz w:val="16"/>
              </w:rPr>
              <w:t>Fachreferat nur 12. Klasse</w:t>
            </w:r>
          </w:p>
        </w:tc>
      </w:tr>
      <w:tr w:rsidR="00D6673D" w:rsidRPr="00D6673D" w:rsidTr="00C63211">
        <w:trPr>
          <w:trHeight w:val="409"/>
        </w:trPr>
        <w:tc>
          <w:tcPr>
            <w:tcW w:w="7906" w:type="dxa"/>
            <w:gridSpan w:val="2"/>
          </w:tcPr>
          <w:p w:rsidR="00D6673D" w:rsidRPr="00D6673D" w:rsidRDefault="00D6673D" w:rsidP="00C63211">
            <w:pPr>
              <w:pStyle w:val="TableParagraph"/>
              <w:jc w:val="left"/>
              <w:rPr>
                <w:rFonts w:ascii="Arial" w:hAnsi="Arial" w:cs="Arial"/>
                <w:sz w:val="16"/>
              </w:rPr>
            </w:pPr>
            <w:r w:rsidRPr="00D6673D">
              <w:rPr>
                <w:rFonts w:ascii="Arial" w:hAnsi="Arial" w:cs="Arial"/>
                <w:sz w:val="16"/>
              </w:rPr>
              <w:t>ein Fachreferat in einem einbrin</w:t>
            </w:r>
            <w:r w:rsidR="00C63211">
              <w:rPr>
                <w:rFonts w:ascii="Arial" w:hAnsi="Arial" w:cs="Arial"/>
                <w:sz w:val="16"/>
              </w:rPr>
              <w:t>gungsfähigen Pflicht- oder Wahl</w:t>
            </w:r>
            <w:r w:rsidRPr="00D6673D">
              <w:rPr>
                <w:rFonts w:ascii="Arial" w:hAnsi="Arial" w:cs="Arial"/>
                <w:sz w:val="16"/>
              </w:rPr>
              <w:t>pflichtfach</w:t>
            </w:r>
          </w:p>
        </w:tc>
      </w:tr>
      <w:tr w:rsidR="00D6673D" w:rsidRPr="00D6673D" w:rsidTr="00C63211">
        <w:trPr>
          <w:trHeight w:val="412"/>
        </w:trPr>
        <w:tc>
          <w:tcPr>
            <w:tcW w:w="7906" w:type="dxa"/>
            <w:gridSpan w:val="2"/>
          </w:tcPr>
          <w:p w:rsidR="00D6673D" w:rsidRPr="00D6673D" w:rsidRDefault="00D6673D" w:rsidP="00C63211">
            <w:pPr>
              <w:pStyle w:val="TableParagraph"/>
              <w:jc w:val="left"/>
              <w:rPr>
                <w:rFonts w:ascii="Arial" w:hAnsi="Arial" w:cs="Arial"/>
                <w:b/>
                <w:sz w:val="16"/>
              </w:rPr>
            </w:pPr>
            <w:r w:rsidRPr="00D6673D">
              <w:rPr>
                <w:rFonts w:ascii="Arial" w:hAnsi="Arial" w:cs="Arial"/>
                <w:b/>
                <w:sz w:val="16"/>
              </w:rPr>
              <w:t>Seminararbeit nur 13. Klasse</w:t>
            </w:r>
          </w:p>
        </w:tc>
      </w:tr>
      <w:tr w:rsidR="00D6673D" w:rsidRPr="00D6673D" w:rsidTr="00C63211">
        <w:trPr>
          <w:trHeight w:val="393"/>
        </w:trPr>
        <w:tc>
          <w:tcPr>
            <w:tcW w:w="7906" w:type="dxa"/>
            <w:gridSpan w:val="2"/>
          </w:tcPr>
          <w:p w:rsidR="00D6673D" w:rsidRPr="00D6673D" w:rsidRDefault="00D6673D" w:rsidP="00C63211">
            <w:pPr>
              <w:pStyle w:val="TableParagraph"/>
              <w:jc w:val="left"/>
              <w:rPr>
                <w:rFonts w:ascii="Arial" w:hAnsi="Arial" w:cs="Arial"/>
                <w:sz w:val="16"/>
              </w:rPr>
            </w:pPr>
            <w:r w:rsidRPr="00D6673D">
              <w:rPr>
                <w:rFonts w:ascii="Arial" w:hAnsi="Arial" w:cs="Arial"/>
                <w:sz w:val="16"/>
              </w:rPr>
              <w:t>individuelle Leistungen im Seminar</w:t>
            </w:r>
            <w:r w:rsidR="00C63211">
              <w:rPr>
                <w:rFonts w:ascii="Arial" w:hAnsi="Arial" w:cs="Arial"/>
                <w:sz w:val="16"/>
              </w:rPr>
              <w:t>, die Seminararbeit und die Prä</w:t>
            </w:r>
            <w:r w:rsidRPr="00D6673D">
              <w:rPr>
                <w:rFonts w:ascii="Arial" w:hAnsi="Arial" w:cs="Arial"/>
                <w:sz w:val="16"/>
              </w:rPr>
              <w:t>sentation der Seminararbeit mit Diskussion</w:t>
            </w:r>
          </w:p>
        </w:tc>
      </w:tr>
    </w:tbl>
    <w:p w:rsidR="007E0861" w:rsidRDefault="007E0861" w:rsidP="007E0861">
      <w:pPr>
        <w:pStyle w:val="LTAntwortRessortText"/>
      </w:pPr>
      <w:r>
        <w:t>An Fach- und Berufsoberschulen folgt der Fachabitur- und Abiturjahrgang 2021 (12</w:t>
      </w:r>
      <w:r w:rsidR="00D15F26">
        <w:t xml:space="preserve"> </w:t>
      </w:r>
      <w:r>
        <w:t>und 13) den regulären Rahmenvorgaben und umfasst folgende Prüfungen:</w:t>
      </w:r>
    </w:p>
    <w:p w:rsidR="00C63211" w:rsidRDefault="00C63211">
      <w:r>
        <w:br w:type="page"/>
      </w:r>
    </w:p>
    <w:p w:rsidR="007E0861" w:rsidRDefault="007E0861" w:rsidP="007E0861">
      <w:pPr>
        <w:pStyle w:val="LTAntwortRessortText"/>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1"/>
        <w:gridCol w:w="3708"/>
      </w:tblGrid>
      <w:tr w:rsidR="00D6673D" w:rsidTr="00C63211">
        <w:trPr>
          <w:trHeight w:val="396"/>
        </w:trPr>
        <w:tc>
          <w:tcPr>
            <w:tcW w:w="2671" w:type="dxa"/>
            <w:shd w:val="clear" w:color="auto" w:fill="BEBEBE"/>
          </w:tcPr>
          <w:p w:rsidR="00D6673D" w:rsidRPr="00D6673D" w:rsidRDefault="00D6673D" w:rsidP="00C63211">
            <w:pPr>
              <w:pStyle w:val="TableParagraph"/>
              <w:jc w:val="left"/>
              <w:rPr>
                <w:rFonts w:ascii="Arial" w:hAnsi="Arial" w:cs="Arial"/>
                <w:b/>
                <w:sz w:val="16"/>
              </w:rPr>
            </w:pPr>
            <w:r w:rsidRPr="00D6673D">
              <w:rPr>
                <w:rFonts w:ascii="Arial" w:hAnsi="Arial" w:cs="Arial"/>
                <w:b/>
                <w:sz w:val="16"/>
              </w:rPr>
              <w:t>Prüfungen</w:t>
            </w:r>
          </w:p>
        </w:tc>
        <w:tc>
          <w:tcPr>
            <w:tcW w:w="3708" w:type="dxa"/>
            <w:shd w:val="clear" w:color="auto" w:fill="BEBEBE"/>
          </w:tcPr>
          <w:p w:rsidR="00D6673D" w:rsidRPr="00D6673D" w:rsidRDefault="00D6673D" w:rsidP="00C63211">
            <w:pPr>
              <w:pStyle w:val="TableParagraph"/>
              <w:ind w:left="118"/>
              <w:jc w:val="left"/>
              <w:rPr>
                <w:rFonts w:ascii="Arial" w:hAnsi="Arial" w:cs="Arial"/>
                <w:b/>
                <w:sz w:val="16"/>
              </w:rPr>
            </w:pPr>
            <w:r w:rsidRPr="00D6673D">
              <w:rPr>
                <w:rFonts w:ascii="Arial" w:hAnsi="Arial" w:cs="Arial"/>
                <w:b/>
                <w:sz w:val="16"/>
              </w:rPr>
              <w:t>Fächer</w:t>
            </w:r>
          </w:p>
        </w:tc>
      </w:tr>
      <w:tr w:rsidR="00D6673D" w:rsidTr="00C63211">
        <w:trPr>
          <w:trHeight w:val="412"/>
        </w:trPr>
        <w:tc>
          <w:tcPr>
            <w:tcW w:w="2671" w:type="dxa"/>
          </w:tcPr>
          <w:p w:rsidR="00D6673D" w:rsidRPr="00D6673D" w:rsidRDefault="00D6673D" w:rsidP="00C63211">
            <w:pPr>
              <w:pStyle w:val="TableParagraph"/>
              <w:spacing w:line="273" w:lineRule="exact"/>
              <w:jc w:val="left"/>
              <w:rPr>
                <w:rFonts w:ascii="Arial" w:hAnsi="Arial" w:cs="Arial"/>
                <w:sz w:val="16"/>
              </w:rPr>
            </w:pPr>
            <w:r w:rsidRPr="00D6673D">
              <w:rPr>
                <w:rFonts w:ascii="Arial" w:hAnsi="Arial" w:cs="Arial"/>
                <w:sz w:val="16"/>
              </w:rPr>
              <w:t>1. Fach (schriftlich)</w:t>
            </w:r>
          </w:p>
        </w:tc>
        <w:tc>
          <w:tcPr>
            <w:tcW w:w="3708" w:type="dxa"/>
          </w:tcPr>
          <w:p w:rsidR="00D6673D" w:rsidRPr="00D6673D" w:rsidRDefault="00D6673D" w:rsidP="00C63211">
            <w:pPr>
              <w:pStyle w:val="TableParagraph"/>
              <w:spacing w:line="273" w:lineRule="exact"/>
              <w:ind w:left="118"/>
              <w:jc w:val="left"/>
              <w:rPr>
                <w:rFonts w:ascii="Arial" w:hAnsi="Arial" w:cs="Arial"/>
                <w:sz w:val="16"/>
              </w:rPr>
            </w:pPr>
            <w:r w:rsidRPr="00D6673D">
              <w:rPr>
                <w:rFonts w:ascii="Arial" w:hAnsi="Arial" w:cs="Arial"/>
                <w:sz w:val="16"/>
              </w:rPr>
              <w:t>Deutsch</w:t>
            </w:r>
          </w:p>
        </w:tc>
      </w:tr>
      <w:tr w:rsidR="00D6673D" w:rsidTr="00C63211">
        <w:trPr>
          <w:trHeight w:val="396"/>
        </w:trPr>
        <w:tc>
          <w:tcPr>
            <w:tcW w:w="2671" w:type="dxa"/>
          </w:tcPr>
          <w:p w:rsidR="00D6673D" w:rsidRPr="00D6673D" w:rsidRDefault="00D6673D" w:rsidP="00C63211">
            <w:pPr>
              <w:pStyle w:val="TableParagraph"/>
              <w:spacing w:line="273" w:lineRule="exact"/>
              <w:jc w:val="left"/>
              <w:rPr>
                <w:rFonts w:ascii="Arial" w:hAnsi="Arial" w:cs="Arial"/>
                <w:sz w:val="16"/>
              </w:rPr>
            </w:pPr>
            <w:r w:rsidRPr="00D6673D">
              <w:rPr>
                <w:rFonts w:ascii="Arial" w:hAnsi="Arial" w:cs="Arial"/>
                <w:sz w:val="16"/>
              </w:rPr>
              <w:t>2. Fach (schriftlich)</w:t>
            </w:r>
          </w:p>
        </w:tc>
        <w:tc>
          <w:tcPr>
            <w:tcW w:w="3708" w:type="dxa"/>
          </w:tcPr>
          <w:p w:rsidR="00D6673D" w:rsidRPr="00D6673D" w:rsidRDefault="00D6673D" w:rsidP="00C63211">
            <w:pPr>
              <w:pStyle w:val="TableParagraph"/>
              <w:spacing w:line="273" w:lineRule="exact"/>
              <w:ind w:left="118"/>
              <w:jc w:val="left"/>
              <w:rPr>
                <w:rFonts w:ascii="Arial" w:hAnsi="Arial" w:cs="Arial"/>
                <w:sz w:val="16"/>
              </w:rPr>
            </w:pPr>
            <w:r w:rsidRPr="00D6673D">
              <w:rPr>
                <w:rFonts w:ascii="Arial" w:hAnsi="Arial" w:cs="Arial"/>
                <w:sz w:val="16"/>
              </w:rPr>
              <w:t>Mathematik</w:t>
            </w:r>
          </w:p>
        </w:tc>
      </w:tr>
      <w:tr w:rsidR="00D6673D" w:rsidTr="00C63211">
        <w:trPr>
          <w:trHeight w:val="828"/>
        </w:trPr>
        <w:tc>
          <w:tcPr>
            <w:tcW w:w="2671" w:type="dxa"/>
          </w:tcPr>
          <w:p w:rsidR="00D6673D" w:rsidRPr="00D6673D" w:rsidRDefault="00D6673D" w:rsidP="00C63211">
            <w:pPr>
              <w:pStyle w:val="TableParagraph"/>
              <w:spacing w:line="273" w:lineRule="exact"/>
              <w:jc w:val="left"/>
              <w:rPr>
                <w:rFonts w:ascii="Arial" w:hAnsi="Arial" w:cs="Arial"/>
                <w:sz w:val="16"/>
              </w:rPr>
            </w:pPr>
            <w:r w:rsidRPr="00D6673D">
              <w:rPr>
                <w:rFonts w:ascii="Arial" w:hAnsi="Arial" w:cs="Arial"/>
                <w:sz w:val="16"/>
              </w:rPr>
              <w:t>3. Fach (schriftlich)</w:t>
            </w:r>
          </w:p>
        </w:tc>
        <w:tc>
          <w:tcPr>
            <w:tcW w:w="3708" w:type="dxa"/>
          </w:tcPr>
          <w:p w:rsidR="00D6673D" w:rsidRPr="00D6673D" w:rsidRDefault="00D6673D" w:rsidP="00C63211">
            <w:pPr>
              <w:pStyle w:val="TableParagraph"/>
              <w:spacing w:line="273" w:lineRule="exact"/>
              <w:ind w:left="118"/>
              <w:jc w:val="left"/>
              <w:rPr>
                <w:rFonts w:ascii="Arial" w:hAnsi="Arial" w:cs="Arial"/>
                <w:sz w:val="16"/>
              </w:rPr>
            </w:pPr>
            <w:r w:rsidRPr="00D6673D">
              <w:rPr>
                <w:rFonts w:ascii="Arial" w:hAnsi="Arial" w:cs="Arial"/>
                <w:sz w:val="16"/>
              </w:rPr>
              <w:t xml:space="preserve">Englisch (1/3 der Prüfungsnote durch </w:t>
            </w:r>
            <w:r w:rsidR="00C63211">
              <w:rPr>
                <w:rFonts w:ascii="Arial" w:hAnsi="Arial" w:cs="Arial"/>
                <w:sz w:val="16"/>
              </w:rPr>
              <w:br/>
              <w:t>mündli</w:t>
            </w:r>
            <w:r w:rsidRPr="00D6673D">
              <w:rPr>
                <w:rFonts w:ascii="Arial" w:hAnsi="Arial" w:cs="Arial"/>
                <w:sz w:val="16"/>
              </w:rPr>
              <w:t>che Gruppenprüfung)</w:t>
            </w:r>
          </w:p>
        </w:tc>
      </w:tr>
      <w:tr w:rsidR="00D6673D" w:rsidTr="00C63211">
        <w:trPr>
          <w:trHeight w:val="396"/>
        </w:trPr>
        <w:tc>
          <w:tcPr>
            <w:tcW w:w="2671" w:type="dxa"/>
          </w:tcPr>
          <w:p w:rsidR="00D6673D" w:rsidRPr="00D6673D" w:rsidRDefault="00D6673D" w:rsidP="00C63211">
            <w:pPr>
              <w:pStyle w:val="TableParagraph"/>
              <w:jc w:val="left"/>
              <w:rPr>
                <w:rFonts w:ascii="Arial" w:hAnsi="Arial" w:cs="Arial"/>
                <w:sz w:val="16"/>
              </w:rPr>
            </w:pPr>
            <w:r w:rsidRPr="00D6673D">
              <w:rPr>
                <w:rFonts w:ascii="Arial" w:hAnsi="Arial" w:cs="Arial"/>
                <w:sz w:val="16"/>
              </w:rPr>
              <w:t>4. Fach (schriftlich)</w:t>
            </w:r>
          </w:p>
        </w:tc>
        <w:tc>
          <w:tcPr>
            <w:tcW w:w="3708" w:type="dxa"/>
          </w:tcPr>
          <w:p w:rsidR="00D6673D" w:rsidRPr="00D6673D" w:rsidRDefault="00D6673D" w:rsidP="00C63211">
            <w:pPr>
              <w:pStyle w:val="TableParagraph"/>
              <w:ind w:left="118"/>
              <w:jc w:val="left"/>
              <w:rPr>
                <w:rFonts w:ascii="Arial" w:hAnsi="Arial" w:cs="Arial"/>
                <w:sz w:val="16"/>
              </w:rPr>
            </w:pPr>
            <w:r w:rsidRPr="00D6673D">
              <w:rPr>
                <w:rFonts w:ascii="Arial" w:hAnsi="Arial" w:cs="Arial"/>
                <w:sz w:val="16"/>
              </w:rPr>
              <w:t>Profilfach</w:t>
            </w:r>
          </w:p>
        </w:tc>
      </w:tr>
    </w:tbl>
    <w:p w:rsidR="007E0861" w:rsidRDefault="007E0861" w:rsidP="007E0861">
      <w:pPr>
        <w:pStyle w:val="LTAntwortRessortText"/>
      </w:pPr>
      <w:r>
        <w:t>In zwei weiteren schriftlichen Fachabitur- bzw. Abiturprüfungsfächern</w:t>
      </w:r>
      <w:r w:rsidR="00D15F26">
        <w:t xml:space="preserve"> </w:t>
      </w:r>
      <w:r>
        <w:t xml:space="preserve">(neben </w:t>
      </w:r>
      <w:r w:rsidR="00C63211">
        <w:br/>
      </w:r>
      <w:r>
        <w:t>Englisch) wird auf Antrag der Schülerin oder des Schülers eine</w:t>
      </w:r>
      <w:r w:rsidR="00D15F26">
        <w:t xml:space="preserve"> </w:t>
      </w:r>
      <w:r>
        <w:t>mündliche Zusatzprüfung durchgeführt.</w:t>
      </w:r>
    </w:p>
    <w:p w:rsidR="007E0861" w:rsidRPr="00265CCB" w:rsidRDefault="007E0861" w:rsidP="007E0861">
      <w:pPr>
        <w:pStyle w:val="LTAntwortRessortText"/>
        <w:rPr>
          <w:b/>
        </w:rPr>
      </w:pPr>
      <w:r w:rsidRPr="00265CCB">
        <w:rPr>
          <w:b/>
        </w:rPr>
        <w:t>Frage 1.2: Was sind die Abweichungen dieses Rahmens hinsichtlich</w:t>
      </w:r>
      <w:r w:rsidR="00D15F26" w:rsidRPr="00265CCB">
        <w:rPr>
          <w:b/>
        </w:rPr>
        <w:t xml:space="preserve"> </w:t>
      </w:r>
      <w:r w:rsidRPr="00265CCB">
        <w:rPr>
          <w:b/>
        </w:rPr>
        <w:t xml:space="preserve">der Anzahl, </w:t>
      </w:r>
      <w:r w:rsidR="00684CFD">
        <w:rPr>
          <w:b/>
        </w:rPr>
        <w:t xml:space="preserve">des </w:t>
      </w:r>
      <w:r w:rsidRPr="00265CCB">
        <w:rPr>
          <w:b/>
        </w:rPr>
        <w:t>Inhalt</w:t>
      </w:r>
      <w:r w:rsidR="00684CFD">
        <w:rPr>
          <w:b/>
        </w:rPr>
        <w:t>s</w:t>
      </w:r>
      <w:r w:rsidRPr="00265CCB">
        <w:rPr>
          <w:b/>
        </w:rPr>
        <w:t xml:space="preserve"> und </w:t>
      </w:r>
      <w:r w:rsidR="00684CFD">
        <w:rPr>
          <w:b/>
        </w:rPr>
        <w:t xml:space="preserve">des </w:t>
      </w:r>
      <w:r w:rsidRPr="00265CCB">
        <w:rPr>
          <w:b/>
        </w:rPr>
        <w:t>Umfang</w:t>
      </w:r>
      <w:r w:rsidR="00684CFD">
        <w:rPr>
          <w:b/>
        </w:rPr>
        <w:t>s</w:t>
      </w:r>
      <w:r w:rsidRPr="00265CCB">
        <w:rPr>
          <w:b/>
        </w:rPr>
        <w:t xml:space="preserve"> der Prüfungen im Vergleich zu den</w:t>
      </w:r>
      <w:r w:rsidR="00D15F26" w:rsidRPr="00265CCB">
        <w:rPr>
          <w:b/>
        </w:rPr>
        <w:t xml:space="preserve"> </w:t>
      </w:r>
      <w:r w:rsidR="00684CFD">
        <w:rPr>
          <w:b/>
        </w:rPr>
        <w:t>letzten Jahren (b</w:t>
      </w:r>
      <w:r w:rsidRPr="00265CCB">
        <w:rPr>
          <w:b/>
        </w:rPr>
        <w:t>itte nach Schulart und Klassenstufen</w:t>
      </w:r>
      <w:r w:rsidR="00D15F26" w:rsidRPr="00265CCB">
        <w:rPr>
          <w:b/>
        </w:rPr>
        <w:t xml:space="preserve"> </w:t>
      </w:r>
      <w:r w:rsidRPr="00265CCB">
        <w:rPr>
          <w:b/>
        </w:rPr>
        <w:t>aufschlüsseln)?</w:t>
      </w:r>
    </w:p>
    <w:p w:rsidR="007E0861" w:rsidRDefault="007E0861" w:rsidP="00684CFD">
      <w:pPr>
        <w:pStyle w:val="LTAntwortRessortText"/>
      </w:pPr>
      <w:r>
        <w:t xml:space="preserve">Am </w:t>
      </w:r>
      <w:r w:rsidRPr="00D6673D">
        <w:rPr>
          <w:u w:val="single"/>
        </w:rPr>
        <w:t>Gymnasium</w:t>
      </w:r>
      <w:r>
        <w:t xml:space="preserve"> gelten aktuell, d.</w:t>
      </w:r>
      <w:r w:rsidR="00C63211">
        <w:t> </w:t>
      </w:r>
      <w:r>
        <w:t>h. im Schuljahr 2020/2021, für den</w:t>
      </w:r>
      <w:r w:rsidR="00D15F26">
        <w:t xml:space="preserve"> </w:t>
      </w:r>
      <w:r>
        <w:t>Abiturjahrgang 2021 folgende Abweichungen (</w:t>
      </w:r>
      <w:r w:rsidRPr="00D6673D">
        <w:rPr>
          <w:highlight w:val="yellow"/>
        </w:rPr>
        <w:t>gelb</w:t>
      </w:r>
      <w:r>
        <w:t xml:space="preserve"> hervorgehoben):</w:t>
      </w:r>
    </w:p>
    <w:p w:rsidR="00D6673D" w:rsidRDefault="00D6673D" w:rsidP="00D15F26">
      <w:pPr>
        <w:pStyle w:val="LTAntwortRessortText"/>
        <w:spacing w:before="0"/>
      </w:pPr>
    </w:p>
    <w:tbl>
      <w:tblPr>
        <w:tblStyle w:val="TableNormal"/>
        <w:tblW w:w="6095"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99"/>
        <w:gridCol w:w="1286"/>
        <w:gridCol w:w="2410"/>
      </w:tblGrid>
      <w:tr w:rsidR="00D6673D" w:rsidTr="00C63211">
        <w:trPr>
          <w:trHeight w:val="395"/>
        </w:trPr>
        <w:tc>
          <w:tcPr>
            <w:tcW w:w="2399" w:type="dxa"/>
          </w:tcPr>
          <w:p w:rsidR="00D6673D" w:rsidRPr="00D6673D" w:rsidRDefault="00D6673D" w:rsidP="00C63211">
            <w:pPr>
              <w:pStyle w:val="TableParagraph"/>
              <w:spacing w:line="240" w:lineRule="auto"/>
              <w:jc w:val="left"/>
              <w:rPr>
                <w:rFonts w:ascii="Arial" w:hAnsi="Arial" w:cs="Arial"/>
                <w:sz w:val="16"/>
              </w:rPr>
            </w:pPr>
          </w:p>
        </w:tc>
        <w:tc>
          <w:tcPr>
            <w:tcW w:w="1286" w:type="dxa"/>
            <w:shd w:val="clear" w:color="auto" w:fill="BEBEBE"/>
          </w:tcPr>
          <w:p w:rsidR="00D6673D" w:rsidRPr="00D6673D" w:rsidRDefault="00D6673D" w:rsidP="00C63211">
            <w:pPr>
              <w:pStyle w:val="TableParagraph"/>
              <w:spacing w:line="241" w:lineRule="exact"/>
              <w:jc w:val="left"/>
              <w:rPr>
                <w:rFonts w:ascii="Arial" w:hAnsi="Arial" w:cs="Arial"/>
                <w:b/>
                <w:sz w:val="16"/>
              </w:rPr>
            </w:pPr>
            <w:r w:rsidRPr="00D6673D">
              <w:rPr>
                <w:rFonts w:ascii="Arial" w:hAnsi="Arial" w:cs="Arial"/>
                <w:b/>
                <w:sz w:val="16"/>
              </w:rPr>
              <w:t>12/1</w:t>
            </w:r>
          </w:p>
        </w:tc>
        <w:tc>
          <w:tcPr>
            <w:tcW w:w="2410" w:type="dxa"/>
            <w:shd w:val="clear" w:color="auto" w:fill="BEBEBE"/>
          </w:tcPr>
          <w:p w:rsidR="00D6673D" w:rsidRPr="00D6673D" w:rsidRDefault="00D6673D" w:rsidP="00C63211">
            <w:pPr>
              <w:pStyle w:val="TableParagraph"/>
              <w:spacing w:line="241" w:lineRule="exact"/>
              <w:ind w:left="102"/>
              <w:jc w:val="left"/>
              <w:rPr>
                <w:rFonts w:ascii="Arial" w:hAnsi="Arial" w:cs="Arial"/>
                <w:b/>
                <w:sz w:val="16"/>
              </w:rPr>
            </w:pPr>
            <w:r w:rsidRPr="00D6673D">
              <w:rPr>
                <w:rFonts w:ascii="Arial" w:hAnsi="Arial" w:cs="Arial"/>
                <w:b/>
                <w:sz w:val="16"/>
              </w:rPr>
              <w:t>12/2</w:t>
            </w:r>
          </w:p>
        </w:tc>
      </w:tr>
      <w:tr w:rsidR="00D6673D" w:rsidTr="00C63211">
        <w:trPr>
          <w:trHeight w:val="412"/>
        </w:trPr>
        <w:tc>
          <w:tcPr>
            <w:tcW w:w="2399" w:type="dxa"/>
          </w:tcPr>
          <w:p w:rsidR="00D6673D" w:rsidRPr="00D6673D" w:rsidRDefault="00D6673D" w:rsidP="00C63211">
            <w:pPr>
              <w:pStyle w:val="TableParagraph"/>
              <w:spacing w:line="240" w:lineRule="auto"/>
              <w:jc w:val="left"/>
              <w:rPr>
                <w:rFonts w:ascii="Arial" w:hAnsi="Arial" w:cs="Arial"/>
                <w:sz w:val="16"/>
              </w:rPr>
            </w:pPr>
          </w:p>
        </w:tc>
        <w:tc>
          <w:tcPr>
            <w:tcW w:w="3696" w:type="dxa"/>
            <w:gridSpan w:val="2"/>
          </w:tcPr>
          <w:p w:rsidR="00D6673D" w:rsidRPr="00D6673D" w:rsidRDefault="00D6673D" w:rsidP="00C63211">
            <w:pPr>
              <w:pStyle w:val="TableParagraph"/>
              <w:jc w:val="left"/>
              <w:rPr>
                <w:rFonts w:ascii="Arial" w:hAnsi="Arial" w:cs="Arial"/>
                <w:b/>
                <w:sz w:val="16"/>
              </w:rPr>
            </w:pPr>
            <w:r w:rsidRPr="00D6673D">
              <w:rPr>
                <w:rFonts w:ascii="Arial" w:hAnsi="Arial" w:cs="Arial"/>
                <w:b/>
                <w:sz w:val="16"/>
              </w:rPr>
              <w:t>Schulaufgaben</w:t>
            </w:r>
          </w:p>
        </w:tc>
      </w:tr>
      <w:tr w:rsidR="00D6673D" w:rsidTr="00C63211">
        <w:trPr>
          <w:trHeight w:val="396"/>
        </w:trPr>
        <w:tc>
          <w:tcPr>
            <w:tcW w:w="2399" w:type="dxa"/>
          </w:tcPr>
          <w:p w:rsidR="00D6673D" w:rsidRPr="00D6673D" w:rsidRDefault="00D6673D" w:rsidP="00C63211">
            <w:pPr>
              <w:pStyle w:val="TableParagraph"/>
              <w:jc w:val="left"/>
              <w:rPr>
                <w:rFonts w:ascii="Arial" w:hAnsi="Arial" w:cs="Arial"/>
                <w:sz w:val="16"/>
              </w:rPr>
            </w:pPr>
            <w:r w:rsidRPr="00D6673D">
              <w:rPr>
                <w:rFonts w:ascii="Arial" w:hAnsi="Arial" w:cs="Arial"/>
                <w:sz w:val="16"/>
              </w:rPr>
              <w:t>Anzahl</w:t>
            </w:r>
          </w:p>
        </w:tc>
        <w:tc>
          <w:tcPr>
            <w:tcW w:w="1286" w:type="dxa"/>
          </w:tcPr>
          <w:p w:rsidR="00D6673D" w:rsidRPr="00D6673D" w:rsidRDefault="00D6673D" w:rsidP="00C63211">
            <w:pPr>
              <w:pStyle w:val="TableParagraph"/>
              <w:jc w:val="left"/>
              <w:rPr>
                <w:rFonts w:ascii="Arial" w:hAnsi="Arial" w:cs="Arial"/>
                <w:sz w:val="16"/>
              </w:rPr>
            </w:pPr>
            <w:r w:rsidRPr="00D6673D">
              <w:rPr>
                <w:rFonts w:ascii="Arial" w:hAnsi="Arial" w:cs="Arial"/>
                <w:sz w:val="16"/>
              </w:rPr>
              <w:t>--</w:t>
            </w:r>
          </w:p>
        </w:tc>
        <w:tc>
          <w:tcPr>
            <w:tcW w:w="2410" w:type="dxa"/>
          </w:tcPr>
          <w:p w:rsidR="00D6673D" w:rsidRPr="00D6673D" w:rsidRDefault="00D6673D" w:rsidP="00C63211">
            <w:pPr>
              <w:pStyle w:val="TableParagraph"/>
              <w:ind w:left="102"/>
              <w:jc w:val="left"/>
              <w:rPr>
                <w:rFonts w:ascii="Arial" w:hAnsi="Arial" w:cs="Arial"/>
                <w:sz w:val="16"/>
              </w:rPr>
            </w:pPr>
            <w:r w:rsidRPr="00D6673D">
              <w:rPr>
                <w:rFonts w:ascii="Arial" w:hAnsi="Arial" w:cs="Arial"/>
                <w:sz w:val="16"/>
                <w:shd w:val="clear" w:color="auto" w:fill="FFFF00"/>
              </w:rPr>
              <w:t>mind. 3</w:t>
            </w:r>
            <w:r w:rsidRPr="00D6673D">
              <w:rPr>
                <w:rFonts w:ascii="Arial" w:hAnsi="Arial" w:cs="Arial"/>
                <w:sz w:val="16"/>
              </w:rPr>
              <w:t xml:space="preserve"> (statt mind. 9)</w:t>
            </w:r>
          </w:p>
        </w:tc>
      </w:tr>
      <w:tr w:rsidR="00D6673D" w:rsidTr="00C63211">
        <w:trPr>
          <w:trHeight w:val="412"/>
        </w:trPr>
        <w:tc>
          <w:tcPr>
            <w:tcW w:w="2399" w:type="dxa"/>
          </w:tcPr>
          <w:p w:rsidR="00D6673D" w:rsidRPr="00D6673D" w:rsidRDefault="00D6673D" w:rsidP="00C63211">
            <w:pPr>
              <w:pStyle w:val="TableParagraph"/>
              <w:spacing w:line="273" w:lineRule="exact"/>
              <w:jc w:val="left"/>
              <w:rPr>
                <w:rFonts w:ascii="Arial" w:hAnsi="Arial" w:cs="Arial"/>
                <w:sz w:val="16"/>
              </w:rPr>
            </w:pPr>
            <w:r w:rsidRPr="00D6673D">
              <w:rPr>
                <w:rFonts w:ascii="Arial" w:hAnsi="Arial" w:cs="Arial"/>
                <w:sz w:val="16"/>
              </w:rPr>
              <w:t>Inhalt</w:t>
            </w:r>
          </w:p>
        </w:tc>
        <w:tc>
          <w:tcPr>
            <w:tcW w:w="1286" w:type="dxa"/>
          </w:tcPr>
          <w:p w:rsidR="00D6673D" w:rsidRPr="00D6673D" w:rsidRDefault="00D6673D" w:rsidP="00C63211">
            <w:pPr>
              <w:pStyle w:val="TableParagraph"/>
              <w:spacing w:line="273" w:lineRule="exact"/>
              <w:jc w:val="left"/>
              <w:rPr>
                <w:rFonts w:ascii="Arial" w:hAnsi="Arial" w:cs="Arial"/>
                <w:sz w:val="16"/>
              </w:rPr>
            </w:pPr>
            <w:r w:rsidRPr="00D6673D">
              <w:rPr>
                <w:rFonts w:ascii="Arial" w:hAnsi="Arial" w:cs="Arial"/>
                <w:sz w:val="16"/>
              </w:rPr>
              <w:t>--</w:t>
            </w:r>
          </w:p>
        </w:tc>
        <w:tc>
          <w:tcPr>
            <w:tcW w:w="2410" w:type="dxa"/>
          </w:tcPr>
          <w:p w:rsidR="00D6673D" w:rsidRPr="00D6673D" w:rsidRDefault="00D6673D" w:rsidP="00C63211">
            <w:pPr>
              <w:pStyle w:val="TableParagraph"/>
              <w:spacing w:line="273" w:lineRule="exact"/>
              <w:ind w:left="102"/>
              <w:jc w:val="left"/>
              <w:rPr>
                <w:rFonts w:ascii="Arial" w:hAnsi="Arial" w:cs="Arial"/>
                <w:sz w:val="16"/>
              </w:rPr>
            </w:pPr>
            <w:r w:rsidRPr="00D6673D">
              <w:rPr>
                <w:rFonts w:ascii="Arial" w:hAnsi="Arial" w:cs="Arial"/>
                <w:sz w:val="16"/>
              </w:rPr>
              <w:t>--</w:t>
            </w:r>
          </w:p>
        </w:tc>
      </w:tr>
      <w:tr w:rsidR="00D6673D" w:rsidTr="00C63211">
        <w:trPr>
          <w:trHeight w:val="396"/>
        </w:trPr>
        <w:tc>
          <w:tcPr>
            <w:tcW w:w="2399" w:type="dxa"/>
          </w:tcPr>
          <w:p w:rsidR="00D6673D" w:rsidRPr="00D6673D" w:rsidRDefault="00D6673D" w:rsidP="00C63211">
            <w:pPr>
              <w:pStyle w:val="TableParagraph"/>
              <w:jc w:val="left"/>
              <w:rPr>
                <w:rFonts w:ascii="Arial" w:hAnsi="Arial" w:cs="Arial"/>
                <w:sz w:val="16"/>
              </w:rPr>
            </w:pPr>
            <w:r w:rsidRPr="00D6673D">
              <w:rPr>
                <w:rFonts w:ascii="Arial" w:hAnsi="Arial" w:cs="Arial"/>
                <w:sz w:val="16"/>
              </w:rPr>
              <w:t>Umfang</w:t>
            </w:r>
          </w:p>
        </w:tc>
        <w:tc>
          <w:tcPr>
            <w:tcW w:w="1286" w:type="dxa"/>
          </w:tcPr>
          <w:p w:rsidR="00D6673D" w:rsidRPr="00D6673D" w:rsidRDefault="00D6673D" w:rsidP="00C63211">
            <w:pPr>
              <w:pStyle w:val="TableParagraph"/>
              <w:jc w:val="left"/>
              <w:rPr>
                <w:rFonts w:ascii="Arial" w:hAnsi="Arial" w:cs="Arial"/>
                <w:sz w:val="16"/>
              </w:rPr>
            </w:pPr>
            <w:r w:rsidRPr="00D6673D">
              <w:rPr>
                <w:rFonts w:ascii="Arial" w:hAnsi="Arial" w:cs="Arial"/>
                <w:sz w:val="16"/>
              </w:rPr>
              <w:t>--</w:t>
            </w:r>
          </w:p>
        </w:tc>
        <w:tc>
          <w:tcPr>
            <w:tcW w:w="2410" w:type="dxa"/>
          </w:tcPr>
          <w:p w:rsidR="00D6673D" w:rsidRPr="00D6673D" w:rsidRDefault="00D6673D" w:rsidP="00C63211">
            <w:pPr>
              <w:pStyle w:val="TableParagraph"/>
              <w:ind w:left="102"/>
              <w:jc w:val="left"/>
              <w:rPr>
                <w:rFonts w:ascii="Arial" w:hAnsi="Arial" w:cs="Arial"/>
                <w:sz w:val="16"/>
              </w:rPr>
            </w:pPr>
            <w:r w:rsidRPr="00D6673D">
              <w:rPr>
                <w:rFonts w:ascii="Arial" w:hAnsi="Arial" w:cs="Arial"/>
                <w:sz w:val="16"/>
              </w:rPr>
              <w:t>--</w:t>
            </w:r>
          </w:p>
        </w:tc>
      </w:tr>
      <w:tr w:rsidR="00D6673D" w:rsidTr="00C63211">
        <w:trPr>
          <w:trHeight w:val="412"/>
        </w:trPr>
        <w:tc>
          <w:tcPr>
            <w:tcW w:w="2399" w:type="dxa"/>
          </w:tcPr>
          <w:p w:rsidR="00D6673D" w:rsidRPr="00D6673D" w:rsidRDefault="00D6673D" w:rsidP="00C63211">
            <w:pPr>
              <w:pStyle w:val="TableParagraph"/>
              <w:spacing w:line="240" w:lineRule="auto"/>
              <w:jc w:val="left"/>
              <w:rPr>
                <w:rFonts w:ascii="Arial" w:hAnsi="Arial" w:cs="Arial"/>
                <w:sz w:val="16"/>
              </w:rPr>
            </w:pPr>
          </w:p>
        </w:tc>
        <w:tc>
          <w:tcPr>
            <w:tcW w:w="3696" w:type="dxa"/>
            <w:gridSpan w:val="2"/>
          </w:tcPr>
          <w:p w:rsidR="00D6673D" w:rsidRPr="00D6673D" w:rsidRDefault="00D6673D" w:rsidP="00C63211">
            <w:pPr>
              <w:pStyle w:val="TableParagraph"/>
              <w:jc w:val="left"/>
              <w:rPr>
                <w:rFonts w:ascii="Arial" w:hAnsi="Arial" w:cs="Arial"/>
                <w:b/>
                <w:sz w:val="16"/>
              </w:rPr>
            </w:pPr>
            <w:r w:rsidRPr="00D6673D">
              <w:rPr>
                <w:rFonts w:ascii="Arial" w:hAnsi="Arial" w:cs="Arial"/>
                <w:b/>
                <w:sz w:val="16"/>
              </w:rPr>
              <w:t>kleine Leistungsnachweise</w:t>
            </w:r>
          </w:p>
        </w:tc>
      </w:tr>
      <w:tr w:rsidR="00D6673D" w:rsidTr="00C63211">
        <w:trPr>
          <w:trHeight w:val="396"/>
        </w:trPr>
        <w:tc>
          <w:tcPr>
            <w:tcW w:w="2399" w:type="dxa"/>
          </w:tcPr>
          <w:p w:rsidR="00D6673D" w:rsidRPr="00D6673D" w:rsidRDefault="00D6673D" w:rsidP="00C63211">
            <w:pPr>
              <w:pStyle w:val="TableParagraph"/>
              <w:jc w:val="left"/>
              <w:rPr>
                <w:rFonts w:ascii="Arial" w:hAnsi="Arial" w:cs="Arial"/>
                <w:sz w:val="16"/>
              </w:rPr>
            </w:pPr>
            <w:r w:rsidRPr="00D6673D">
              <w:rPr>
                <w:rFonts w:ascii="Arial" w:hAnsi="Arial" w:cs="Arial"/>
                <w:sz w:val="16"/>
              </w:rPr>
              <w:t>Anzahl</w:t>
            </w:r>
          </w:p>
        </w:tc>
        <w:tc>
          <w:tcPr>
            <w:tcW w:w="1286" w:type="dxa"/>
          </w:tcPr>
          <w:p w:rsidR="00D6673D" w:rsidRPr="00D6673D" w:rsidRDefault="00D6673D" w:rsidP="00C63211">
            <w:pPr>
              <w:pStyle w:val="TableParagraph"/>
              <w:jc w:val="left"/>
              <w:rPr>
                <w:rFonts w:ascii="Arial" w:hAnsi="Arial" w:cs="Arial"/>
                <w:sz w:val="16"/>
              </w:rPr>
            </w:pPr>
            <w:r w:rsidRPr="00D6673D">
              <w:rPr>
                <w:rFonts w:ascii="Arial" w:hAnsi="Arial" w:cs="Arial"/>
                <w:sz w:val="16"/>
              </w:rPr>
              <w:t>--</w:t>
            </w:r>
          </w:p>
        </w:tc>
        <w:tc>
          <w:tcPr>
            <w:tcW w:w="2410" w:type="dxa"/>
          </w:tcPr>
          <w:p w:rsidR="00D6673D" w:rsidRPr="00D6673D" w:rsidRDefault="00D6673D" w:rsidP="00C63211">
            <w:pPr>
              <w:pStyle w:val="TableParagraph"/>
              <w:ind w:left="102"/>
              <w:jc w:val="left"/>
              <w:rPr>
                <w:rFonts w:ascii="Arial" w:hAnsi="Arial" w:cs="Arial"/>
                <w:sz w:val="16"/>
              </w:rPr>
            </w:pPr>
            <w:r w:rsidRPr="00D6673D">
              <w:rPr>
                <w:rFonts w:ascii="Arial" w:hAnsi="Arial" w:cs="Arial"/>
                <w:sz w:val="16"/>
              </w:rPr>
              <w:t>--</w:t>
            </w:r>
          </w:p>
        </w:tc>
      </w:tr>
      <w:tr w:rsidR="00D6673D" w:rsidTr="00C63211">
        <w:trPr>
          <w:trHeight w:val="412"/>
        </w:trPr>
        <w:tc>
          <w:tcPr>
            <w:tcW w:w="2399" w:type="dxa"/>
          </w:tcPr>
          <w:p w:rsidR="00D6673D" w:rsidRPr="00D6673D" w:rsidRDefault="00D6673D" w:rsidP="00C63211">
            <w:pPr>
              <w:pStyle w:val="TableParagraph"/>
              <w:spacing w:line="273" w:lineRule="exact"/>
              <w:jc w:val="left"/>
              <w:rPr>
                <w:rFonts w:ascii="Arial" w:hAnsi="Arial" w:cs="Arial"/>
                <w:sz w:val="16"/>
              </w:rPr>
            </w:pPr>
            <w:r w:rsidRPr="00D6673D">
              <w:rPr>
                <w:rFonts w:ascii="Arial" w:hAnsi="Arial" w:cs="Arial"/>
                <w:sz w:val="16"/>
              </w:rPr>
              <w:t>Inhalt</w:t>
            </w:r>
          </w:p>
        </w:tc>
        <w:tc>
          <w:tcPr>
            <w:tcW w:w="1286" w:type="dxa"/>
          </w:tcPr>
          <w:p w:rsidR="00D6673D" w:rsidRPr="00D6673D" w:rsidRDefault="00D6673D" w:rsidP="00C63211">
            <w:pPr>
              <w:pStyle w:val="TableParagraph"/>
              <w:spacing w:line="273" w:lineRule="exact"/>
              <w:jc w:val="left"/>
              <w:rPr>
                <w:rFonts w:ascii="Arial" w:hAnsi="Arial" w:cs="Arial"/>
                <w:sz w:val="16"/>
              </w:rPr>
            </w:pPr>
            <w:r w:rsidRPr="00D6673D">
              <w:rPr>
                <w:rFonts w:ascii="Arial" w:hAnsi="Arial" w:cs="Arial"/>
                <w:sz w:val="16"/>
              </w:rPr>
              <w:t>--</w:t>
            </w:r>
          </w:p>
        </w:tc>
        <w:tc>
          <w:tcPr>
            <w:tcW w:w="2410" w:type="dxa"/>
          </w:tcPr>
          <w:p w:rsidR="00D6673D" w:rsidRPr="00D6673D" w:rsidRDefault="00D6673D" w:rsidP="00C63211">
            <w:pPr>
              <w:pStyle w:val="TableParagraph"/>
              <w:spacing w:line="273" w:lineRule="exact"/>
              <w:ind w:left="102"/>
              <w:jc w:val="left"/>
              <w:rPr>
                <w:rFonts w:ascii="Arial" w:hAnsi="Arial" w:cs="Arial"/>
                <w:sz w:val="16"/>
              </w:rPr>
            </w:pPr>
            <w:r w:rsidRPr="00D6673D">
              <w:rPr>
                <w:rFonts w:ascii="Arial" w:hAnsi="Arial" w:cs="Arial"/>
                <w:sz w:val="16"/>
              </w:rPr>
              <w:t>--</w:t>
            </w:r>
          </w:p>
        </w:tc>
      </w:tr>
      <w:tr w:rsidR="00D6673D" w:rsidTr="00C63211">
        <w:trPr>
          <w:trHeight w:val="396"/>
        </w:trPr>
        <w:tc>
          <w:tcPr>
            <w:tcW w:w="2399" w:type="dxa"/>
          </w:tcPr>
          <w:p w:rsidR="00D6673D" w:rsidRPr="00D6673D" w:rsidRDefault="00D6673D" w:rsidP="00C63211">
            <w:pPr>
              <w:pStyle w:val="TableParagraph"/>
              <w:jc w:val="left"/>
              <w:rPr>
                <w:rFonts w:ascii="Arial" w:hAnsi="Arial" w:cs="Arial"/>
                <w:sz w:val="16"/>
              </w:rPr>
            </w:pPr>
            <w:r w:rsidRPr="00D6673D">
              <w:rPr>
                <w:rFonts w:ascii="Arial" w:hAnsi="Arial" w:cs="Arial"/>
                <w:sz w:val="16"/>
              </w:rPr>
              <w:t>Umfang</w:t>
            </w:r>
          </w:p>
        </w:tc>
        <w:tc>
          <w:tcPr>
            <w:tcW w:w="1286" w:type="dxa"/>
          </w:tcPr>
          <w:p w:rsidR="00D6673D" w:rsidRPr="00D6673D" w:rsidRDefault="00D6673D" w:rsidP="00C63211">
            <w:pPr>
              <w:pStyle w:val="TableParagraph"/>
              <w:jc w:val="left"/>
              <w:rPr>
                <w:rFonts w:ascii="Arial" w:hAnsi="Arial" w:cs="Arial"/>
                <w:sz w:val="16"/>
              </w:rPr>
            </w:pPr>
            <w:r w:rsidRPr="00D6673D">
              <w:rPr>
                <w:rFonts w:ascii="Arial" w:hAnsi="Arial" w:cs="Arial"/>
                <w:sz w:val="16"/>
              </w:rPr>
              <w:t>--</w:t>
            </w:r>
          </w:p>
        </w:tc>
        <w:tc>
          <w:tcPr>
            <w:tcW w:w="2410" w:type="dxa"/>
          </w:tcPr>
          <w:p w:rsidR="00D6673D" w:rsidRPr="00D6673D" w:rsidRDefault="00D6673D" w:rsidP="00C63211">
            <w:pPr>
              <w:pStyle w:val="TableParagraph"/>
              <w:ind w:left="102"/>
              <w:jc w:val="left"/>
              <w:rPr>
                <w:rFonts w:ascii="Arial" w:hAnsi="Arial" w:cs="Arial"/>
                <w:sz w:val="16"/>
              </w:rPr>
            </w:pPr>
            <w:r w:rsidRPr="00D6673D">
              <w:rPr>
                <w:rFonts w:ascii="Arial" w:hAnsi="Arial" w:cs="Arial"/>
                <w:sz w:val="16"/>
              </w:rPr>
              <w:t>--</w:t>
            </w:r>
          </w:p>
        </w:tc>
      </w:tr>
    </w:tbl>
    <w:p w:rsidR="007E0861" w:rsidRDefault="007E0861" w:rsidP="007E0861">
      <w:pPr>
        <w:pStyle w:val="LTAntwortRessortText"/>
      </w:pPr>
      <w:r>
        <w:t>Während die Schulordnung für Gymnasien in Bayern (GSO) die Anzahl der</w:t>
      </w:r>
      <w:r w:rsidR="00D900D2">
        <w:t xml:space="preserve"> </w:t>
      </w:r>
      <w:r>
        <w:t>großen Leistungsnachweise verbindlich festlegt, fordert sie im Hinblick auf</w:t>
      </w:r>
      <w:r w:rsidR="00D900D2">
        <w:t xml:space="preserve"> </w:t>
      </w:r>
      <w:r>
        <w:t>die kleinen Leistungsnachweise demgegenüber eine Mindestzahl (s.</w:t>
      </w:r>
      <w:r w:rsidR="00C63211">
        <w:t> </w:t>
      </w:r>
      <w:r>
        <w:t>o.);</w:t>
      </w:r>
      <w:r w:rsidR="00D900D2">
        <w:t xml:space="preserve"> </w:t>
      </w:r>
      <w:r>
        <w:t>hinsichtlich der Bearbeitungszeit von großen wie kleinen</w:t>
      </w:r>
      <w:r w:rsidR="00D900D2">
        <w:t xml:space="preserve"> </w:t>
      </w:r>
      <w:r>
        <w:t>Leistungsnachweisen sind Höchstgrenzen festgelegt. Zahl, Art und</w:t>
      </w:r>
      <w:r w:rsidR="00D900D2">
        <w:t xml:space="preserve"> </w:t>
      </w:r>
      <w:r>
        <w:t>Terminierung liegen ansonsten im pädagogischen Ermessen der</w:t>
      </w:r>
      <w:r w:rsidR="00D900D2">
        <w:t xml:space="preserve"> </w:t>
      </w:r>
      <w:r>
        <w:t>Lehrkräfte. Die Schulen wurden mit Schreiben vom 21.12.2020 auf diese in</w:t>
      </w:r>
      <w:r w:rsidR="00D900D2">
        <w:t xml:space="preserve"> </w:t>
      </w:r>
      <w:r>
        <w:t>der GSO ohnehin bestehenden Spielräume hingewiesen, um die</w:t>
      </w:r>
      <w:r w:rsidR="00D900D2">
        <w:t xml:space="preserve"> </w:t>
      </w:r>
      <w:r>
        <w:t>Termindichte und die Belastungen bei den Leistungserhebungen zu</w:t>
      </w:r>
      <w:r w:rsidR="00D900D2">
        <w:t xml:space="preserve"> </w:t>
      </w:r>
      <w:r>
        <w:t xml:space="preserve">reduzieren, </w:t>
      </w:r>
      <w:r w:rsidR="00102307">
        <w:t>z. B.</w:t>
      </w:r>
      <w:r>
        <w:t xml:space="preserve"> im Hinblick auf die Orientierung an der Mindestzahl der</w:t>
      </w:r>
      <w:r w:rsidR="00D900D2">
        <w:t xml:space="preserve"> </w:t>
      </w:r>
      <w:r>
        <w:t>geforderten Leistungsnachweise oder die Nichtausschöpfung der</w:t>
      </w:r>
      <w:r w:rsidR="00D900D2">
        <w:t xml:space="preserve"> </w:t>
      </w:r>
      <w:r>
        <w:t>Höchstarbeitszeiten. Im Übrigen wird darauf hingewiesen, dass die Anzahl</w:t>
      </w:r>
      <w:r w:rsidR="00D900D2">
        <w:t xml:space="preserve"> </w:t>
      </w:r>
      <w:r>
        <w:t>der geforderten Leistungsnachweise mit der individuellen Fachwahl</w:t>
      </w:r>
      <w:r w:rsidR="00D900D2">
        <w:t xml:space="preserve"> </w:t>
      </w:r>
      <w:r>
        <w:t>korreliert und daher individuell unterschiedlich ausfallen kann.</w:t>
      </w:r>
    </w:p>
    <w:p w:rsidR="007E0861" w:rsidRDefault="007E0861" w:rsidP="007E0861">
      <w:pPr>
        <w:pStyle w:val="LTAntwortRessortText"/>
      </w:pPr>
      <w:r>
        <w:lastRenderedPageBreak/>
        <w:t xml:space="preserve">Am </w:t>
      </w:r>
      <w:r w:rsidRPr="00D6673D">
        <w:rPr>
          <w:u w:val="single"/>
        </w:rPr>
        <w:t>Gymnasium</w:t>
      </w:r>
      <w:r>
        <w:t xml:space="preserve"> gelten im Hinblick auf die Abiturprüfung 2021 folgende Abweichungen</w:t>
      </w:r>
      <w:r w:rsidR="00D900D2">
        <w:t xml:space="preserve"> </w:t>
      </w:r>
      <w:r>
        <w:t>(</w:t>
      </w:r>
      <w:r w:rsidRPr="00D6673D">
        <w:rPr>
          <w:highlight w:val="yellow"/>
        </w:rPr>
        <w:t>gelb</w:t>
      </w:r>
      <w:r>
        <w:t xml:space="preserve"> hervorgehoben):</w:t>
      </w:r>
    </w:p>
    <w:p w:rsidR="007E0861" w:rsidRDefault="007E0861" w:rsidP="007E0861">
      <w:pPr>
        <w:pStyle w:val="LTAntwortRessortText"/>
      </w:pPr>
    </w:p>
    <w:tbl>
      <w:tblPr>
        <w:tblStyle w:val="TableNormal"/>
        <w:tblW w:w="6804"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6"/>
        <w:gridCol w:w="5528"/>
      </w:tblGrid>
      <w:tr w:rsidR="00D6673D" w:rsidTr="00473F7B">
        <w:trPr>
          <w:trHeight w:val="411"/>
        </w:trPr>
        <w:tc>
          <w:tcPr>
            <w:tcW w:w="1276" w:type="dxa"/>
          </w:tcPr>
          <w:p w:rsidR="00D6673D" w:rsidRPr="00D6673D" w:rsidRDefault="00D6673D" w:rsidP="00473F7B">
            <w:pPr>
              <w:pStyle w:val="TableParagraph"/>
              <w:spacing w:line="273" w:lineRule="exact"/>
              <w:jc w:val="left"/>
              <w:rPr>
                <w:rFonts w:ascii="Arial" w:hAnsi="Arial" w:cs="Arial"/>
                <w:sz w:val="16"/>
              </w:rPr>
            </w:pPr>
            <w:r w:rsidRPr="00D6673D">
              <w:rPr>
                <w:rFonts w:ascii="Arial" w:hAnsi="Arial" w:cs="Arial"/>
                <w:sz w:val="16"/>
              </w:rPr>
              <w:t>Anzahl</w:t>
            </w:r>
          </w:p>
        </w:tc>
        <w:tc>
          <w:tcPr>
            <w:tcW w:w="5528" w:type="dxa"/>
          </w:tcPr>
          <w:p w:rsidR="00D6673D" w:rsidRPr="00D6673D" w:rsidRDefault="00D6673D" w:rsidP="00473F7B">
            <w:pPr>
              <w:pStyle w:val="TableParagraph"/>
              <w:spacing w:line="273" w:lineRule="exact"/>
              <w:jc w:val="left"/>
              <w:rPr>
                <w:rFonts w:ascii="Arial" w:hAnsi="Arial" w:cs="Arial"/>
                <w:sz w:val="16"/>
              </w:rPr>
            </w:pPr>
            <w:r w:rsidRPr="00D6673D">
              <w:rPr>
                <w:rFonts w:ascii="Arial" w:hAnsi="Arial" w:cs="Arial"/>
                <w:sz w:val="16"/>
              </w:rPr>
              <w:t>--</w:t>
            </w:r>
          </w:p>
        </w:tc>
      </w:tr>
      <w:tr w:rsidR="00D6673D" w:rsidTr="00473F7B">
        <w:trPr>
          <w:trHeight w:val="722"/>
        </w:trPr>
        <w:tc>
          <w:tcPr>
            <w:tcW w:w="1276" w:type="dxa"/>
          </w:tcPr>
          <w:p w:rsidR="00D6673D" w:rsidRPr="00D6673D" w:rsidRDefault="00D6673D" w:rsidP="00473F7B">
            <w:pPr>
              <w:pStyle w:val="TableParagraph"/>
              <w:jc w:val="left"/>
              <w:rPr>
                <w:rFonts w:ascii="Arial" w:hAnsi="Arial" w:cs="Arial"/>
                <w:sz w:val="16"/>
              </w:rPr>
            </w:pPr>
            <w:r w:rsidRPr="00D6673D">
              <w:rPr>
                <w:rFonts w:ascii="Arial" w:hAnsi="Arial" w:cs="Arial"/>
                <w:sz w:val="16"/>
              </w:rPr>
              <w:t>Inhalt</w:t>
            </w:r>
          </w:p>
        </w:tc>
        <w:tc>
          <w:tcPr>
            <w:tcW w:w="5528" w:type="dxa"/>
          </w:tcPr>
          <w:p w:rsidR="00D6673D" w:rsidRPr="00D6673D" w:rsidRDefault="00D6673D" w:rsidP="00473F7B">
            <w:pPr>
              <w:pStyle w:val="TableParagraph"/>
              <w:jc w:val="left"/>
              <w:rPr>
                <w:rFonts w:ascii="Arial" w:hAnsi="Arial" w:cs="Arial"/>
                <w:sz w:val="16"/>
              </w:rPr>
            </w:pPr>
            <w:r w:rsidRPr="00D6673D">
              <w:rPr>
                <w:rFonts w:ascii="Arial" w:hAnsi="Arial" w:cs="Arial"/>
                <w:sz w:val="16"/>
                <w:shd w:val="clear" w:color="auto" w:fill="FFFF00"/>
              </w:rPr>
              <w:t xml:space="preserve">Hinweise auf </w:t>
            </w:r>
            <w:r w:rsidR="00473F7B">
              <w:rPr>
                <w:rFonts w:ascii="Arial" w:hAnsi="Arial" w:cs="Arial"/>
                <w:sz w:val="16"/>
                <w:shd w:val="clear" w:color="auto" w:fill="FFFF00"/>
              </w:rPr>
              <w:t>prüfungsrelevante und nicht prü</w:t>
            </w:r>
            <w:r w:rsidRPr="00D6673D">
              <w:rPr>
                <w:rFonts w:ascii="Arial" w:hAnsi="Arial" w:cs="Arial"/>
                <w:sz w:val="16"/>
                <w:shd w:val="clear" w:color="auto" w:fill="FFFF00"/>
              </w:rPr>
              <w:t>fungsrelevante Stoffgebiete für die schriftlichen</w:t>
            </w:r>
            <w:r w:rsidRPr="00D6673D">
              <w:rPr>
                <w:rFonts w:ascii="Arial" w:hAnsi="Arial" w:cs="Arial"/>
                <w:sz w:val="16"/>
              </w:rPr>
              <w:t xml:space="preserve"> </w:t>
            </w:r>
            <w:r w:rsidRPr="00D6673D">
              <w:rPr>
                <w:rFonts w:ascii="Arial" w:hAnsi="Arial" w:cs="Arial"/>
                <w:sz w:val="16"/>
                <w:shd w:val="clear" w:color="auto" w:fill="FFFF00"/>
              </w:rPr>
              <w:t>Prüfungsfächer</w:t>
            </w:r>
          </w:p>
        </w:tc>
      </w:tr>
      <w:tr w:rsidR="00D6673D" w:rsidTr="00473F7B">
        <w:trPr>
          <w:trHeight w:val="396"/>
        </w:trPr>
        <w:tc>
          <w:tcPr>
            <w:tcW w:w="1276" w:type="dxa"/>
          </w:tcPr>
          <w:p w:rsidR="00D6673D" w:rsidRPr="00D6673D" w:rsidRDefault="00D6673D" w:rsidP="00473F7B">
            <w:pPr>
              <w:pStyle w:val="TableParagraph"/>
              <w:jc w:val="left"/>
              <w:rPr>
                <w:rFonts w:ascii="Arial" w:hAnsi="Arial" w:cs="Arial"/>
                <w:sz w:val="16"/>
              </w:rPr>
            </w:pPr>
            <w:r w:rsidRPr="00D6673D">
              <w:rPr>
                <w:rFonts w:ascii="Arial" w:hAnsi="Arial" w:cs="Arial"/>
                <w:sz w:val="16"/>
              </w:rPr>
              <w:t>Umfang</w:t>
            </w:r>
          </w:p>
        </w:tc>
        <w:tc>
          <w:tcPr>
            <w:tcW w:w="5528" w:type="dxa"/>
          </w:tcPr>
          <w:p w:rsidR="00D6673D" w:rsidRPr="00D6673D" w:rsidRDefault="00D6673D" w:rsidP="00473F7B">
            <w:pPr>
              <w:pStyle w:val="TableParagraph"/>
              <w:jc w:val="left"/>
              <w:rPr>
                <w:rFonts w:ascii="Arial" w:hAnsi="Arial" w:cs="Arial"/>
                <w:sz w:val="16"/>
              </w:rPr>
            </w:pPr>
            <w:r w:rsidRPr="00D6673D">
              <w:rPr>
                <w:rFonts w:ascii="Arial" w:hAnsi="Arial" w:cs="Arial"/>
                <w:sz w:val="16"/>
              </w:rPr>
              <w:t>--</w:t>
            </w:r>
          </w:p>
        </w:tc>
      </w:tr>
    </w:tbl>
    <w:p w:rsidR="007E0861" w:rsidRDefault="007E0861" w:rsidP="007E0861">
      <w:pPr>
        <w:pStyle w:val="LTAntwortRessortText"/>
      </w:pPr>
      <w:r>
        <w:t xml:space="preserve">An </w:t>
      </w:r>
      <w:r w:rsidRPr="00D6673D">
        <w:rPr>
          <w:u w:val="single"/>
        </w:rPr>
        <w:t>Fach- und Berufsoberschulen</w:t>
      </w:r>
      <w:r>
        <w:t xml:space="preserve"> gelten aktuell, d.</w:t>
      </w:r>
      <w:r w:rsidR="00473F7B">
        <w:t> </w:t>
      </w:r>
      <w:r>
        <w:t>h. im Schuljahr 2020/2021, für den</w:t>
      </w:r>
      <w:r w:rsidR="00265CCB">
        <w:t xml:space="preserve"> </w:t>
      </w:r>
      <w:r>
        <w:t>Fachabitur- und Abiturjahrgang 2021 folgende Abweichungen (</w:t>
      </w:r>
      <w:r w:rsidRPr="00D6673D">
        <w:rPr>
          <w:highlight w:val="yellow"/>
        </w:rPr>
        <w:t>gelb</w:t>
      </w:r>
      <w:r>
        <w:t xml:space="preserve"> hervorgehoben):</w:t>
      </w:r>
    </w:p>
    <w:p w:rsidR="007E0861" w:rsidRDefault="007E0861" w:rsidP="007E0861">
      <w:pPr>
        <w:pStyle w:val="LTAntwortRessortText"/>
      </w:pPr>
    </w:p>
    <w:tbl>
      <w:tblPr>
        <w:tblStyle w:val="TableNormal"/>
        <w:tblW w:w="6237"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99"/>
        <w:gridCol w:w="1428"/>
        <w:gridCol w:w="2410"/>
      </w:tblGrid>
      <w:tr w:rsidR="00D6673D" w:rsidTr="00473F7B">
        <w:trPr>
          <w:trHeight w:val="412"/>
        </w:trPr>
        <w:tc>
          <w:tcPr>
            <w:tcW w:w="2399" w:type="dxa"/>
          </w:tcPr>
          <w:p w:rsidR="00D6673D" w:rsidRPr="00D6673D" w:rsidRDefault="00D6673D" w:rsidP="00473F7B">
            <w:pPr>
              <w:pStyle w:val="TableParagraph"/>
              <w:spacing w:line="240" w:lineRule="auto"/>
              <w:jc w:val="left"/>
              <w:rPr>
                <w:rFonts w:ascii="Arial" w:hAnsi="Arial" w:cs="Arial"/>
                <w:sz w:val="16"/>
              </w:rPr>
            </w:pPr>
          </w:p>
        </w:tc>
        <w:tc>
          <w:tcPr>
            <w:tcW w:w="1428" w:type="dxa"/>
            <w:shd w:val="clear" w:color="auto" w:fill="BEBEBE"/>
          </w:tcPr>
          <w:p w:rsidR="00D6673D" w:rsidRPr="00D6673D" w:rsidRDefault="00D6673D" w:rsidP="00473F7B">
            <w:pPr>
              <w:pStyle w:val="TableParagraph"/>
              <w:jc w:val="left"/>
              <w:rPr>
                <w:rFonts w:ascii="Arial" w:hAnsi="Arial" w:cs="Arial"/>
                <w:b/>
                <w:sz w:val="16"/>
              </w:rPr>
            </w:pPr>
            <w:r w:rsidRPr="00D6673D">
              <w:rPr>
                <w:rFonts w:ascii="Arial" w:hAnsi="Arial" w:cs="Arial"/>
                <w:b/>
                <w:sz w:val="16"/>
              </w:rPr>
              <w:t>12/1 bzw. 13/1</w:t>
            </w:r>
          </w:p>
        </w:tc>
        <w:tc>
          <w:tcPr>
            <w:tcW w:w="2410" w:type="dxa"/>
            <w:shd w:val="clear" w:color="auto" w:fill="BEBEBE"/>
          </w:tcPr>
          <w:p w:rsidR="00D6673D" w:rsidRPr="00D6673D" w:rsidRDefault="00D6673D" w:rsidP="00473F7B">
            <w:pPr>
              <w:pStyle w:val="TableParagraph"/>
              <w:ind w:left="102"/>
              <w:jc w:val="left"/>
              <w:rPr>
                <w:rFonts w:ascii="Arial" w:hAnsi="Arial" w:cs="Arial"/>
                <w:b/>
                <w:sz w:val="16"/>
              </w:rPr>
            </w:pPr>
            <w:r w:rsidRPr="00D6673D">
              <w:rPr>
                <w:rFonts w:ascii="Arial" w:hAnsi="Arial" w:cs="Arial"/>
                <w:b/>
                <w:sz w:val="16"/>
              </w:rPr>
              <w:t>12/2 bzw. 13/2</w:t>
            </w:r>
          </w:p>
        </w:tc>
      </w:tr>
      <w:tr w:rsidR="00D6673D" w:rsidTr="00473F7B">
        <w:trPr>
          <w:trHeight w:val="396"/>
        </w:trPr>
        <w:tc>
          <w:tcPr>
            <w:tcW w:w="2399" w:type="dxa"/>
          </w:tcPr>
          <w:p w:rsidR="00D6673D" w:rsidRPr="00D6673D" w:rsidRDefault="00D6673D" w:rsidP="00473F7B">
            <w:pPr>
              <w:pStyle w:val="TableParagraph"/>
              <w:spacing w:line="240" w:lineRule="auto"/>
              <w:jc w:val="left"/>
              <w:rPr>
                <w:rFonts w:ascii="Arial" w:hAnsi="Arial" w:cs="Arial"/>
                <w:sz w:val="16"/>
              </w:rPr>
            </w:pPr>
          </w:p>
        </w:tc>
        <w:tc>
          <w:tcPr>
            <w:tcW w:w="3838" w:type="dxa"/>
            <w:gridSpan w:val="2"/>
          </w:tcPr>
          <w:p w:rsidR="00D6673D" w:rsidRPr="00D6673D" w:rsidRDefault="00D6673D" w:rsidP="00473F7B">
            <w:pPr>
              <w:pStyle w:val="TableParagraph"/>
              <w:jc w:val="left"/>
              <w:rPr>
                <w:rFonts w:ascii="Arial" w:hAnsi="Arial" w:cs="Arial"/>
                <w:b/>
                <w:sz w:val="16"/>
              </w:rPr>
            </w:pPr>
            <w:r w:rsidRPr="00D6673D">
              <w:rPr>
                <w:rFonts w:ascii="Arial" w:hAnsi="Arial" w:cs="Arial"/>
                <w:b/>
                <w:sz w:val="16"/>
              </w:rPr>
              <w:t>Schulaufgaben</w:t>
            </w:r>
          </w:p>
        </w:tc>
      </w:tr>
      <w:tr w:rsidR="00D6673D" w:rsidTr="00473F7B">
        <w:trPr>
          <w:trHeight w:val="412"/>
        </w:trPr>
        <w:tc>
          <w:tcPr>
            <w:tcW w:w="2399" w:type="dxa"/>
          </w:tcPr>
          <w:p w:rsidR="00D6673D" w:rsidRPr="00D6673D" w:rsidRDefault="00D6673D" w:rsidP="00473F7B">
            <w:pPr>
              <w:pStyle w:val="TableParagraph"/>
              <w:spacing w:line="273" w:lineRule="exact"/>
              <w:jc w:val="left"/>
              <w:rPr>
                <w:rFonts w:ascii="Arial" w:hAnsi="Arial" w:cs="Arial"/>
                <w:sz w:val="16"/>
              </w:rPr>
            </w:pPr>
            <w:r w:rsidRPr="00D6673D">
              <w:rPr>
                <w:rFonts w:ascii="Arial" w:hAnsi="Arial" w:cs="Arial"/>
                <w:sz w:val="16"/>
              </w:rPr>
              <w:t>Anzahl</w:t>
            </w:r>
          </w:p>
        </w:tc>
        <w:tc>
          <w:tcPr>
            <w:tcW w:w="1428" w:type="dxa"/>
          </w:tcPr>
          <w:p w:rsidR="00D6673D" w:rsidRPr="00D6673D" w:rsidRDefault="00D6673D" w:rsidP="00473F7B">
            <w:pPr>
              <w:pStyle w:val="TableParagraph"/>
              <w:spacing w:line="273" w:lineRule="exact"/>
              <w:jc w:val="left"/>
              <w:rPr>
                <w:rFonts w:ascii="Arial" w:hAnsi="Arial" w:cs="Arial"/>
                <w:sz w:val="16"/>
              </w:rPr>
            </w:pPr>
            <w:r w:rsidRPr="00D6673D">
              <w:rPr>
                <w:rFonts w:ascii="Arial" w:hAnsi="Arial" w:cs="Arial"/>
                <w:sz w:val="16"/>
              </w:rPr>
              <w:t>--</w:t>
            </w:r>
          </w:p>
        </w:tc>
        <w:tc>
          <w:tcPr>
            <w:tcW w:w="2410" w:type="dxa"/>
          </w:tcPr>
          <w:p w:rsidR="00D6673D" w:rsidRPr="00D6673D" w:rsidRDefault="00D6673D" w:rsidP="00473F7B">
            <w:pPr>
              <w:pStyle w:val="TableParagraph"/>
              <w:spacing w:line="273" w:lineRule="exact"/>
              <w:ind w:left="102"/>
              <w:jc w:val="left"/>
              <w:rPr>
                <w:rFonts w:ascii="Arial" w:hAnsi="Arial" w:cs="Arial"/>
                <w:sz w:val="16"/>
              </w:rPr>
            </w:pPr>
            <w:r w:rsidRPr="00D6673D">
              <w:rPr>
                <w:rFonts w:ascii="Arial" w:hAnsi="Arial" w:cs="Arial"/>
                <w:sz w:val="16"/>
                <w:shd w:val="clear" w:color="auto" w:fill="FFFF00"/>
              </w:rPr>
              <w:t>mind. 4</w:t>
            </w:r>
          </w:p>
        </w:tc>
      </w:tr>
      <w:tr w:rsidR="00D6673D" w:rsidTr="00473F7B">
        <w:trPr>
          <w:trHeight w:val="396"/>
        </w:trPr>
        <w:tc>
          <w:tcPr>
            <w:tcW w:w="2399" w:type="dxa"/>
          </w:tcPr>
          <w:p w:rsidR="00D6673D" w:rsidRPr="00D6673D" w:rsidRDefault="00D6673D" w:rsidP="00473F7B">
            <w:pPr>
              <w:pStyle w:val="TableParagraph"/>
              <w:spacing w:line="273" w:lineRule="exact"/>
              <w:jc w:val="left"/>
              <w:rPr>
                <w:rFonts w:ascii="Arial" w:hAnsi="Arial" w:cs="Arial"/>
                <w:sz w:val="16"/>
              </w:rPr>
            </w:pPr>
            <w:r w:rsidRPr="00D6673D">
              <w:rPr>
                <w:rFonts w:ascii="Arial" w:hAnsi="Arial" w:cs="Arial"/>
                <w:sz w:val="16"/>
              </w:rPr>
              <w:t>Inhalt</w:t>
            </w:r>
          </w:p>
        </w:tc>
        <w:tc>
          <w:tcPr>
            <w:tcW w:w="1428" w:type="dxa"/>
          </w:tcPr>
          <w:p w:rsidR="00D6673D" w:rsidRPr="00D6673D" w:rsidRDefault="00D6673D" w:rsidP="00473F7B">
            <w:pPr>
              <w:pStyle w:val="TableParagraph"/>
              <w:spacing w:line="273" w:lineRule="exact"/>
              <w:jc w:val="left"/>
              <w:rPr>
                <w:rFonts w:ascii="Arial" w:hAnsi="Arial" w:cs="Arial"/>
                <w:sz w:val="16"/>
              </w:rPr>
            </w:pPr>
            <w:r w:rsidRPr="00D6673D">
              <w:rPr>
                <w:rFonts w:ascii="Arial" w:hAnsi="Arial" w:cs="Arial"/>
                <w:sz w:val="16"/>
              </w:rPr>
              <w:t>--</w:t>
            </w:r>
          </w:p>
        </w:tc>
        <w:tc>
          <w:tcPr>
            <w:tcW w:w="2410" w:type="dxa"/>
          </w:tcPr>
          <w:p w:rsidR="00D6673D" w:rsidRPr="00D6673D" w:rsidRDefault="00D6673D" w:rsidP="00473F7B">
            <w:pPr>
              <w:pStyle w:val="TableParagraph"/>
              <w:spacing w:line="273" w:lineRule="exact"/>
              <w:ind w:left="102"/>
              <w:jc w:val="left"/>
              <w:rPr>
                <w:rFonts w:ascii="Arial" w:hAnsi="Arial" w:cs="Arial"/>
                <w:sz w:val="16"/>
              </w:rPr>
            </w:pPr>
            <w:r w:rsidRPr="00D6673D">
              <w:rPr>
                <w:rFonts w:ascii="Arial" w:hAnsi="Arial" w:cs="Arial"/>
                <w:sz w:val="16"/>
              </w:rPr>
              <w:t>--</w:t>
            </w:r>
          </w:p>
        </w:tc>
      </w:tr>
      <w:tr w:rsidR="00D6673D" w:rsidTr="00473F7B">
        <w:trPr>
          <w:trHeight w:val="412"/>
        </w:trPr>
        <w:tc>
          <w:tcPr>
            <w:tcW w:w="2399" w:type="dxa"/>
          </w:tcPr>
          <w:p w:rsidR="00D6673D" w:rsidRPr="00D6673D" w:rsidRDefault="00D6673D" w:rsidP="00473F7B">
            <w:pPr>
              <w:pStyle w:val="TableParagraph"/>
              <w:spacing w:line="273" w:lineRule="exact"/>
              <w:jc w:val="left"/>
              <w:rPr>
                <w:rFonts w:ascii="Arial" w:hAnsi="Arial" w:cs="Arial"/>
                <w:sz w:val="16"/>
              </w:rPr>
            </w:pPr>
            <w:r w:rsidRPr="00D6673D">
              <w:rPr>
                <w:rFonts w:ascii="Arial" w:hAnsi="Arial" w:cs="Arial"/>
                <w:sz w:val="16"/>
              </w:rPr>
              <w:t>Umfang</w:t>
            </w:r>
          </w:p>
        </w:tc>
        <w:tc>
          <w:tcPr>
            <w:tcW w:w="1428" w:type="dxa"/>
          </w:tcPr>
          <w:p w:rsidR="00D6673D" w:rsidRPr="00D6673D" w:rsidRDefault="00D6673D" w:rsidP="00473F7B">
            <w:pPr>
              <w:pStyle w:val="TableParagraph"/>
              <w:spacing w:line="273" w:lineRule="exact"/>
              <w:jc w:val="left"/>
              <w:rPr>
                <w:rFonts w:ascii="Arial" w:hAnsi="Arial" w:cs="Arial"/>
                <w:sz w:val="16"/>
              </w:rPr>
            </w:pPr>
            <w:r w:rsidRPr="00D6673D">
              <w:rPr>
                <w:rFonts w:ascii="Arial" w:hAnsi="Arial" w:cs="Arial"/>
                <w:sz w:val="16"/>
              </w:rPr>
              <w:t>--</w:t>
            </w:r>
          </w:p>
        </w:tc>
        <w:tc>
          <w:tcPr>
            <w:tcW w:w="2410" w:type="dxa"/>
          </w:tcPr>
          <w:p w:rsidR="00D6673D" w:rsidRPr="00D6673D" w:rsidRDefault="00D6673D" w:rsidP="00473F7B">
            <w:pPr>
              <w:pStyle w:val="TableParagraph"/>
              <w:spacing w:line="273" w:lineRule="exact"/>
              <w:ind w:left="102"/>
              <w:jc w:val="left"/>
              <w:rPr>
                <w:rFonts w:ascii="Arial" w:hAnsi="Arial" w:cs="Arial"/>
                <w:sz w:val="16"/>
              </w:rPr>
            </w:pPr>
            <w:r w:rsidRPr="00D6673D">
              <w:rPr>
                <w:rFonts w:ascii="Arial" w:hAnsi="Arial" w:cs="Arial"/>
                <w:sz w:val="16"/>
              </w:rPr>
              <w:t>--</w:t>
            </w:r>
          </w:p>
        </w:tc>
      </w:tr>
      <w:tr w:rsidR="00D6673D" w:rsidTr="00473F7B">
        <w:trPr>
          <w:trHeight w:val="396"/>
        </w:trPr>
        <w:tc>
          <w:tcPr>
            <w:tcW w:w="2399" w:type="dxa"/>
          </w:tcPr>
          <w:p w:rsidR="00D6673D" w:rsidRPr="00D6673D" w:rsidRDefault="00D6673D" w:rsidP="00473F7B">
            <w:pPr>
              <w:pStyle w:val="TableParagraph"/>
              <w:spacing w:line="240" w:lineRule="auto"/>
              <w:jc w:val="left"/>
              <w:rPr>
                <w:rFonts w:ascii="Arial" w:hAnsi="Arial" w:cs="Arial"/>
                <w:sz w:val="16"/>
              </w:rPr>
            </w:pPr>
          </w:p>
        </w:tc>
        <w:tc>
          <w:tcPr>
            <w:tcW w:w="3838" w:type="dxa"/>
            <w:gridSpan w:val="2"/>
          </w:tcPr>
          <w:p w:rsidR="00D6673D" w:rsidRPr="00D6673D" w:rsidRDefault="00D6673D" w:rsidP="00473F7B">
            <w:pPr>
              <w:pStyle w:val="TableParagraph"/>
              <w:jc w:val="left"/>
              <w:rPr>
                <w:rFonts w:ascii="Arial" w:hAnsi="Arial" w:cs="Arial"/>
                <w:b/>
                <w:sz w:val="16"/>
              </w:rPr>
            </w:pPr>
            <w:r w:rsidRPr="00D6673D">
              <w:rPr>
                <w:rFonts w:ascii="Arial" w:hAnsi="Arial" w:cs="Arial"/>
                <w:b/>
                <w:sz w:val="16"/>
              </w:rPr>
              <w:t>sonstige Leistungsnachweise</w:t>
            </w:r>
          </w:p>
        </w:tc>
      </w:tr>
      <w:tr w:rsidR="00D6673D" w:rsidTr="00473F7B">
        <w:trPr>
          <w:trHeight w:val="829"/>
        </w:trPr>
        <w:tc>
          <w:tcPr>
            <w:tcW w:w="2399" w:type="dxa"/>
          </w:tcPr>
          <w:p w:rsidR="00D6673D" w:rsidRPr="00D6673D" w:rsidRDefault="00D6673D" w:rsidP="00473F7B">
            <w:pPr>
              <w:pStyle w:val="TableParagraph"/>
              <w:spacing w:line="273" w:lineRule="exact"/>
              <w:jc w:val="left"/>
              <w:rPr>
                <w:rFonts w:ascii="Arial" w:hAnsi="Arial" w:cs="Arial"/>
                <w:sz w:val="16"/>
              </w:rPr>
            </w:pPr>
            <w:r w:rsidRPr="00D6673D">
              <w:rPr>
                <w:rFonts w:ascii="Arial" w:hAnsi="Arial" w:cs="Arial"/>
                <w:sz w:val="16"/>
              </w:rPr>
              <w:t>Anzahl</w:t>
            </w:r>
          </w:p>
        </w:tc>
        <w:tc>
          <w:tcPr>
            <w:tcW w:w="1428" w:type="dxa"/>
          </w:tcPr>
          <w:p w:rsidR="00D6673D" w:rsidRPr="00D6673D" w:rsidRDefault="00D6673D" w:rsidP="00473F7B">
            <w:pPr>
              <w:pStyle w:val="TableParagraph"/>
              <w:spacing w:line="273" w:lineRule="exact"/>
              <w:jc w:val="left"/>
              <w:rPr>
                <w:rFonts w:ascii="Arial" w:hAnsi="Arial" w:cs="Arial"/>
                <w:sz w:val="16"/>
              </w:rPr>
            </w:pPr>
            <w:r w:rsidRPr="00D6673D">
              <w:rPr>
                <w:rFonts w:ascii="Arial" w:hAnsi="Arial" w:cs="Arial"/>
                <w:sz w:val="16"/>
              </w:rPr>
              <w:t>--</w:t>
            </w:r>
          </w:p>
        </w:tc>
        <w:tc>
          <w:tcPr>
            <w:tcW w:w="2410" w:type="dxa"/>
          </w:tcPr>
          <w:p w:rsidR="00D6673D" w:rsidRPr="00D6673D" w:rsidRDefault="00473F7B" w:rsidP="00473F7B">
            <w:pPr>
              <w:pStyle w:val="TableParagraph"/>
              <w:spacing w:line="273" w:lineRule="exact"/>
              <w:ind w:left="102"/>
              <w:jc w:val="left"/>
              <w:rPr>
                <w:rFonts w:ascii="Arial" w:hAnsi="Arial" w:cs="Arial"/>
                <w:sz w:val="16"/>
              </w:rPr>
            </w:pPr>
            <w:r>
              <w:rPr>
                <w:rFonts w:ascii="Arial" w:hAnsi="Arial" w:cs="Arial"/>
                <w:sz w:val="16"/>
                <w:shd w:val="clear" w:color="auto" w:fill="FFFF00"/>
              </w:rPr>
              <w:t>alternativ 1 Ersatzprü</w:t>
            </w:r>
            <w:r w:rsidR="00D6673D" w:rsidRPr="00D6673D">
              <w:rPr>
                <w:rFonts w:ascii="Arial" w:hAnsi="Arial" w:cs="Arial"/>
                <w:sz w:val="16"/>
                <w:shd w:val="clear" w:color="auto" w:fill="FFFF00"/>
              </w:rPr>
              <w:t>fung (siehe unten)</w:t>
            </w:r>
          </w:p>
        </w:tc>
      </w:tr>
      <w:tr w:rsidR="00D6673D" w:rsidTr="00473F7B">
        <w:trPr>
          <w:trHeight w:val="395"/>
        </w:trPr>
        <w:tc>
          <w:tcPr>
            <w:tcW w:w="2399" w:type="dxa"/>
          </w:tcPr>
          <w:p w:rsidR="00D6673D" w:rsidRPr="00D6673D" w:rsidRDefault="00D6673D" w:rsidP="00473F7B">
            <w:pPr>
              <w:pStyle w:val="TableParagraph"/>
              <w:jc w:val="left"/>
              <w:rPr>
                <w:rFonts w:ascii="Arial" w:hAnsi="Arial" w:cs="Arial"/>
                <w:sz w:val="16"/>
              </w:rPr>
            </w:pPr>
            <w:r w:rsidRPr="00D6673D">
              <w:rPr>
                <w:rFonts w:ascii="Arial" w:hAnsi="Arial" w:cs="Arial"/>
                <w:sz w:val="16"/>
              </w:rPr>
              <w:t>Inhalt</w:t>
            </w:r>
          </w:p>
        </w:tc>
        <w:tc>
          <w:tcPr>
            <w:tcW w:w="1428" w:type="dxa"/>
          </w:tcPr>
          <w:p w:rsidR="00D6673D" w:rsidRPr="00D6673D" w:rsidRDefault="00D6673D" w:rsidP="00473F7B">
            <w:pPr>
              <w:pStyle w:val="TableParagraph"/>
              <w:jc w:val="left"/>
              <w:rPr>
                <w:rFonts w:ascii="Arial" w:hAnsi="Arial" w:cs="Arial"/>
                <w:sz w:val="16"/>
              </w:rPr>
            </w:pPr>
            <w:r w:rsidRPr="00D6673D">
              <w:rPr>
                <w:rFonts w:ascii="Arial" w:hAnsi="Arial" w:cs="Arial"/>
                <w:sz w:val="16"/>
              </w:rPr>
              <w:t>--</w:t>
            </w:r>
          </w:p>
        </w:tc>
        <w:tc>
          <w:tcPr>
            <w:tcW w:w="2410" w:type="dxa"/>
          </w:tcPr>
          <w:p w:rsidR="00D6673D" w:rsidRPr="00D6673D" w:rsidRDefault="00D6673D" w:rsidP="00473F7B">
            <w:pPr>
              <w:pStyle w:val="TableParagraph"/>
              <w:ind w:left="102"/>
              <w:jc w:val="left"/>
              <w:rPr>
                <w:rFonts w:ascii="Arial" w:hAnsi="Arial" w:cs="Arial"/>
                <w:sz w:val="16"/>
              </w:rPr>
            </w:pPr>
            <w:r w:rsidRPr="00D6673D">
              <w:rPr>
                <w:rFonts w:ascii="Arial" w:hAnsi="Arial" w:cs="Arial"/>
                <w:sz w:val="16"/>
              </w:rPr>
              <w:t>--</w:t>
            </w:r>
          </w:p>
        </w:tc>
      </w:tr>
      <w:tr w:rsidR="00D6673D" w:rsidTr="00473F7B">
        <w:trPr>
          <w:trHeight w:val="813"/>
        </w:trPr>
        <w:tc>
          <w:tcPr>
            <w:tcW w:w="2399" w:type="dxa"/>
          </w:tcPr>
          <w:p w:rsidR="00D6673D" w:rsidRPr="00D6673D" w:rsidRDefault="00D6673D" w:rsidP="00473F7B">
            <w:pPr>
              <w:pStyle w:val="TableParagraph"/>
              <w:spacing w:line="273" w:lineRule="exact"/>
              <w:jc w:val="left"/>
              <w:rPr>
                <w:rFonts w:ascii="Arial" w:hAnsi="Arial" w:cs="Arial"/>
                <w:sz w:val="16"/>
              </w:rPr>
            </w:pPr>
            <w:r w:rsidRPr="00D6673D">
              <w:rPr>
                <w:rFonts w:ascii="Arial" w:hAnsi="Arial" w:cs="Arial"/>
                <w:sz w:val="16"/>
              </w:rPr>
              <w:t>Umfang</w:t>
            </w:r>
          </w:p>
        </w:tc>
        <w:tc>
          <w:tcPr>
            <w:tcW w:w="1428" w:type="dxa"/>
          </w:tcPr>
          <w:p w:rsidR="00D6673D" w:rsidRPr="00D6673D" w:rsidRDefault="00D6673D" w:rsidP="00473F7B">
            <w:pPr>
              <w:pStyle w:val="TableParagraph"/>
              <w:spacing w:line="273" w:lineRule="exact"/>
              <w:jc w:val="left"/>
              <w:rPr>
                <w:rFonts w:ascii="Arial" w:hAnsi="Arial" w:cs="Arial"/>
                <w:sz w:val="16"/>
              </w:rPr>
            </w:pPr>
            <w:r w:rsidRPr="00D6673D">
              <w:rPr>
                <w:rFonts w:ascii="Arial" w:hAnsi="Arial" w:cs="Arial"/>
                <w:sz w:val="16"/>
              </w:rPr>
              <w:t>--</w:t>
            </w:r>
          </w:p>
        </w:tc>
        <w:tc>
          <w:tcPr>
            <w:tcW w:w="2410" w:type="dxa"/>
          </w:tcPr>
          <w:p w:rsidR="00D6673D" w:rsidRPr="00D6673D" w:rsidRDefault="00D6673D" w:rsidP="00473F7B">
            <w:pPr>
              <w:pStyle w:val="TableParagraph"/>
              <w:spacing w:line="273" w:lineRule="exact"/>
              <w:ind w:left="102"/>
              <w:jc w:val="left"/>
              <w:rPr>
                <w:rFonts w:ascii="Arial" w:hAnsi="Arial" w:cs="Arial"/>
                <w:sz w:val="16"/>
              </w:rPr>
            </w:pPr>
            <w:r w:rsidRPr="00D6673D">
              <w:rPr>
                <w:rFonts w:ascii="Arial" w:hAnsi="Arial" w:cs="Arial"/>
                <w:sz w:val="16"/>
                <w:shd w:val="clear" w:color="auto" w:fill="FFFF00"/>
              </w:rPr>
              <w:t>können auch mündlich</w:t>
            </w:r>
          </w:p>
          <w:p w:rsidR="00D6673D" w:rsidRPr="00D6673D" w:rsidRDefault="00D6673D" w:rsidP="00473F7B">
            <w:pPr>
              <w:pStyle w:val="TableParagraph"/>
              <w:spacing w:before="140" w:line="240" w:lineRule="auto"/>
              <w:ind w:left="102"/>
              <w:jc w:val="left"/>
              <w:rPr>
                <w:rFonts w:ascii="Arial" w:hAnsi="Arial" w:cs="Arial"/>
                <w:sz w:val="16"/>
              </w:rPr>
            </w:pPr>
            <w:r w:rsidRPr="00D6673D">
              <w:rPr>
                <w:rFonts w:ascii="Arial" w:hAnsi="Arial" w:cs="Arial"/>
                <w:sz w:val="16"/>
                <w:shd w:val="clear" w:color="auto" w:fill="FFFF00"/>
              </w:rPr>
              <w:t>erbracht werden</w:t>
            </w:r>
          </w:p>
        </w:tc>
      </w:tr>
    </w:tbl>
    <w:p w:rsidR="007E0861" w:rsidRDefault="007E0861" w:rsidP="007E0861">
      <w:pPr>
        <w:pStyle w:val="LTAntwortRessortText"/>
      </w:pPr>
      <w:r>
        <w:t>Die Schulordnung für Fachoberschulen und Berufsoberschulen in Bayern</w:t>
      </w:r>
      <w:r w:rsidR="00D900D2">
        <w:t xml:space="preserve"> </w:t>
      </w:r>
      <w:r w:rsidR="00473F7B">
        <w:br/>
      </w:r>
      <w:r>
        <w:t>(FOBOSO) legt die Anzahl der Schulaufgaben verbindlich fest und fordert</w:t>
      </w:r>
      <w:r w:rsidR="00D900D2">
        <w:t xml:space="preserve"> </w:t>
      </w:r>
      <w:r>
        <w:t>im Hinblick auf die sonstigen Leistungsnachweise demgegenüber eine</w:t>
      </w:r>
      <w:r w:rsidR="00D900D2">
        <w:t xml:space="preserve"> </w:t>
      </w:r>
      <w:r>
        <w:t>Mindestzahl (s.</w:t>
      </w:r>
      <w:r w:rsidR="00473F7B">
        <w:t> </w:t>
      </w:r>
      <w:r>
        <w:t>o.); bezüglich der Bearbeitungszeit von sonstigen</w:t>
      </w:r>
      <w:r w:rsidR="00D900D2">
        <w:t xml:space="preserve"> </w:t>
      </w:r>
      <w:r>
        <w:t>Leistungsnachweisen sind Höchstgrenzen festgelegt. Zahl, Art und</w:t>
      </w:r>
      <w:r w:rsidR="00D900D2">
        <w:t xml:space="preserve"> </w:t>
      </w:r>
      <w:r>
        <w:t>Terminierung liegen ansonsten im pädagogischen Ermessen der</w:t>
      </w:r>
      <w:r w:rsidR="00D900D2">
        <w:t xml:space="preserve"> </w:t>
      </w:r>
      <w:r>
        <w:t>Lehrkräfte. Die sonstigen Leistungsnachweise können pandemiebedingt im</w:t>
      </w:r>
      <w:r w:rsidR="00D900D2">
        <w:t xml:space="preserve"> </w:t>
      </w:r>
      <w:r>
        <w:t>Ausnahmefall im Schuljahr 2020/</w:t>
      </w:r>
      <w:r w:rsidR="00684CFD">
        <w:t>20</w:t>
      </w:r>
      <w:r>
        <w:t>21 für 12/2 und 13/2 auch durch zwei</w:t>
      </w:r>
      <w:r w:rsidR="00D900D2">
        <w:t xml:space="preserve"> </w:t>
      </w:r>
      <w:r>
        <w:t>mündliche Leistungen erbracht werden.</w:t>
      </w:r>
    </w:p>
    <w:p w:rsidR="007E0861" w:rsidRDefault="007E0861" w:rsidP="007E0861">
      <w:pPr>
        <w:pStyle w:val="LTAntwortRessortText"/>
      </w:pPr>
      <w:r>
        <w:t>Die Schulen wurden mit Schreiben vom 21.12.2020 auf die Möglichkeit hingewiesen,</w:t>
      </w:r>
      <w:r w:rsidR="00D900D2">
        <w:t xml:space="preserve"> </w:t>
      </w:r>
      <w:r>
        <w:t>dass auch im zweiten Halbjahr Ersatzprüfungen angesetzt werden können, um eine</w:t>
      </w:r>
      <w:r w:rsidR="00D900D2">
        <w:t xml:space="preserve"> </w:t>
      </w:r>
      <w:r>
        <w:t>Häufung von Leistungsnachweisen zu vermeiden. Es gilt folgende Regelung:</w:t>
      </w:r>
    </w:p>
    <w:p w:rsidR="007E0861" w:rsidRDefault="007E0861" w:rsidP="0012690B">
      <w:pPr>
        <w:pStyle w:val="LTAntwortRessortText"/>
        <w:numPr>
          <w:ilvl w:val="0"/>
          <w:numId w:val="28"/>
        </w:numPr>
        <w:spacing w:before="0"/>
        <w:ind w:left="697" w:hanging="357"/>
      </w:pPr>
      <w:r>
        <w:t>In Pflichtfächern, in denen nach Anlage 3 FOBOSO Schulaufgaben</w:t>
      </w:r>
      <w:r w:rsidR="00D900D2">
        <w:t xml:space="preserve"> </w:t>
      </w:r>
      <w:r>
        <w:t>geschrieben werden, können die sonstigen Leistungsnachweise nach § 18</w:t>
      </w:r>
      <w:r w:rsidR="00D900D2">
        <w:t xml:space="preserve"> </w:t>
      </w:r>
      <w:r>
        <w:t>FOBOSO (mündlich und schriftlich) durch eine schriftliche oder mündliche</w:t>
      </w:r>
      <w:r w:rsidR="00D900D2">
        <w:t xml:space="preserve"> </w:t>
      </w:r>
      <w:r>
        <w:t>Ersatzprüfung pro Halbjahr ersetzt werden.</w:t>
      </w:r>
    </w:p>
    <w:p w:rsidR="007E0861" w:rsidRDefault="007E0861" w:rsidP="0012690B">
      <w:pPr>
        <w:pStyle w:val="LTAntwortRessortText"/>
        <w:numPr>
          <w:ilvl w:val="0"/>
          <w:numId w:val="28"/>
        </w:numPr>
        <w:spacing w:before="0"/>
        <w:ind w:left="697" w:hanging="357"/>
      </w:pPr>
      <w:r>
        <w:lastRenderedPageBreak/>
        <w:t>Für Pflicht- und Wahlpflichtfächer, in denen keine Schulaufgaben geschrieben</w:t>
      </w:r>
      <w:r w:rsidR="00D900D2">
        <w:t xml:space="preserve"> </w:t>
      </w:r>
      <w:r>
        <w:t>werden, können ebenfalls die sonstigen Leistungsnachweise (mündlich</w:t>
      </w:r>
      <w:r w:rsidR="00D900D2">
        <w:t xml:space="preserve"> </w:t>
      </w:r>
      <w:r>
        <w:t>und schriftlich) durch eine schriftliche Ersatzprüfung pro Halbjahr ersetzt</w:t>
      </w:r>
      <w:r w:rsidR="00D900D2">
        <w:t xml:space="preserve"> </w:t>
      </w:r>
      <w:r>
        <w:t>werden.</w:t>
      </w:r>
    </w:p>
    <w:p w:rsidR="007E0861" w:rsidRDefault="007E0861" w:rsidP="007E0861">
      <w:pPr>
        <w:pStyle w:val="LTAntwortRessortText"/>
      </w:pPr>
      <w:r>
        <w:t xml:space="preserve">An </w:t>
      </w:r>
      <w:r w:rsidRPr="00D6673D">
        <w:rPr>
          <w:u w:val="single"/>
        </w:rPr>
        <w:t>Fach- und Berufsoberschulen</w:t>
      </w:r>
      <w:r>
        <w:t xml:space="preserve"> gelten im Hinblick auf die Abiturprüfung 2021 </w:t>
      </w:r>
      <w:r w:rsidR="00473F7B">
        <w:br/>
      </w:r>
      <w:r>
        <w:t>folgende</w:t>
      </w:r>
      <w:r w:rsidR="00D900D2">
        <w:t xml:space="preserve"> </w:t>
      </w:r>
      <w:r>
        <w:t>Abweichungen (</w:t>
      </w:r>
      <w:r w:rsidRPr="00D6673D">
        <w:rPr>
          <w:highlight w:val="yellow"/>
        </w:rPr>
        <w:t>gelb</w:t>
      </w:r>
      <w:r>
        <w:t xml:space="preserve"> hervorgehoben):</w:t>
      </w:r>
    </w:p>
    <w:p w:rsidR="007E0861" w:rsidRDefault="007E0861" w:rsidP="007E0861">
      <w:pPr>
        <w:pStyle w:val="LTAntwortRessortText"/>
      </w:pPr>
    </w:p>
    <w:tbl>
      <w:tblPr>
        <w:tblStyle w:val="TableNormal"/>
        <w:tblW w:w="4252"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2"/>
        <w:gridCol w:w="3260"/>
      </w:tblGrid>
      <w:tr w:rsidR="00D6673D" w:rsidTr="00473F7B">
        <w:trPr>
          <w:trHeight w:val="412"/>
        </w:trPr>
        <w:tc>
          <w:tcPr>
            <w:tcW w:w="992" w:type="dxa"/>
          </w:tcPr>
          <w:p w:rsidR="00D6673D" w:rsidRPr="00D6673D" w:rsidRDefault="00D6673D" w:rsidP="00473F7B">
            <w:pPr>
              <w:pStyle w:val="TableParagraph"/>
              <w:spacing w:line="273" w:lineRule="exact"/>
              <w:jc w:val="left"/>
              <w:rPr>
                <w:rFonts w:ascii="Arial" w:hAnsi="Arial" w:cs="Arial"/>
                <w:sz w:val="16"/>
              </w:rPr>
            </w:pPr>
            <w:r w:rsidRPr="00D6673D">
              <w:rPr>
                <w:rFonts w:ascii="Arial" w:hAnsi="Arial" w:cs="Arial"/>
                <w:sz w:val="16"/>
              </w:rPr>
              <w:t>Anzahl</w:t>
            </w:r>
          </w:p>
        </w:tc>
        <w:tc>
          <w:tcPr>
            <w:tcW w:w="3260" w:type="dxa"/>
          </w:tcPr>
          <w:p w:rsidR="00D6673D" w:rsidRPr="00D6673D" w:rsidRDefault="00D6673D" w:rsidP="00473F7B">
            <w:pPr>
              <w:pStyle w:val="TableParagraph"/>
              <w:spacing w:line="273" w:lineRule="exact"/>
              <w:jc w:val="left"/>
              <w:rPr>
                <w:rFonts w:ascii="Arial" w:hAnsi="Arial" w:cs="Arial"/>
                <w:sz w:val="16"/>
              </w:rPr>
            </w:pPr>
            <w:r w:rsidRPr="00D6673D">
              <w:rPr>
                <w:rFonts w:ascii="Arial" w:hAnsi="Arial" w:cs="Arial"/>
                <w:sz w:val="16"/>
              </w:rPr>
              <w:t>--</w:t>
            </w:r>
          </w:p>
        </w:tc>
      </w:tr>
      <w:tr w:rsidR="00D6673D" w:rsidTr="00473F7B">
        <w:trPr>
          <w:trHeight w:val="882"/>
        </w:trPr>
        <w:tc>
          <w:tcPr>
            <w:tcW w:w="992" w:type="dxa"/>
          </w:tcPr>
          <w:p w:rsidR="00D6673D" w:rsidRPr="00D6673D" w:rsidRDefault="00D6673D" w:rsidP="00473F7B">
            <w:pPr>
              <w:pStyle w:val="TableParagraph"/>
              <w:jc w:val="left"/>
              <w:rPr>
                <w:rFonts w:ascii="Arial" w:hAnsi="Arial" w:cs="Arial"/>
                <w:sz w:val="16"/>
              </w:rPr>
            </w:pPr>
            <w:r w:rsidRPr="00D6673D">
              <w:rPr>
                <w:rFonts w:ascii="Arial" w:hAnsi="Arial" w:cs="Arial"/>
                <w:sz w:val="16"/>
              </w:rPr>
              <w:t>Inhalt</w:t>
            </w:r>
          </w:p>
        </w:tc>
        <w:tc>
          <w:tcPr>
            <w:tcW w:w="3260" w:type="dxa"/>
          </w:tcPr>
          <w:p w:rsidR="00D6673D" w:rsidRPr="00D6673D" w:rsidRDefault="00D6673D" w:rsidP="00473F7B">
            <w:pPr>
              <w:pStyle w:val="TableParagraph"/>
              <w:jc w:val="left"/>
              <w:rPr>
                <w:rFonts w:ascii="Arial" w:hAnsi="Arial" w:cs="Arial"/>
                <w:sz w:val="16"/>
              </w:rPr>
            </w:pPr>
            <w:r w:rsidRPr="00D6673D">
              <w:rPr>
                <w:rFonts w:ascii="Arial" w:hAnsi="Arial" w:cs="Arial"/>
                <w:sz w:val="16"/>
                <w:shd w:val="clear" w:color="auto" w:fill="FFFF00"/>
              </w:rPr>
              <w:t xml:space="preserve">Hinweise auf </w:t>
            </w:r>
            <w:r w:rsidR="00473F7B">
              <w:rPr>
                <w:rFonts w:ascii="Arial" w:hAnsi="Arial" w:cs="Arial"/>
                <w:sz w:val="16"/>
                <w:shd w:val="clear" w:color="auto" w:fill="FFFF00"/>
              </w:rPr>
              <w:t>prüfungsrelevante und nicht prü</w:t>
            </w:r>
            <w:r w:rsidRPr="00D6673D">
              <w:rPr>
                <w:rFonts w:ascii="Arial" w:hAnsi="Arial" w:cs="Arial"/>
                <w:sz w:val="16"/>
                <w:shd w:val="clear" w:color="auto" w:fill="FFFF00"/>
              </w:rPr>
              <w:t>fungsrelevante Stoffgebiete für die Fach</w:t>
            </w:r>
            <w:r w:rsidR="00473F7B">
              <w:rPr>
                <w:rFonts w:ascii="Arial" w:hAnsi="Arial" w:cs="Arial"/>
                <w:sz w:val="16"/>
                <w:shd w:val="clear" w:color="auto" w:fill="FFFF00"/>
              </w:rPr>
              <w:t>-</w:t>
            </w:r>
            <w:r w:rsidRPr="00D6673D">
              <w:rPr>
                <w:rFonts w:ascii="Arial" w:hAnsi="Arial" w:cs="Arial"/>
                <w:sz w:val="16"/>
                <w:shd w:val="clear" w:color="auto" w:fill="FFFF00"/>
              </w:rPr>
              <w:t>abitur-</w:t>
            </w:r>
            <w:r w:rsidRPr="00D6673D">
              <w:rPr>
                <w:rFonts w:ascii="Arial" w:hAnsi="Arial" w:cs="Arial"/>
                <w:sz w:val="16"/>
              </w:rPr>
              <w:t xml:space="preserve"> </w:t>
            </w:r>
            <w:r w:rsidRPr="00D6673D">
              <w:rPr>
                <w:rFonts w:ascii="Arial" w:hAnsi="Arial" w:cs="Arial"/>
                <w:sz w:val="16"/>
                <w:shd w:val="clear" w:color="auto" w:fill="FFFF00"/>
              </w:rPr>
              <w:t>und Abiturprüfung</w:t>
            </w:r>
          </w:p>
        </w:tc>
      </w:tr>
      <w:tr w:rsidR="00D6673D" w:rsidTr="00473F7B">
        <w:trPr>
          <w:trHeight w:val="396"/>
        </w:trPr>
        <w:tc>
          <w:tcPr>
            <w:tcW w:w="992" w:type="dxa"/>
          </w:tcPr>
          <w:p w:rsidR="00D6673D" w:rsidRPr="00D6673D" w:rsidRDefault="00D6673D" w:rsidP="00473F7B">
            <w:pPr>
              <w:pStyle w:val="TableParagraph"/>
              <w:jc w:val="left"/>
              <w:rPr>
                <w:rFonts w:ascii="Arial" w:hAnsi="Arial" w:cs="Arial"/>
                <w:sz w:val="16"/>
              </w:rPr>
            </w:pPr>
            <w:r w:rsidRPr="00D6673D">
              <w:rPr>
                <w:rFonts w:ascii="Arial" w:hAnsi="Arial" w:cs="Arial"/>
                <w:sz w:val="16"/>
              </w:rPr>
              <w:t>Umfang</w:t>
            </w:r>
          </w:p>
        </w:tc>
        <w:tc>
          <w:tcPr>
            <w:tcW w:w="3260" w:type="dxa"/>
          </w:tcPr>
          <w:p w:rsidR="00D6673D" w:rsidRPr="00D6673D" w:rsidRDefault="00D6673D" w:rsidP="00473F7B">
            <w:pPr>
              <w:pStyle w:val="TableParagraph"/>
              <w:jc w:val="left"/>
              <w:rPr>
                <w:rFonts w:ascii="Arial" w:hAnsi="Arial" w:cs="Arial"/>
                <w:sz w:val="16"/>
              </w:rPr>
            </w:pPr>
            <w:r w:rsidRPr="00D6673D">
              <w:rPr>
                <w:rFonts w:ascii="Arial" w:hAnsi="Arial" w:cs="Arial"/>
                <w:sz w:val="16"/>
              </w:rPr>
              <w:t>--</w:t>
            </w:r>
          </w:p>
        </w:tc>
      </w:tr>
    </w:tbl>
    <w:p w:rsidR="007E0861" w:rsidRPr="00265CCB" w:rsidRDefault="007E0861" w:rsidP="007E0861">
      <w:pPr>
        <w:pStyle w:val="LTAntwortRessortText"/>
        <w:rPr>
          <w:b/>
        </w:rPr>
      </w:pPr>
      <w:r w:rsidRPr="00265CCB">
        <w:rPr>
          <w:b/>
        </w:rPr>
        <w:t>Frage 1.3: Wie lauten die konkreten Konzepte zur Sicherung von</w:t>
      </w:r>
      <w:r w:rsidR="00D900D2" w:rsidRPr="00265CCB">
        <w:rPr>
          <w:b/>
        </w:rPr>
        <w:t xml:space="preserve"> </w:t>
      </w:r>
      <w:r w:rsidRPr="00265CCB">
        <w:rPr>
          <w:b/>
        </w:rPr>
        <w:t>Fairness und Vergleichbarkeit an den jeweiligen Schularten (FOS/BOS</w:t>
      </w:r>
      <w:r w:rsidR="00D900D2" w:rsidRPr="00265CCB">
        <w:rPr>
          <w:b/>
        </w:rPr>
        <w:t xml:space="preserve"> </w:t>
      </w:r>
      <w:r w:rsidRPr="00265CCB">
        <w:rPr>
          <w:b/>
        </w:rPr>
        <w:t>und Gymnasien)?</w:t>
      </w:r>
    </w:p>
    <w:p w:rsidR="007E0861" w:rsidRDefault="007E0861" w:rsidP="00684CFD">
      <w:pPr>
        <w:pStyle w:val="LTAntwortRessortText"/>
      </w:pPr>
      <w:r>
        <w:t xml:space="preserve">Am </w:t>
      </w:r>
      <w:r w:rsidRPr="00D6673D">
        <w:rPr>
          <w:u w:val="single"/>
        </w:rPr>
        <w:t>Gymnasium</w:t>
      </w:r>
      <w:r>
        <w:t xml:space="preserve"> wurden in Abstimmung mit der gymnasialen Schulfamilie</w:t>
      </w:r>
      <w:r w:rsidR="00D900D2">
        <w:t xml:space="preserve"> </w:t>
      </w:r>
      <w:r>
        <w:t>und in Rücksicht auf die Rahmenvorgaben der K</w:t>
      </w:r>
      <w:r w:rsidR="005B53A1">
        <w:t>ultusministerkonferenz (K</w:t>
      </w:r>
      <w:r>
        <w:t>MK</w:t>
      </w:r>
      <w:r w:rsidR="005B53A1">
        <w:t>)</w:t>
      </w:r>
      <w:r>
        <w:t xml:space="preserve"> zur Sicherung von</w:t>
      </w:r>
      <w:r w:rsidR="00D900D2">
        <w:t xml:space="preserve"> </w:t>
      </w:r>
      <w:r>
        <w:t>Fairness und Vergleichbarkeit für den Abiturjahrgang 2021 (Q12)</w:t>
      </w:r>
      <w:r w:rsidR="00D900D2">
        <w:t xml:space="preserve"> </w:t>
      </w:r>
      <w:r>
        <w:t>insbesondere folgende Regelungen getroffen:</w:t>
      </w:r>
    </w:p>
    <w:p w:rsidR="007E0861" w:rsidRDefault="007E0861" w:rsidP="00D900D2">
      <w:pPr>
        <w:pStyle w:val="LTAntwortRessortText"/>
        <w:numPr>
          <w:ilvl w:val="0"/>
          <w:numId w:val="30"/>
        </w:numPr>
        <w:spacing w:before="0"/>
        <w:ind w:left="697" w:hanging="357"/>
      </w:pPr>
      <w:r>
        <w:t>erweiterte Günstigerprüfung zur Ermittlung der Halbjahresleistung im Kurshalbjahr</w:t>
      </w:r>
      <w:r w:rsidR="00D900D2">
        <w:t xml:space="preserve"> </w:t>
      </w:r>
      <w:r>
        <w:t>11/2 (</w:t>
      </w:r>
      <w:r w:rsidR="005B53A1">
        <w:t xml:space="preserve">Kultusministerielle Schreiben – </w:t>
      </w:r>
      <w:r>
        <w:t>KMS vom 29.05.2020)</w:t>
      </w:r>
    </w:p>
    <w:p w:rsidR="007E0861" w:rsidRDefault="007E0861" w:rsidP="00D900D2">
      <w:pPr>
        <w:pStyle w:val="LTAntwortRessortText"/>
        <w:numPr>
          <w:ilvl w:val="0"/>
          <w:numId w:val="30"/>
        </w:numPr>
        <w:spacing w:before="0"/>
        <w:ind w:left="697" w:hanging="357"/>
      </w:pPr>
      <w:r>
        <w:t>Hinweise auf prüfungsrelevante und nicht prüfungsrelevante Inhalte für die</w:t>
      </w:r>
      <w:r w:rsidR="00D900D2">
        <w:t xml:space="preserve"> </w:t>
      </w:r>
      <w:r>
        <w:t>schriftliche Abiturprüfung 2021 (KMS vom 26.05.2020)</w:t>
      </w:r>
    </w:p>
    <w:p w:rsidR="007E0861" w:rsidRDefault="007E0861" w:rsidP="00D900D2">
      <w:pPr>
        <w:pStyle w:val="LTAntwortRessortText"/>
        <w:numPr>
          <w:ilvl w:val="0"/>
          <w:numId w:val="30"/>
        </w:numPr>
        <w:spacing w:before="0"/>
        <w:ind w:left="697" w:hanging="357"/>
      </w:pPr>
      <w:r>
        <w:t>Einzelfallregelung für die Wahl des dritten schriftlichen Abiturprüfungsfaches</w:t>
      </w:r>
      <w:r w:rsidR="00D900D2">
        <w:t xml:space="preserve"> </w:t>
      </w:r>
      <w:r>
        <w:t>noch bis zum 5. März 2021 (KMS vom 18.01.2021)</w:t>
      </w:r>
    </w:p>
    <w:p w:rsidR="00D900D2" w:rsidRDefault="007E0861" w:rsidP="0012690B">
      <w:pPr>
        <w:pStyle w:val="LTAntwortRessortText"/>
        <w:numPr>
          <w:ilvl w:val="0"/>
          <w:numId w:val="30"/>
        </w:numPr>
        <w:spacing w:before="0"/>
        <w:ind w:left="697" w:hanging="357"/>
      </w:pPr>
      <w:r>
        <w:t>Erweiterung der zeitlichen Spielräume für Leistungserhebungen im</w:t>
      </w:r>
      <w:r w:rsidR="00D900D2">
        <w:t xml:space="preserve"> </w:t>
      </w:r>
      <w:r>
        <w:t>Kurshalbjahr 12/1: Verschiebung des Zeugnistermins auf den 5. März 2021</w:t>
      </w:r>
      <w:r w:rsidR="00D900D2">
        <w:t xml:space="preserve"> </w:t>
      </w:r>
      <w:r>
        <w:t>(KMS vom 18.01.2021)</w:t>
      </w:r>
    </w:p>
    <w:p w:rsidR="00D900D2" w:rsidRDefault="007E0861" w:rsidP="0012690B">
      <w:pPr>
        <w:pStyle w:val="LTAntwortRessortText"/>
        <w:numPr>
          <w:ilvl w:val="0"/>
          <w:numId w:val="30"/>
        </w:numPr>
        <w:spacing w:before="0"/>
        <w:ind w:left="697" w:hanging="357"/>
      </w:pPr>
      <w:r>
        <w:t>Reduzierung der großen Leistungsnachweise im Kurshalbjahr 12/2 auf die</w:t>
      </w:r>
      <w:r w:rsidR="00D900D2">
        <w:t xml:space="preserve"> </w:t>
      </w:r>
      <w:r>
        <w:t>drei schriftlichen Abiturprüfungsfächer (KMS vom 18.01.2021)</w:t>
      </w:r>
    </w:p>
    <w:p w:rsidR="007E0861" w:rsidRDefault="007E0861" w:rsidP="0012690B">
      <w:pPr>
        <w:pStyle w:val="LTAntwortRessortText"/>
        <w:numPr>
          <w:ilvl w:val="0"/>
          <w:numId w:val="30"/>
        </w:numPr>
        <w:spacing w:before="0"/>
        <w:ind w:left="697" w:hanging="357"/>
      </w:pPr>
      <w:r>
        <w:t>Sonderregelung zur Zulassung zur Abiturprüfung, wenn Punkte oder Punktesummen</w:t>
      </w:r>
      <w:r w:rsidR="00D900D2">
        <w:t xml:space="preserve"> </w:t>
      </w:r>
      <w:r>
        <w:t>des § 44 Abs. 2 Nr. 2, 3 und 5 GSO nicht erfüllt sind (KMS vom</w:t>
      </w:r>
      <w:r w:rsidR="00D900D2">
        <w:t xml:space="preserve"> </w:t>
      </w:r>
      <w:r>
        <w:t>18.01.2021)</w:t>
      </w:r>
    </w:p>
    <w:p w:rsidR="007E0861" w:rsidRDefault="007E0861" w:rsidP="00D900D2">
      <w:pPr>
        <w:pStyle w:val="LTAntwortRessortText"/>
        <w:numPr>
          <w:ilvl w:val="0"/>
          <w:numId w:val="31"/>
        </w:numPr>
        <w:spacing w:before="0"/>
        <w:ind w:left="697" w:hanging="357"/>
      </w:pPr>
      <w:r>
        <w:t>Anpassung des Zeitplans der Abiturprüfung 2021: Verschiebung des Prüfungsbeginns</w:t>
      </w:r>
      <w:r w:rsidR="00D900D2">
        <w:t xml:space="preserve"> </w:t>
      </w:r>
      <w:r>
        <w:t>vom 30. April auf den 12. Mai 2021 (KMS vom 01.12.2020)</w:t>
      </w:r>
    </w:p>
    <w:p w:rsidR="007E0861" w:rsidRDefault="007E0861" w:rsidP="00D900D2">
      <w:pPr>
        <w:pStyle w:val="LTAntwortRessortText"/>
        <w:numPr>
          <w:ilvl w:val="0"/>
          <w:numId w:val="31"/>
        </w:numPr>
        <w:spacing w:before="0"/>
        <w:ind w:left="697" w:hanging="357"/>
      </w:pPr>
      <w:r>
        <w:t>keine Anrechnung auf die Höchstausbildungsdauer bei Wiederholung (KMS</w:t>
      </w:r>
      <w:r w:rsidR="00D900D2">
        <w:t xml:space="preserve"> </w:t>
      </w:r>
      <w:r>
        <w:t>vom 18.01.2021)</w:t>
      </w:r>
    </w:p>
    <w:p w:rsidR="007E0861" w:rsidRDefault="007E0861" w:rsidP="00D900D2">
      <w:pPr>
        <w:pStyle w:val="LTAntwortRessortText"/>
        <w:numPr>
          <w:ilvl w:val="0"/>
          <w:numId w:val="31"/>
        </w:numPr>
        <w:spacing w:before="0"/>
        <w:ind w:left="697" w:hanging="357"/>
      </w:pPr>
      <w:r>
        <w:t>freiwillige Nachtermine für nicht geforderte Schulaufgaben im Anschluss an</w:t>
      </w:r>
      <w:r w:rsidR="00D900D2">
        <w:t xml:space="preserve"> </w:t>
      </w:r>
      <w:r>
        <w:t>die Abiturprüfungen (KMS vom 18.01.2021)</w:t>
      </w:r>
    </w:p>
    <w:p w:rsidR="007E0861" w:rsidRDefault="007E0861" w:rsidP="007E0861">
      <w:pPr>
        <w:pStyle w:val="LTAntwortRessortText"/>
      </w:pPr>
      <w:r>
        <w:t>Dadurch werden pandemiebedingte Beeinträchtigungen des Schul- und Unterrichtsbetriebs</w:t>
      </w:r>
      <w:r w:rsidR="00D900D2">
        <w:t xml:space="preserve"> </w:t>
      </w:r>
      <w:r>
        <w:t>ausgeglichen, eine angemessene Abiturvorbereitung sichergestellt und Härtefälle</w:t>
      </w:r>
      <w:r w:rsidR="00D900D2">
        <w:t xml:space="preserve"> </w:t>
      </w:r>
      <w:r>
        <w:t>vermieden. Für die Q11 wurden mit KMS vom 25.02.2021 weitere Maßnahmen</w:t>
      </w:r>
      <w:r w:rsidR="00D900D2">
        <w:t xml:space="preserve"> </w:t>
      </w:r>
      <w:r>
        <w:t>zur Reduktion von Leistungserhebungen ergriffen.</w:t>
      </w:r>
    </w:p>
    <w:p w:rsidR="007E0861" w:rsidRDefault="007E0861" w:rsidP="007E0861">
      <w:pPr>
        <w:pStyle w:val="LTAntwortRessortText"/>
      </w:pPr>
      <w:r>
        <w:t xml:space="preserve">An </w:t>
      </w:r>
      <w:r w:rsidRPr="00D6673D">
        <w:rPr>
          <w:u w:val="single"/>
        </w:rPr>
        <w:t>Fach- und Berufsoberschulen</w:t>
      </w:r>
      <w:r>
        <w:t xml:space="preserve"> wurden zur Sicherung von Fairness und Vergleichbarkeit</w:t>
      </w:r>
      <w:r w:rsidR="00D900D2">
        <w:t xml:space="preserve"> </w:t>
      </w:r>
      <w:r>
        <w:t>für den Fachabitur- und Abiturjahrgang 2021 (12 und 13) insbesondere folgende</w:t>
      </w:r>
      <w:r w:rsidR="00D900D2">
        <w:t xml:space="preserve"> </w:t>
      </w:r>
      <w:r>
        <w:t>Regelungen getroffen:</w:t>
      </w:r>
    </w:p>
    <w:p w:rsidR="007E0861" w:rsidRDefault="007E0861" w:rsidP="00D900D2">
      <w:pPr>
        <w:pStyle w:val="LTAntwortRessortText"/>
        <w:numPr>
          <w:ilvl w:val="0"/>
          <w:numId w:val="32"/>
        </w:numPr>
        <w:spacing w:before="0"/>
        <w:ind w:left="697" w:hanging="357"/>
      </w:pPr>
      <w:r>
        <w:t>erweiterte Günstigerprüfung zur Ermittlung der Halbjahresleistung im Kurshalbjahr</w:t>
      </w:r>
      <w:r w:rsidR="00D900D2">
        <w:t xml:space="preserve"> </w:t>
      </w:r>
      <w:r>
        <w:t>11/2 (KMS vom 06.05.2020)</w:t>
      </w:r>
    </w:p>
    <w:p w:rsidR="007E0861" w:rsidRDefault="007E0861" w:rsidP="00D900D2">
      <w:pPr>
        <w:pStyle w:val="LTAntwortRessortText"/>
        <w:numPr>
          <w:ilvl w:val="0"/>
          <w:numId w:val="32"/>
        </w:numPr>
        <w:spacing w:before="0"/>
        <w:ind w:left="697" w:hanging="357"/>
      </w:pPr>
      <w:r>
        <w:lastRenderedPageBreak/>
        <w:t>Hinweise auf prüfungsrelevante und nicht prüfungsrelevante Inhalte für die</w:t>
      </w:r>
    </w:p>
    <w:p w:rsidR="007E0861" w:rsidRDefault="007E0861" w:rsidP="00D900D2">
      <w:pPr>
        <w:pStyle w:val="LTAntwortRessortText"/>
        <w:numPr>
          <w:ilvl w:val="0"/>
          <w:numId w:val="32"/>
        </w:numPr>
        <w:spacing w:before="0"/>
        <w:ind w:left="697" w:hanging="357"/>
      </w:pPr>
      <w:r>
        <w:t>schriftliche Abiturprüfung 2021 (KMS vom 29.05.2020)</w:t>
      </w:r>
    </w:p>
    <w:p w:rsidR="007E0861" w:rsidRDefault="007E0861" w:rsidP="00D900D2">
      <w:pPr>
        <w:pStyle w:val="LTAntwortRessortText"/>
        <w:numPr>
          <w:ilvl w:val="0"/>
          <w:numId w:val="32"/>
        </w:numPr>
        <w:spacing w:before="0"/>
        <w:ind w:left="697" w:hanging="357"/>
      </w:pPr>
      <w:r>
        <w:t>Abhaltung von Ersatzprüfungen in beiden Halbjahren (KMS vom 16.07.2020)</w:t>
      </w:r>
    </w:p>
    <w:p w:rsidR="007E0861" w:rsidRDefault="007E0861" w:rsidP="00D900D2">
      <w:pPr>
        <w:pStyle w:val="LTAntwortRessortText"/>
        <w:numPr>
          <w:ilvl w:val="0"/>
          <w:numId w:val="32"/>
        </w:numPr>
        <w:spacing w:before="0"/>
        <w:ind w:left="697" w:hanging="357"/>
      </w:pPr>
      <w:r>
        <w:t>Erweiterung der zeitlichen Spielräume für Leistungserhebungen im Kurshalbjahr</w:t>
      </w:r>
      <w:r w:rsidR="00D900D2">
        <w:t xml:space="preserve"> </w:t>
      </w:r>
      <w:r>
        <w:t>12/1 und 13/1: Verschiebung des Zeugnistermins auf den 12. März 2021</w:t>
      </w:r>
      <w:r w:rsidR="00D900D2">
        <w:t xml:space="preserve"> </w:t>
      </w:r>
      <w:r>
        <w:t>(KMS vom 21.12.2020)</w:t>
      </w:r>
    </w:p>
    <w:p w:rsidR="007E0861" w:rsidRDefault="007E0861" w:rsidP="00D900D2">
      <w:pPr>
        <w:pStyle w:val="LTAntwortRessortText"/>
        <w:numPr>
          <w:ilvl w:val="0"/>
          <w:numId w:val="32"/>
        </w:numPr>
        <w:spacing w:before="0"/>
        <w:ind w:left="697" w:hanging="357"/>
      </w:pPr>
      <w:r>
        <w:t>Reduzierung der Schulaufgaben im Kurshalbjahr 12/2 und 13/2 auf die vier</w:t>
      </w:r>
      <w:r w:rsidR="00D900D2">
        <w:t xml:space="preserve"> </w:t>
      </w:r>
      <w:r>
        <w:t>schriftlichen Prüfungsfächer (KMS vom 18.01.2021)</w:t>
      </w:r>
    </w:p>
    <w:p w:rsidR="007E0861" w:rsidRDefault="007E0861" w:rsidP="0012690B">
      <w:pPr>
        <w:pStyle w:val="LTAntwortRessortText"/>
        <w:numPr>
          <w:ilvl w:val="0"/>
          <w:numId w:val="32"/>
        </w:numPr>
        <w:spacing w:before="0"/>
        <w:ind w:left="697" w:hanging="357"/>
      </w:pPr>
      <w:r>
        <w:t>Verschiebung des Prüfungsbeginns vom 17. Mai auf den</w:t>
      </w:r>
      <w:r w:rsidR="00D900D2">
        <w:t xml:space="preserve"> </w:t>
      </w:r>
      <w:r>
        <w:t>10. Juni 2021 (KMS vom 18.01.2021)</w:t>
      </w:r>
    </w:p>
    <w:p w:rsidR="007E0861" w:rsidRDefault="007E0861" w:rsidP="00D900D2">
      <w:pPr>
        <w:pStyle w:val="LTAntwortRessortText"/>
        <w:numPr>
          <w:ilvl w:val="0"/>
          <w:numId w:val="33"/>
        </w:numPr>
        <w:spacing w:before="0"/>
        <w:ind w:left="697" w:hanging="357"/>
      </w:pPr>
      <w:r>
        <w:t>keine Anrechnung auf die Höchstausbildungsdauer bei Wiederholung (KMS</w:t>
      </w:r>
      <w:r w:rsidR="00D900D2">
        <w:t xml:space="preserve"> </w:t>
      </w:r>
      <w:r>
        <w:t>vom 21.12.2020)</w:t>
      </w:r>
    </w:p>
    <w:p w:rsidR="007E0861" w:rsidRDefault="007E0861" w:rsidP="00D900D2">
      <w:pPr>
        <w:pStyle w:val="LTAntwortRessortText"/>
        <w:numPr>
          <w:ilvl w:val="0"/>
          <w:numId w:val="33"/>
        </w:numPr>
        <w:spacing w:before="0"/>
        <w:ind w:left="697" w:hanging="357"/>
      </w:pPr>
      <w:r>
        <w:t>Erbringung von fehlenden Leistungsnachweisen in Schulaufgabenfächern</w:t>
      </w:r>
      <w:r w:rsidR="00D900D2">
        <w:t xml:space="preserve"> </w:t>
      </w:r>
      <w:r>
        <w:t>auch noch nach der Prüfung (KMS vom 01.02.2021)</w:t>
      </w:r>
    </w:p>
    <w:p w:rsidR="007E0861" w:rsidRDefault="007E0861" w:rsidP="00D900D2">
      <w:pPr>
        <w:pStyle w:val="LTAntwortRessortText"/>
        <w:numPr>
          <w:ilvl w:val="0"/>
          <w:numId w:val="33"/>
        </w:numPr>
        <w:spacing w:before="0"/>
        <w:ind w:left="697" w:hanging="357"/>
      </w:pPr>
      <w:r>
        <w:t>sonstige Leistungsnachweise können pandemiebedingt im Ausnahmefall für</w:t>
      </w:r>
      <w:r w:rsidR="00D900D2">
        <w:t xml:space="preserve"> </w:t>
      </w:r>
      <w:r>
        <w:t>12/2 und 13/2 auch mündlich erbracht werden (KMS vom 25.02.2021)</w:t>
      </w:r>
    </w:p>
    <w:p w:rsidR="007E0861" w:rsidRDefault="007E0861" w:rsidP="007E0861">
      <w:pPr>
        <w:pStyle w:val="LTAntwortRessortText"/>
      </w:pPr>
      <w:r>
        <w:t>Dadurch werden pandemiebedingte Beeinträchtigungen des Schul- und Unterrichtsbetriebs</w:t>
      </w:r>
      <w:r w:rsidR="00D900D2">
        <w:t xml:space="preserve"> </w:t>
      </w:r>
      <w:r>
        <w:t>ausgeglichen, eine angemessene Fachabitur- und Abiturvorbereitung sichergestellt</w:t>
      </w:r>
      <w:r w:rsidR="00D900D2">
        <w:t xml:space="preserve"> </w:t>
      </w:r>
      <w:r>
        <w:t>und Härtefälle vermieden. Für die FOS 11, die Vorklassen und die Vorkurse</w:t>
      </w:r>
      <w:r w:rsidR="00D900D2">
        <w:t xml:space="preserve"> </w:t>
      </w:r>
      <w:r>
        <w:t>wurden mit KMS vom 25.02.2021 weitere Maßnahmen zur Reduktion von Leistungserhebungen</w:t>
      </w:r>
      <w:r w:rsidR="00D900D2">
        <w:t xml:space="preserve"> </w:t>
      </w:r>
      <w:r>
        <w:t>ergriffen.</w:t>
      </w:r>
    </w:p>
    <w:p w:rsidR="0009579C" w:rsidRPr="00265CCB" w:rsidRDefault="007E0861" w:rsidP="007E0861">
      <w:pPr>
        <w:pStyle w:val="LTAntwortRessortText"/>
        <w:rPr>
          <w:b/>
        </w:rPr>
      </w:pPr>
      <w:r w:rsidRPr="00265CCB">
        <w:rPr>
          <w:b/>
        </w:rPr>
        <w:t>2. Wahrung der Chancengerechtigkeit an FOS/BOS und Gymnasien</w:t>
      </w:r>
      <w:r w:rsidR="0009579C" w:rsidRPr="00265CCB">
        <w:rPr>
          <w:b/>
        </w:rPr>
        <w:t xml:space="preserve"> </w:t>
      </w:r>
    </w:p>
    <w:p w:rsidR="007E0861" w:rsidRPr="00265CCB" w:rsidRDefault="007E0861" w:rsidP="007E0861">
      <w:pPr>
        <w:pStyle w:val="LTAntwortRessortText"/>
        <w:rPr>
          <w:b/>
        </w:rPr>
      </w:pPr>
      <w:r w:rsidRPr="00265CCB">
        <w:rPr>
          <w:b/>
        </w:rPr>
        <w:t>Frage 2.1: Warum müssen an FOS/BOS derzeit die regulär</w:t>
      </w:r>
      <w:r w:rsidR="0009579C" w:rsidRPr="00265CCB">
        <w:rPr>
          <w:b/>
        </w:rPr>
        <w:t xml:space="preserve"> </w:t>
      </w:r>
      <w:r w:rsidRPr="00265CCB">
        <w:rPr>
          <w:b/>
        </w:rPr>
        <w:t>vorgesehenen schriftlichen Leistungserhebungen nachgeholt werden,</w:t>
      </w:r>
      <w:r w:rsidR="0009579C" w:rsidRPr="00265CCB">
        <w:rPr>
          <w:b/>
        </w:rPr>
        <w:t xml:space="preserve"> </w:t>
      </w:r>
      <w:r w:rsidRPr="00265CCB">
        <w:rPr>
          <w:b/>
        </w:rPr>
        <w:t>während an den Gymnasien abweichend von der GSO große</w:t>
      </w:r>
      <w:r w:rsidR="0009579C" w:rsidRPr="00265CCB">
        <w:rPr>
          <w:b/>
        </w:rPr>
        <w:t xml:space="preserve"> </w:t>
      </w:r>
      <w:r w:rsidRPr="00265CCB">
        <w:rPr>
          <w:b/>
        </w:rPr>
        <w:t>Leistungsnachweise beispielsweise nur noch in den drei schriftlichen</w:t>
      </w:r>
      <w:r w:rsidR="0009579C" w:rsidRPr="00265CCB">
        <w:rPr>
          <w:b/>
        </w:rPr>
        <w:t xml:space="preserve"> </w:t>
      </w:r>
      <w:r w:rsidRPr="00265CCB">
        <w:rPr>
          <w:b/>
        </w:rPr>
        <w:t>Abiturprüfungsfächern (Q12) bzw. in den drei Fächern Mathematik,</w:t>
      </w:r>
      <w:r w:rsidR="0009579C" w:rsidRPr="00265CCB">
        <w:rPr>
          <w:b/>
        </w:rPr>
        <w:t xml:space="preserve"> </w:t>
      </w:r>
      <w:r w:rsidRPr="00265CCB">
        <w:rPr>
          <w:b/>
        </w:rPr>
        <w:t>Deutsch und der verpflichtend über vier Kurshalbjahre zu belegenden</w:t>
      </w:r>
      <w:r w:rsidR="0009579C" w:rsidRPr="00265CCB">
        <w:rPr>
          <w:b/>
        </w:rPr>
        <w:t xml:space="preserve"> </w:t>
      </w:r>
      <w:r w:rsidRPr="00265CCB">
        <w:rPr>
          <w:b/>
        </w:rPr>
        <w:t>fortgeführten Fremdsprache (Q11) gefordert sind?</w:t>
      </w:r>
    </w:p>
    <w:p w:rsidR="007E0861" w:rsidRDefault="007E0861" w:rsidP="00684CFD">
      <w:pPr>
        <w:pStyle w:val="LTAntwortRessortText"/>
      </w:pPr>
      <w:r>
        <w:t>An Fachober- und Berufsoberschulen werden im zweiten Halbjahr analog zur Regelung</w:t>
      </w:r>
      <w:r w:rsidR="0009579C">
        <w:t xml:space="preserve"> </w:t>
      </w:r>
      <w:r>
        <w:t>am Gymnasium nur noch Schulaufgaben in den Prüfungsfächern (Mathematik,</w:t>
      </w:r>
      <w:r w:rsidR="0009579C">
        <w:t xml:space="preserve"> </w:t>
      </w:r>
      <w:r>
        <w:t>Deutsch, Englisch, Profilfach) geschrieben. Die Schulaufgabe im Profilfach 2 wurde</w:t>
      </w:r>
      <w:r w:rsidR="0009579C">
        <w:t xml:space="preserve"> </w:t>
      </w:r>
      <w:r>
        <w:t>für das zweite Halbjahr gestrichen. Damit ist die Regelung an FOSBOS und Gymnasium</w:t>
      </w:r>
      <w:r w:rsidR="0009579C">
        <w:t xml:space="preserve"> </w:t>
      </w:r>
      <w:r>
        <w:t>annähernd identisch, auch wenn sich die Begrifflichkeiten unterscheiden. Im</w:t>
      </w:r>
      <w:r w:rsidR="0009579C">
        <w:t xml:space="preserve"> </w:t>
      </w:r>
      <w:r>
        <w:t>diesjährigen Ausbildungsabschnitt 12/2 des Gymnasiums werden große Leistungsnachweise</w:t>
      </w:r>
      <w:r w:rsidR="0009579C">
        <w:t xml:space="preserve"> </w:t>
      </w:r>
      <w:r>
        <w:t>nur in den drei schriftlichen Abiturprüfungsfächern gefordert. Kleine Leistungsnachweise</w:t>
      </w:r>
      <w:r w:rsidR="0009579C">
        <w:t xml:space="preserve"> </w:t>
      </w:r>
      <w:r>
        <w:t>sind am Gymnasium in allen Fäc</w:t>
      </w:r>
      <w:r w:rsidR="0009579C">
        <w:t>hern auch in diesem Ausbildungs</w:t>
      </w:r>
      <w:r>
        <w:t>abschnitt unverändert zu erbringen, an FOSBOS entsprechen diese kleinen</w:t>
      </w:r>
      <w:r w:rsidR="0009579C">
        <w:t xml:space="preserve"> </w:t>
      </w:r>
      <w:r>
        <w:t>Leistungsnachweise (sonstige Leistungsnachweise an FOSBOS) der Kurzarbeit bzw.</w:t>
      </w:r>
      <w:r w:rsidR="0009579C">
        <w:t xml:space="preserve"> </w:t>
      </w:r>
      <w:r>
        <w:t>der Stegreifaufgabe und der mündlichen Leistung. Da weitere pandemiebedingte</w:t>
      </w:r>
      <w:r w:rsidR="0009579C">
        <w:t xml:space="preserve"> </w:t>
      </w:r>
      <w:r>
        <w:t>Störungen für das zweite Halbjahr nicht ausgeschlossen werden können, wurde es</w:t>
      </w:r>
      <w:r w:rsidR="0009579C">
        <w:t xml:space="preserve"> </w:t>
      </w:r>
      <w:r>
        <w:t>für 12/2 und 13/2 ermöglicht, die sonstigen Leistungsnachweise an FOSBOS im Ausnahmefall</w:t>
      </w:r>
      <w:r w:rsidR="0009579C">
        <w:t xml:space="preserve"> </w:t>
      </w:r>
      <w:r>
        <w:t>auch mündlich zu erbringen, um eine unangemessene Häufung von</w:t>
      </w:r>
      <w:r w:rsidR="0009579C">
        <w:t xml:space="preserve"> </w:t>
      </w:r>
      <w:r>
        <w:t>schriftlichen Leistungserhebungen zu vermeiden.</w:t>
      </w:r>
    </w:p>
    <w:p w:rsidR="007E0861" w:rsidRPr="00265CCB" w:rsidRDefault="007E0861" w:rsidP="007E0861">
      <w:pPr>
        <w:pStyle w:val="LTAntwortRessortText"/>
        <w:rPr>
          <w:b/>
        </w:rPr>
      </w:pPr>
      <w:r w:rsidRPr="00265CCB">
        <w:rPr>
          <w:b/>
        </w:rPr>
        <w:t>Frage 2.2: Wie bewertet das Staatsministerium für Unterricht und</w:t>
      </w:r>
      <w:r w:rsidR="0009579C" w:rsidRPr="00265CCB">
        <w:rPr>
          <w:b/>
        </w:rPr>
        <w:t xml:space="preserve"> </w:t>
      </w:r>
      <w:r w:rsidRPr="00265CCB">
        <w:rPr>
          <w:b/>
        </w:rPr>
        <w:t>Kultus vor diesem Hintergrund die Wahrung der</w:t>
      </w:r>
      <w:r w:rsidR="0009579C" w:rsidRPr="00265CCB">
        <w:rPr>
          <w:b/>
        </w:rPr>
        <w:t xml:space="preserve"> </w:t>
      </w:r>
      <w:r w:rsidRPr="00265CCB">
        <w:rPr>
          <w:b/>
        </w:rPr>
        <w:t>Chancengerechtigkeit von FOS/BOS und Gymnasien im direkten</w:t>
      </w:r>
      <w:r w:rsidR="0009579C" w:rsidRPr="00265CCB">
        <w:rPr>
          <w:b/>
        </w:rPr>
        <w:t xml:space="preserve"> </w:t>
      </w:r>
      <w:r w:rsidRPr="00265CCB">
        <w:rPr>
          <w:b/>
        </w:rPr>
        <w:t>Vergleich (bitte insbesondere auf den Vergleich in der Anzahl der</w:t>
      </w:r>
      <w:r w:rsidR="0009579C" w:rsidRPr="00265CCB">
        <w:rPr>
          <w:b/>
        </w:rPr>
        <w:t xml:space="preserve"> </w:t>
      </w:r>
      <w:r w:rsidRPr="00265CCB">
        <w:rPr>
          <w:b/>
        </w:rPr>
        <w:t>schriftlichen Leistungserhebungen eingehen)?</w:t>
      </w:r>
    </w:p>
    <w:p w:rsidR="005B53A1" w:rsidRDefault="005B53A1">
      <w:r>
        <w:br w:type="page"/>
      </w:r>
    </w:p>
    <w:p w:rsidR="00352140" w:rsidRPr="00352140" w:rsidRDefault="00352140" w:rsidP="00DC31EF">
      <w:pPr>
        <w:pStyle w:val="Textkrper"/>
        <w:ind w:left="340" w:right="-425"/>
        <w:jc w:val="both"/>
        <w:rPr>
          <w:rFonts w:eastAsia="Times New Roman" w:cs="Times New Roman"/>
          <w:sz w:val="20"/>
          <w:lang w:bidi="ar-SA"/>
        </w:rPr>
      </w:pPr>
      <w:r w:rsidRPr="00352140">
        <w:rPr>
          <w:rFonts w:eastAsia="Times New Roman" w:cs="Times New Roman"/>
          <w:sz w:val="20"/>
          <w:lang w:bidi="ar-SA"/>
        </w:rPr>
        <w:lastRenderedPageBreak/>
        <w:t xml:space="preserve">Bayern hat ein differenziertes Schulsystem. Jede Schulart </w:t>
      </w:r>
      <w:r w:rsidR="00DF2AD3">
        <w:rPr>
          <w:rFonts w:eastAsia="Times New Roman" w:cs="Times New Roman"/>
          <w:sz w:val="20"/>
          <w:lang w:bidi="ar-SA"/>
        </w:rPr>
        <w:t>v</w:t>
      </w:r>
      <w:r w:rsidRPr="00352140">
        <w:rPr>
          <w:rFonts w:eastAsia="Times New Roman" w:cs="Times New Roman"/>
          <w:sz w:val="20"/>
          <w:lang w:bidi="ar-SA"/>
        </w:rPr>
        <w:t xml:space="preserve">erfügt dabei über ein eigenes Profil. Das Gymnasium zählt zu den allgemeinbildenden Schularten, die Fachoberschulen (FOS) und Berufsoberschulen (BOS) zu den beruflichen Schulen. Insofern unterscheiden sich Gymnasium sowie FOS und BOS beispielsweise hinsichtlich der Aufnahmevoraussetzungen, der angebotenen Ausbildungsrichtungen, </w:t>
      </w:r>
      <w:r w:rsidR="00D6673D">
        <w:rPr>
          <w:rFonts w:eastAsia="Times New Roman" w:cs="Times New Roman"/>
          <w:sz w:val="20"/>
          <w:lang w:bidi="ar-SA"/>
        </w:rPr>
        <w:t xml:space="preserve">der Fächer, der Stundentafeln, </w:t>
      </w:r>
      <w:r w:rsidRPr="00352140">
        <w:rPr>
          <w:rFonts w:eastAsia="Times New Roman" w:cs="Times New Roman"/>
          <w:sz w:val="20"/>
          <w:lang w:bidi="ar-SA"/>
        </w:rPr>
        <w:t>der Praktika und der angebotenen Abschlüsse. Ein grundsätzlicher Unterschied besteht auch in der Dauer der Beschulung. Primäres</w:t>
      </w:r>
      <w:r w:rsidR="00DC31EF">
        <w:rPr>
          <w:rFonts w:eastAsia="Times New Roman" w:cs="Times New Roman"/>
          <w:sz w:val="20"/>
          <w:lang w:bidi="ar-SA"/>
        </w:rPr>
        <w:t xml:space="preserve"> </w:t>
      </w:r>
      <w:r w:rsidRPr="00352140">
        <w:rPr>
          <w:rFonts w:eastAsia="Times New Roman" w:cs="Times New Roman"/>
          <w:sz w:val="20"/>
          <w:lang w:bidi="ar-SA"/>
        </w:rPr>
        <w:t>Ziel eines Besuchs der Fachoberschule ist der Erwerb der Fachhochschulreife nach der Jahrgangsstufe 12, Ziel eines Besuchs der Berufsoberschule dagegen ist der Erwerb der fachgebundenen bzw. allgemeinen Hochschulreife nach Jahrgangsstufe 13. Auch wenn an den Fachoberschulen und Berufsoberschulen nach der Jahrgangsstufe 13 ebenso wie am achtjährigen Gymnasium nach Jahrgangsstufe 12 die allgemeine Hochschulreife erworben werden kann, sind diese Abschlüsse als gleichwertig, nicht aber als gleichartig anzusehen. Aufgrund der unterschiedlichen Stundentafeln unterscheiden sich auch die Berechnungsverfahren sowie Art und Zahl der zu erhebenden Leistungsnachweise am Gymnasium sowie an FOS und BOS.</w:t>
      </w:r>
    </w:p>
    <w:p w:rsidR="00352140" w:rsidRPr="00352140" w:rsidRDefault="00D6673D" w:rsidP="00D6673D">
      <w:pPr>
        <w:pStyle w:val="Textkrper"/>
        <w:spacing w:before="140"/>
        <w:ind w:left="340" w:right="-426"/>
        <w:jc w:val="both"/>
        <w:rPr>
          <w:rFonts w:eastAsia="Times New Roman" w:cs="Times New Roman"/>
          <w:sz w:val="20"/>
          <w:lang w:bidi="ar-SA"/>
        </w:rPr>
      </w:pPr>
      <w:r>
        <w:rPr>
          <w:rFonts w:eastAsia="Times New Roman" w:cs="Times New Roman"/>
          <w:sz w:val="20"/>
          <w:lang w:bidi="ar-SA"/>
        </w:rPr>
        <w:t xml:space="preserve">Am </w:t>
      </w:r>
      <w:r w:rsidR="00DC31EF">
        <w:rPr>
          <w:rFonts w:eastAsia="Times New Roman" w:cs="Times New Roman"/>
          <w:sz w:val="20"/>
          <w:lang w:bidi="ar-SA"/>
        </w:rPr>
        <w:t xml:space="preserve">Gymnasium war die Reduzierung </w:t>
      </w:r>
      <w:r w:rsidR="00352140" w:rsidRPr="00352140">
        <w:rPr>
          <w:rFonts w:eastAsia="Times New Roman" w:cs="Times New Roman"/>
          <w:sz w:val="20"/>
          <w:lang w:bidi="ar-SA"/>
        </w:rPr>
        <w:t>der verpflichtenden Schulaufgaben auf die drei schriftlichen Abiturprüfungsfächer geboten, weil es aus Sicht</w:t>
      </w:r>
      <w:r>
        <w:rPr>
          <w:rFonts w:eastAsia="Times New Roman" w:cs="Times New Roman"/>
          <w:sz w:val="20"/>
          <w:lang w:bidi="ar-SA"/>
        </w:rPr>
        <w:t xml:space="preserve"> </w:t>
      </w:r>
      <w:r w:rsidR="00352140" w:rsidRPr="00352140">
        <w:rPr>
          <w:rFonts w:eastAsia="Times New Roman" w:cs="Times New Roman"/>
          <w:sz w:val="20"/>
          <w:lang w:bidi="ar-SA"/>
        </w:rPr>
        <w:t>des Staatsministeriums einerseits nicht möglich war, unter Einhaltung des Zeitplans für die Abiturprüfung im Kurshalbjahr 12/2 in allen Fächern Schulaufgaben zu fordern. Andererseits wird dadurch sichergestellt, dass die schriftliche Prüfungskultur in den drei schriftlichen Abiturprüfungsfächern im Sinne der Vorbereitung der Abiturientinnen und Abiturienten auf die schriftlichen Abschlussprüfungen auch im letzten Kurshalbjahr erhalten bleibt.</w:t>
      </w:r>
    </w:p>
    <w:p w:rsidR="00352140" w:rsidRPr="00C63280" w:rsidRDefault="00352140" w:rsidP="00D6673D">
      <w:pPr>
        <w:pStyle w:val="Textkrper"/>
        <w:spacing w:before="140"/>
        <w:ind w:left="340" w:right="-426"/>
        <w:jc w:val="both"/>
        <w:rPr>
          <w:rFonts w:eastAsia="Times New Roman" w:cs="Times New Roman"/>
          <w:sz w:val="20"/>
          <w:lang w:bidi="ar-SA"/>
        </w:rPr>
      </w:pPr>
      <w:r w:rsidRPr="00352140">
        <w:rPr>
          <w:rFonts w:eastAsia="Times New Roman" w:cs="Times New Roman"/>
          <w:sz w:val="20"/>
          <w:lang w:bidi="ar-SA"/>
        </w:rPr>
        <w:t xml:space="preserve">An </w:t>
      </w:r>
      <w:r w:rsidRPr="00C63280">
        <w:rPr>
          <w:rFonts w:eastAsia="Times New Roman" w:cs="Times New Roman"/>
          <w:sz w:val="20"/>
          <w:u w:val="single"/>
          <w:lang w:bidi="ar-SA"/>
        </w:rPr>
        <w:t>Fach- und Berufsoberschulen</w:t>
      </w:r>
      <w:r w:rsidRPr="00352140">
        <w:rPr>
          <w:rFonts w:eastAsia="Times New Roman" w:cs="Times New Roman"/>
          <w:sz w:val="20"/>
          <w:lang w:bidi="ar-SA"/>
        </w:rPr>
        <w:t xml:space="preserve"> werden grundsätzlich keine Schulaufgaben in Nichtprüf</w:t>
      </w:r>
      <w:r w:rsidR="00DC31EF">
        <w:rPr>
          <w:rFonts w:eastAsia="Times New Roman" w:cs="Times New Roman"/>
          <w:sz w:val="20"/>
          <w:lang w:bidi="ar-SA"/>
        </w:rPr>
        <w:t xml:space="preserve">ungsfächern erhoben. Lediglich </w:t>
      </w:r>
      <w:r w:rsidRPr="00352140">
        <w:rPr>
          <w:rFonts w:eastAsia="Times New Roman" w:cs="Times New Roman"/>
          <w:sz w:val="20"/>
          <w:lang w:bidi="ar-SA"/>
        </w:rPr>
        <w:t>im Profilfach 2 ist eine Schulaufgabe zu erbringen und diese wurde bereits für das zweite Halbjahr gestrichen (KMS vom 18.01.2021). In den Prüfungsfächern dient die Schulaufgabe zugleich der Vorbereitung auf die Abschlussprüfung. In den anderen</w:t>
      </w:r>
      <w:r w:rsidRPr="00C63280">
        <w:rPr>
          <w:rFonts w:eastAsia="Times New Roman" w:cs="Times New Roman"/>
          <w:sz w:val="20"/>
          <w:lang w:bidi="ar-SA"/>
        </w:rPr>
        <w:t xml:space="preserve"> Nichtprüfungsfächern werden lediglich sonstige Leistungen (siehe oben) erhoben, die pandemiebedingt für 12/2 und 13/2 auch mündlich erbracht werden können.</w:t>
      </w:r>
    </w:p>
    <w:p w:rsidR="00352140" w:rsidRPr="00C63280" w:rsidRDefault="00352140" w:rsidP="00D6673D">
      <w:pPr>
        <w:pStyle w:val="Textkrper"/>
        <w:spacing w:before="2"/>
        <w:ind w:left="340" w:right="-426"/>
        <w:jc w:val="both"/>
        <w:rPr>
          <w:rFonts w:eastAsia="Times New Roman" w:cs="Times New Roman"/>
          <w:sz w:val="20"/>
          <w:lang w:bidi="ar-SA"/>
        </w:rPr>
      </w:pPr>
    </w:p>
    <w:p w:rsidR="00352140" w:rsidRPr="00D6673D" w:rsidRDefault="00352140" w:rsidP="00D6673D">
      <w:pPr>
        <w:pStyle w:val="berschrift1"/>
        <w:ind w:left="340" w:right="-426"/>
        <w:jc w:val="both"/>
        <w:rPr>
          <w:rFonts w:eastAsia="Times New Roman" w:cs="Times New Roman"/>
          <w:bCs w:val="0"/>
          <w:sz w:val="20"/>
          <w:lang w:bidi="ar-SA"/>
        </w:rPr>
      </w:pPr>
      <w:r w:rsidRPr="00D6673D">
        <w:rPr>
          <w:rFonts w:eastAsia="Times New Roman" w:cs="Times New Roman"/>
          <w:bCs w:val="0"/>
          <w:sz w:val="20"/>
          <w:lang w:bidi="ar-SA"/>
        </w:rPr>
        <w:t>Frage 2.3: Welche konkreten Konzepte, Maßnahmen bzw. Verfahren sind für die Praktika in der Oberstufe vorgesehen (bitte Aufstellung nach Schularten FOS/BOS, Gymnasien und Jahrgänge vornehmen)?</w:t>
      </w:r>
    </w:p>
    <w:p w:rsidR="00352140" w:rsidRPr="00C63280" w:rsidRDefault="00352140" w:rsidP="00D6673D">
      <w:pPr>
        <w:pStyle w:val="Textkrper"/>
        <w:spacing w:before="5"/>
        <w:ind w:left="340" w:right="-426"/>
        <w:jc w:val="both"/>
        <w:rPr>
          <w:rFonts w:eastAsia="Times New Roman" w:cs="Times New Roman"/>
          <w:sz w:val="20"/>
          <w:lang w:bidi="ar-SA"/>
        </w:rPr>
      </w:pPr>
    </w:p>
    <w:p w:rsidR="00352140" w:rsidRPr="00D6673D" w:rsidRDefault="00352140" w:rsidP="00D86767">
      <w:pPr>
        <w:pStyle w:val="Textkrper"/>
        <w:ind w:left="340" w:right="-425"/>
        <w:jc w:val="both"/>
        <w:rPr>
          <w:rFonts w:eastAsia="Times New Roman" w:cs="Times New Roman"/>
          <w:sz w:val="20"/>
          <w:lang w:bidi="ar-SA"/>
        </w:rPr>
      </w:pPr>
      <w:r w:rsidRPr="00D6673D">
        <w:rPr>
          <w:rFonts w:eastAsia="Times New Roman" w:cs="Times New Roman"/>
          <w:sz w:val="20"/>
          <w:lang w:bidi="ar-SA"/>
        </w:rPr>
        <w:t xml:space="preserve">In der Oberstufe des </w:t>
      </w:r>
      <w:r w:rsidRPr="00D86767">
        <w:rPr>
          <w:rFonts w:eastAsia="Times New Roman" w:cs="Times New Roman"/>
          <w:sz w:val="20"/>
          <w:u w:val="single"/>
          <w:lang w:bidi="ar-SA"/>
        </w:rPr>
        <w:t>Gymnasiums</w:t>
      </w:r>
      <w:r w:rsidRPr="00D6673D">
        <w:rPr>
          <w:rFonts w:eastAsia="Times New Roman" w:cs="Times New Roman"/>
          <w:sz w:val="20"/>
          <w:lang w:bidi="ar-SA"/>
        </w:rPr>
        <w:t xml:space="preserve"> sind keine verpflichtenden Praktika vorgesehen.</w:t>
      </w:r>
    </w:p>
    <w:p w:rsidR="00352140" w:rsidRPr="00C63280" w:rsidRDefault="00352140" w:rsidP="00D6673D">
      <w:pPr>
        <w:pStyle w:val="Textkrper"/>
        <w:spacing w:before="10"/>
        <w:ind w:left="340" w:right="-426"/>
        <w:jc w:val="both"/>
        <w:rPr>
          <w:rFonts w:eastAsia="Times New Roman" w:cs="Times New Roman"/>
          <w:sz w:val="20"/>
          <w:lang w:bidi="ar-SA"/>
        </w:rPr>
      </w:pPr>
    </w:p>
    <w:p w:rsidR="00352140" w:rsidRPr="0037590D" w:rsidRDefault="00352140" w:rsidP="00D86767">
      <w:pPr>
        <w:pStyle w:val="Textkrper"/>
        <w:tabs>
          <w:tab w:val="left" w:pos="4928"/>
        </w:tabs>
        <w:spacing w:before="28"/>
        <w:ind w:left="340" w:right="-426"/>
        <w:jc w:val="both"/>
        <w:rPr>
          <w:rFonts w:eastAsia="Times New Roman" w:cs="Times New Roman"/>
          <w:sz w:val="20"/>
          <w:lang w:bidi="ar-SA"/>
        </w:rPr>
      </w:pPr>
      <w:r w:rsidRPr="00C63280">
        <w:rPr>
          <w:rFonts w:eastAsia="Times New Roman" w:cs="Times New Roman"/>
          <w:sz w:val="20"/>
          <w:lang w:bidi="ar-SA"/>
        </w:rPr>
        <w:t xml:space="preserve">An der </w:t>
      </w:r>
      <w:r w:rsidRPr="0037590D">
        <w:rPr>
          <w:rFonts w:eastAsia="Times New Roman" w:cs="Times New Roman"/>
          <w:sz w:val="20"/>
          <w:u w:val="single"/>
          <w:lang w:bidi="ar-SA"/>
        </w:rPr>
        <w:t>Fachoberschule</w:t>
      </w:r>
      <w:r w:rsidRPr="00C63280">
        <w:rPr>
          <w:rFonts w:eastAsia="Times New Roman" w:cs="Times New Roman"/>
          <w:sz w:val="20"/>
          <w:lang w:bidi="ar-SA"/>
        </w:rPr>
        <w:t xml:space="preserve"> absolvieren die Schülerinnen un</w:t>
      </w:r>
      <w:r w:rsidR="00DC31EF">
        <w:rPr>
          <w:rFonts w:eastAsia="Times New Roman" w:cs="Times New Roman"/>
          <w:sz w:val="20"/>
          <w:lang w:bidi="ar-SA"/>
        </w:rPr>
        <w:t>d Schüler in der Jahrgangsstufe </w:t>
      </w:r>
      <w:r w:rsidRPr="00C63280">
        <w:rPr>
          <w:rFonts w:eastAsia="Times New Roman" w:cs="Times New Roman"/>
          <w:sz w:val="20"/>
          <w:lang w:bidi="ar-SA"/>
        </w:rPr>
        <w:t>11 der Fachoberschule eine halbjährige fachpraktische Ausbildung. Die fachpraktische Ausbildung ist ein wichtiger Teil dieses Bildungsganges.</w:t>
      </w:r>
      <w:r w:rsidRPr="0037590D">
        <w:rPr>
          <w:rFonts w:eastAsia="Times New Roman" w:cs="Times New Roman"/>
          <w:sz w:val="20"/>
          <w:lang w:bidi="ar-SA"/>
        </w:rPr>
        <w:t xml:space="preserve"> Schülerinnen und Schüler können hier erste berufliche Erfahrungen sammeln, die ihnen später bei der Berufs- oder Studienwahl sehr hilfreich sein können. Aus diesem Grund soll es den Schülerinnen und Schülern auch weiterhin ermöglicht werden, die fachpraktische Ausbildung in </w:t>
      </w:r>
      <w:r w:rsidR="00DC31EF">
        <w:rPr>
          <w:rFonts w:eastAsia="Times New Roman" w:cs="Times New Roman"/>
          <w:sz w:val="20"/>
          <w:lang w:bidi="ar-SA"/>
        </w:rPr>
        <w:t>Betrieben</w:t>
      </w:r>
      <w:r w:rsidR="00D86767">
        <w:rPr>
          <w:rFonts w:eastAsia="Times New Roman" w:cs="Times New Roman"/>
          <w:sz w:val="20"/>
          <w:lang w:bidi="ar-SA"/>
        </w:rPr>
        <w:t xml:space="preserve"> und Einrichtungen zu </w:t>
      </w:r>
      <w:r w:rsidRPr="0037590D">
        <w:rPr>
          <w:rFonts w:eastAsia="Times New Roman" w:cs="Times New Roman"/>
          <w:sz w:val="20"/>
          <w:lang w:bidi="ar-SA"/>
        </w:rPr>
        <w:t>absolvieren – sofern keine Bedenken seitens der Schülerinnen und Schüler sowie der Betriebe und Einrichtungen bestehen. Natürlich müssen die in den Betrieben und Einrichtungen</w:t>
      </w:r>
      <w:r w:rsidR="00D86767">
        <w:rPr>
          <w:rFonts w:eastAsia="Times New Roman" w:cs="Times New Roman"/>
          <w:sz w:val="20"/>
          <w:lang w:bidi="ar-SA"/>
        </w:rPr>
        <w:t xml:space="preserve"> </w:t>
      </w:r>
      <w:r w:rsidRPr="0037590D">
        <w:rPr>
          <w:rFonts w:eastAsia="Times New Roman" w:cs="Times New Roman"/>
          <w:sz w:val="20"/>
          <w:lang w:bidi="ar-SA"/>
        </w:rPr>
        <w:t>geltenden Hygienevorschriften</w:t>
      </w:r>
      <w:r w:rsidR="00DC31EF">
        <w:rPr>
          <w:rFonts w:eastAsia="Times New Roman" w:cs="Times New Roman"/>
          <w:sz w:val="20"/>
          <w:lang w:bidi="ar-SA"/>
        </w:rPr>
        <w:t xml:space="preserve"> eingehalten werden,</w:t>
      </w:r>
      <w:r w:rsidRPr="0037590D">
        <w:rPr>
          <w:rFonts w:eastAsia="Times New Roman" w:cs="Times New Roman"/>
          <w:sz w:val="20"/>
          <w:lang w:bidi="ar-SA"/>
        </w:rPr>
        <w:t xml:space="preserve"> um die Gesundheit aller zu schützen. Sollten Firmen oder Einrichtungen ihren </w:t>
      </w:r>
      <w:r w:rsidR="00DC31EF">
        <w:rPr>
          <w:rFonts w:eastAsia="Times New Roman" w:cs="Times New Roman"/>
          <w:sz w:val="20"/>
          <w:lang w:bidi="ar-SA"/>
        </w:rPr>
        <w:t>Betrieb auf die Arbeit im Homeo</w:t>
      </w:r>
      <w:r w:rsidRPr="0037590D">
        <w:rPr>
          <w:rFonts w:eastAsia="Times New Roman" w:cs="Times New Roman"/>
          <w:sz w:val="20"/>
          <w:lang w:bidi="ar-SA"/>
        </w:rPr>
        <w:t>ffice umgestellt haben, ist es durchaus möglich, dass die Schülerinnen und Schüler d</w:t>
      </w:r>
      <w:r w:rsidR="00DC31EF">
        <w:rPr>
          <w:rFonts w:eastAsia="Times New Roman" w:cs="Times New Roman"/>
          <w:sz w:val="20"/>
          <w:lang w:bidi="ar-SA"/>
        </w:rPr>
        <w:t>as Praktikum ebenfalls im Homeo</w:t>
      </w:r>
      <w:r w:rsidRPr="0037590D">
        <w:rPr>
          <w:rFonts w:eastAsia="Times New Roman" w:cs="Times New Roman"/>
          <w:sz w:val="20"/>
          <w:lang w:bidi="ar-SA"/>
        </w:rPr>
        <w:t xml:space="preserve">ffice ableisten. Es </w:t>
      </w:r>
      <w:r w:rsidR="00DC31EF">
        <w:rPr>
          <w:rFonts w:eastAsia="Times New Roman" w:cs="Times New Roman"/>
          <w:sz w:val="20"/>
          <w:lang w:bidi="ar-SA"/>
        </w:rPr>
        <w:t xml:space="preserve">muss allerdings sichergestellt </w:t>
      </w:r>
      <w:r w:rsidRPr="0037590D">
        <w:rPr>
          <w:rFonts w:eastAsia="Times New Roman" w:cs="Times New Roman"/>
          <w:sz w:val="20"/>
          <w:lang w:bidi="ar-SA"/>
        </w:rPr>
        <w:t>sein, dass von den Schülerinnen und Schülern in Umfang und Inhalt angemessene Arbeiten erledigt werden und die Betreuung durch eine verantwortliche Person aus dem Betrieb gewährleistet ist.</w:t>
      </w:r>
    </w:p>
    <w:p w:rsidR="00352140" w:rsidRPr="0037590D" w:rsidRDefault="00352140" w:rsidP="00D6673D">
      <w:pPr>
        <w:pStyle w:val="Textkrper"/>
        <w:spacing w:before="6"/>
        <w:ind w:left="340" w:right="-426"/>
        <w:jc w:val="both"/>
        <w:rPr>
          <w:rFonts w:eastAsia="Times New Roman" w:cs="Times New Roman"/>
          <w:sz w:val="20"/>
          <w:lang w:bidi="ar-SA"/>
        </w:rPr>
      </w:pPr>
    </w:p>
    <w:p w:rsidR="00D86767" w:rsidRDefault="00352140" w:rsidP="00D86767">
      <w:pPr>
        <w:pStyle w:val="Textkrper"/>
        <w:ind w:left="340" w:right="-426"/>
        <w:jc w:val="both"/>
        <w:rPr>
          <w:rFonts w:eastAsia="Times New Roman" w:cs="Times New Roman"/>
          <w:sz w:val="20"/>
          <w:lang w:bidi="ar-SA"/>
        </w:rPr>
      </w:pPr>
      <w:r w:rsidRPr="0037590D">
        <w:rPr>
          <w:rFonts w:eastAsia="Times New Roman" w:cs="Times New Roman"/>
          <w:sz w:val="20"/>
          <w:lang w:bidi="ar-SA"/>
        </w:rPr>
        <w:t>Ist eine fachpraktische Tätigkeit dennoch nicht möglich bzw. bestehen Bede</w:t>
      </w:r>
      <w:r w:rsidR="00383EF2">
        <w:rPr>
          <w:rFonts w:eastAsia="Times New Roman" w:cs="Times New Roman"/>
          <w:sz w:val="20"/>
          <w:lang w:bidi="ar-SA"/>
        </w:rPr>
        <w:t>nken sei</w:t>
      </w:r>
      <w:r w:rsidR="00DC31EF">
        <w:rPr>
          <w:rFonts w:eastAsia="Times New Roman" w:cs="Times New Roman"/>
          <w:sz w:val="20"/>
          <w:lang w:bidi="ar-SA"/>
        </w:rPr>
        <w:t>tens der Schülerinnen</w:t>
      </w:r>
      <w:r w:rsidR="00383EF2">
        <w:rPr>
          <w:rFonts w:eastAsia="Times New Roman" w:cs="Times New Roman"/>
          <w:sz w:val="20"/>
          <w:lang w:bidi="ar-SA"/>
        </w:rPr>
        <w:t xml:space="preserve"> und Schüler über einen weiteren</w:t>
      </w:r>
      <w:r w:rsidRPr="0037590D">
        <w:rPr>
          <w:rFonts w:eastAsia="Times New Roman" w:cs="Times New Roman"/>
          <w:sz w:val="20"/>
          <w:lang w:bidi="ar-SA"/>
        </w:rPr>
        <w:t xml:space="preserve"> Einsatz, wird durch die Schule ein </w:t>
      </w:r>
      <w:r w:rsidRPr="0037590D">
        <w:rPr>
          <w:rFonts w:eastAsia="Times New Roman" w:cs="Times New Roman"/>
          <w:sz w:val="20"/>
          <w:lang w:bidi="ar-SA"/>
        </w:rPr>
        <w:lastRenderedPageBreak/>
        <w:t>alternatives schulisches Angebot sicherge</w:t>
      </w:r>
      <w:r w:rsidR="00383EF2">
        <w:rPr>
          <w:rFonts w:eastAsia="Times New Roman" w:cs="Times New Roman"/>
          <w:sz w:val="20"/>
          <w:lang w:bidi="ar-SA"/>
        </w:rPr>
        <w:t>stellt. Ein entsprechender Ar</w:t>
      </w:r>
      <w:r w:rsidRPr="0037590D">
        <w:rPr>
          <w:rFonts w:eastAsia="Times New Roman" w:cs="Times New Roman"/>
          <w:sz w:val="20"/>
          <w:lang w:bidi="ar-SA"/>
        </w:rPr>
        <w:t>beitskreis hat Vorschläge für die Umsetzung der fach</w:t>
      </w:r>
      <w:r w:rsidR="00383EF2">
        <w:rPr>
          <w:rFonts w:eastAsia="Times New Roman" w:cs="Times New Roman"/>
          <w:sz w:val="20"/>
          <w:lang w:bidi="ar-SA"/>
        </w:rPr>
        <w:t>praktischen Ausbildung erarbei</w:t>
      </w:r>
      <w:r w:rsidRPr="0037590D">
        <w:rPr>
          <w:rFonts w:eastAsia="Times New Roman" w:cs="Times New Roman"/>
          <w:sz w:val="20"/>
          <w:lang w:bidi="ar-SA"/>
        </w:rPr>
        <w:t xml:space="preserve">tet, die den Schulen über die Ministerialbeauftragten </w:t>
      </w:r>
      <w:r w:rsidR="00383EF2">
        <w:rPr>
          <w:rFonts w:eastAsia="Times New Roman" w:cs="Times New Roman"/>
          <w:sz w:val="20"/>
          <w:lang w:bidi="ar-SA"/>
        </w:rPr>
        <w:t>bereits zu Beginn des Schuljah</w:t>
      </w:r>
      <w:r w:rsidRPr="0037590D">
        <w:rPr>
          <w:rFonts w:eastAsia="Times New Roman" w:cs="Times New Roman"/>
          <w:sz w:val="20"/>
          <w:lang w:bidi="ar-SA"/>
        </w:rPr>
        <w:t>res übermittelt wurden. Ziel ist es, dass alle Schülerinnen und Schüler möglichst viele praktis</w:t>
      </w:r>
      <w:r w:rsidR="00D86767">
        <w:rPr>
          <w:rFonts w:eastAsia="Times New Roman" w:cs="Times New Roman"/>
          <w:sz w:val="20"/>
          <w:lang w:bidi="ar-SA"/>
        </w:rPr>
        <w:t>che Erfahrungen sammeln können.</w:t>
      </w:r>
    </w:p>
    <w:p w:rsidR="00D86767" w:rsidRDefault="00D86767" w:rsidP="00D86767">
      <w:pPr>
        <w:pStyle w:val="Textkrper"/>
        <w:ind w:left="340" w:right="-426"/>
        <w:jc w:val="both"/>
        <w:rPr>
          <w:rFonts w:eastAsia="Times New Roman" w:cs="Times New Roman"/>
          <w:sz w:val="20"/>
          <w:lang w:bidi="ar-SA"/>
        </w:rPr>
      </w:pPr>
    </w:p>
    <w:p w:rsidR="00352140" w:rsidRPr="00D86767" w:rsidRDefault="00D86767" w:rsidP="00D86767">
      <w:pPr>
        <w:pStyle w:val="Textkrper"/>
        <w:ind w:left="340" w:right="-426"/>
        <w:jc w:val="both"/>
        <w:rPr>
          <w:rFonts w:eastAsia="Times New Roman" w:cs="Times New Roman"/>
          <w:b/>
          <w:sz w:val="20"/>
          <w:lang w:bidi="ar-SA"/>
        </w:rPr>
      </w:pPr>
      <w:r w:rsidRPr="00D86767">
        <w:rPr>
          <w:rFonts w:eastAsia="Times New Roman" w:cs="Times New Roman"/>
          <w:b/>
          <w:sz w:val="20"/>
          <w:lang w:bidi="ar-SA"/>
        </w:rPr>
        <w:t xml:space="preserve">3. </w:t>
      </w:r>
      <w:r w:rsidR="00352140" w:rsidRPr="00D86767">
        <w:rPr>
          <w:rFonts w:eastAsia="Times New Roman" w:cs="Times New Roman"/>
          <w:b/>
          <w:bCs/>
          <w:sz w:val="20"/>
          <w:lang w:bidi="ar-SA"/>
        </w:rPr>
        <w:t>Harmonisierung der zu bewältigenden Leistungen</w:t>
      </w:r>
    </w:p>
    <w:p w:rsidR="00352140" w:rsidRPr="0037590D" w:rsidRDefault="00352140" w:rsidP="00D6673D">
      <w:pPr>
        <w:pStyle w:val="Textkrper"/>
        <w:spacing w:before="4"/>
        <w:ind w:left="340" w:right="-426"/>
        <w:jc w:val="both"/>
        <w:rPr>
          <w:rFonts w:eastAsia="Times New Roman" w:cs="Times New Roman"/>
          <w:sz w:val="20"/>
          <w:lang w:bidi="ar-SA"/>
        </w:rPr>
      </w:pPr>
    </w:p>
    <w:p w:rsidR="00352140" w:rsidRPr="0037590D" w:rsidRDefault="00352140" w:rsidP="00D6673D">
      <w:pPr>
        <w:spacing w:before="1"/>
        <w:ind w:left="340" w:right="-426"/>
        <w:jc w:val="both"/>
        <w:rPr>
          <w:b/>
        </w:rPr>
      </w:pPr>
      <w:r w:rsidRPr="0037590D">
        <w:rPr>
          <w:b/>
        </w:rPr>
        <w:t>Frage 3.1: Inwiefern weichen die Standards der Leistungserhebungen in der Vorprüfungsphase von denen der Vorjahre ab (bitte Unterschiedlichkeit in Bezug auf die Korrekturstandards wie Notenschlüssel und Bindung der Korrektur an den Erwartungshorizont nach Jahrgangsstufen der Oberstufen darstellen und entsprechend der Schularten FOS/BOS und Gymnasien aufschlüsseln)?</w:t>
      </w:r>
    </w:p>
    <w:p w:rsidR="00352140" w:rsidRPr="0037590D" w:rsidRDefault="00352140" w:rsidP="00D6673D">
      <w:pPr>
        <w:pStyle w:val="Textkrper"/>
        <w:spacing w:before="8"/>
        <w:ind w:left="340" w:right="-426"/>
        <w:jc w:val="both"/>
        <w:rPr>
          <w:rFonts w:eastAsia="Times New Roman" w:cs="Times New Roman"/>
          <w:sz w:val="20"/>
          <w:lang w:bidi="ar-SA"/>
        </w:rPr>
      </w:pPr>
    </w:p>
    <w:p w:rsidR="00352140" w:rsidRPr="0037590D" w:rsidRDefault="00352140" w:rsidP="00D6673D">
      <w:pPr>
        <w:pStyle w:val="Textkrper"/>
        <w:spacing w:before="28"/>
        <w:ind w:left="340" w:right="-426"/>
        <w:jc w:val="both"/>
        <w:rPr>
          <w:rFonts w:eastAsia="Times New Roman" w:cs="Times New Roman"/>
          <w:sz w:val="20"/>
          <w:lang w:bidi="ar-SA"/>
        </w:rPr>
      </w:pPr>
      <w:r w:rsidRPr="0037590D">
        <w:rPr>
          <w:rFonts w:eastAsia="Times New Roman" w:cs="Times New Roman"/>
          <w:sz w:val="20"/>
          <w:lang w:bidi="ar-SA"/>
        </w:rPr>
        <w:t>Grundsätzlich gilt: Gemäß Art. 52 Ab</w:t>
      </w:r>
      <w:r w:rsidR="00383EF2">
        <w:rPr>
          <w:rFonts w:eastAsia="Times New Roman" w:cs="Times New Roman"/>
          <w:sz w:val="20"/>
          <w:lang w:bidi="ar-SA"/>
        </w:rPr>
        <w:t>s. 3 des Bayerischen Erziehungs</w:t>
      </w:r>
      <w:r w:rsidRPr="0037590D">
        <w:rPr>
          <w:rFonts w:eastAsia="Times New Roman" w:cs="Times New Roman"/>
          <w:sz w:val="20"/>
          <w:lang w:bidi="ar-SA"/>
        </w:rPr>
        <w:t>- und Unterrichtsgesetzes (BayEUG) werden die gesamten Leistungen einer Schülerin oder eines Schülers unter Wahrung der Gleichbehandlung aller Schülerinnen und Schüler in pädagogischer Verantwortung der Lehrkraft bewertet.</w:t>
      </w:r>
    </w:p>
    <w:p w:rsidR="00352140" w:rsidRDefault="00352140" w:rsidP="00D6673D">
      <w:pPr>
        <w:pStyle w:val="Textkrper"/>
        <w:ind w:left="340" w:right="-426"/>
        <w:jc w:val="both"/>
        <w:rPr>
          <w:sz w:val="21"/>
        </w:rPr>
      </w:pPr>
    </w:p>
    <w:p w:rsidR="00D86767" w:rsidRDefault="00352140" w:rsidP="00D86767">
      <w:pPr>
        <w:pStyle w:val="Textkrper"/>
        <w:spacing w:before="28"/>
        <w:ind w:left="340" w:right="-426"/>
        <w:jc w:val="both"/>
        <w:rPr>
          <w:rFonts w:eastAsia="Times New Roman" w:cs="Times New Roman"/>
          <w:sz w:val="20"/>
          <w:lang w:bidi="ar-SA"/>
        </w:rPr>
      </w:pPr>
      <w:r w:rsidRPr="0037590D">
        <w:rPr>
          <w:rFonts w:eastAsia="Times New Roman" w:cs="Times New Roman"/>
          <w:sz w:val="20"/>
          <w:lang w:bidi="ar-SA"/>
        </w:rPr>
        <w:t xml:space="preserve">Am </w:t>
      </w:r>
      <w:r w:rsidRPr="0037590D">
        <w:rPr>
          <w:rFonts w:eastAsia="Times New Roman" w:cs="Times New Roman"/>
          <w:sz w:val="20"/>
          <w:u w:val="single"/>
          <w:lang w:bidi="ar-SA"/>
        </w:rPr>
        <w:t>Gymnasium</w:t>
      </w:r>
      <w:r w:rsidRPr="0037590D">
        <w:rPr>
          <w:rFonts w:eastAsia="Times New Roman" w:cs="Times New Roman"/>
          <w:sz w:val="20"/>
          <w:lang w:bidi="ar-SA"/>
        </w:rPr>
        <w:t xml:space="preserve"> liegen der Abiturprüfung die ei</w:t>
      </w:r>
      <w:r w:rsidR="00383EF2">
        <w:rPr>
          <w:rFonts w:eastAsia="Times New Roman" w:cs="Times New Roman"/>
          <w:sz w:val="20"/>
          <w:lang w:bidi="ar-SA"/>
        </w:rPr>
        <w:t>nschlägigen KMK-Rahmenvereinba</w:t>
      </w:r>
      <w:r w:rsidRPr="0037590D">
        <w:rPr>
          <w:rFonts w:eastAsia="Times New Roman" w:cs="Times New Roman"/>
          <w:sz w:val="20"/>
          <w:lang w:bidi="ar-SA"/>
        </w:rPr>
        <w:t>rungen, insbesondere die Vereinbarung</w:t>
      </w:r>
      <w:r w:rsidR="00383EF2">
        <w:rPr>
          <w:rFonts w:eastAsia="Times New Roman" w:cs="Times New Roman"/>
          <w:sz w:val="20"/>
          <w:lang w:bidi="ar-SA"/>
        </w:rPr>
        <w:t xml:space="preserve"> zur Gestaltung der gymnasialen</w:t>
      </w:r>
      <w:r w:rsidRPr="0037590D">
        <w:rPr>
          <w:rFonts w:eastAsia="Times New Roman" w:cs="Times New Roman"/>
          <w:sz w:val="20"/>
          <w:lang w:bidi="ar-SA"/>
        </w:rPr>
        <w:t xml:space="preserve"> Oberstufe und der Abiturprüfung (Beschluss der Kultusministerkonferenz vom 07.07.1972 i.</w:t>
      </w:r>
      <w:r w:rsidR="001D638E">
        <w:rPr>
          <w:rFonts w:eastAsia="Times New Roman" w:cs="Times New Roman"/>
          <w:sz w:val="20"/>
          <w:lang w:bidi="ar-SA"/>
        </w:rPr>
        <w:t> </w:t>
      </w:r>
      <w:r w:rsidRPr="0037590D">
        <w:rPr>
          <w:rFonts w:eastAsia="Times New Roman" w:cs="Times New Roman"/>
          <w:sz w:val="20"/>
          <w:lang w:bidi="ar-SA"/>
        </w:rPr>
        <w:t>d.</w:t>
      </w:r>
      <w:r w:rsidR="001D638E">
        <w:rPr>
          <w:rFonts w:eastAsia="Times New Roman" w:cs="Times New Roman"/>
          <w:sz w:val="20"/>
          <w:lang w:bidi="ar-SA"/>
        </w:rPr>
        <w:t> </w:t>
      </w:r>
      <w:r w:rsidRPr="0037590D">
        <w:rPr>
          <w:rFonts w:eastAsia="Times New Roman" w:cs="Times New Roman"/>
          <w:sz w:val="20"/>
          <w:lang w:bidi="ar-SA"/>
        </w:rPr>
        <w:t>F. vom 15.02.2018; fortan „KMK-Oberstufenvereinbarung“) zugrunde. Gemäß Ziffer</w:t>
      </w:r>
      <w:r w:rsidR="001D638E">
        <w:rPr>
          <w:rFonts w:eastAsia="Times New Roman" w:cs="Times New Roman"/>
          <w:sz w:val="20"/>
          <w:lang w:bidi="ar-SA"/>
        </w:rPr>
        <w:t xml:space="preserve"> </w:t>
      </w:r>
      <w:r w:rsidR="00684CFD">
        <w:rPr>
          <w:rFonts w:eastAsia="Times New Roman" w:cs="Times New Roman"/>
          <w:sz w:val="20"/>
          <w:lang w:bidi="ar-SA"/>
        </w:rPr>
        <w:t xml:space="preserve">8.4.2 </w:t>
      </w:r>
      <w:r w:rsidRPr="0037590D">
        <w:rPr>
          <w:rFonts w:eastAsia="Times New Roman" w:cs="Times New Roman"/>
          <w:sz w:val="20"/>
          <w:lang w:bidi="ar-SA"/>
        </w:rPr>
        <w:t>der KMK-Oberstufenvereinbarung ist in der schriftlichen Abiturprüfung in den Fächern mit Bildungsstandards für die Allgemeine Hochschulreife, d.</w:t>
      </w:r>
      <w:r w:rsidR="001D638E">
        <w:rPr>
          <w:rFonts w:eastAsia="Times New Roman" w:cs="Times New Roman"/>
          <w:sz w:val="20"/>
          <w:lang w:bidi="ar-SA"/>
        </w:rPr>
        <w:t> </w:t>
      </w:r>
      <w:r w:rsidRPr="0037590D">
        <w:rPr>
          <w:rFonts w:eastAsia="Times New Roman" w:cs="Times New Roman"/>
          <w:sz w:val="20"/>
          <w:lang w:bidi="ar-SA"/>
        </w:rPr>
        <w:t>h. in Deutsch, Mathematik, Englisch und Französisch das länder</w:t>
      </w:r>
      <w:r w:rsidR="001D638E">
        <w:rPr>
          <w:rFonts w:eastAsia="Times New Roman" w:cs="Times New Roman"/>
          <w:sz w:val="20"/>
          <w:lang w:bidi="ar-SA"/>
        </w:rPr>
        <w:t>übergreifend verbindliche Bewer</w:t>
      </w:r>
      <w:r w:rsidRPr="0037590D">
        <w:rPr>
          <w:rFonts w:eastAsia="Times New Roman" w:cs="Times New Roman"/>
          <w:sz w:val="20"/>
          <w:lang w:bidi="ar-SA"/>
        </w:rPr>
        <w:t>tungsraster verpflichtend anzuwenden. Demzufolge</w:t>
      </w:r>
      <w:r w:rsidR="001D638E">
        <w:rPr>
          <w:rFonts w:eastAsia="Times New Roman" w:cs="Times New Roman"/>
          <w:sz w:val="20"/>
          <w:lang w:bidi="ar-SA"/>
        </w:rPr>
        <w:t xml:space="preserve"> sind die Schülerinnen und Schü</w:t>
      </w:r>
      <w:r w:rsidRPr="0037590D">
        <w:rPr>
          <w:rFonts w:eastAsia="Times New Roman" w:cs="Times New Roman"/>
          <w:sz w:val="20"/>
          <w:lang w:bidi="ar-SA"/>
        </w:rPr>
        <w:t>ler spätestens in der Qualifikationsphase der Ob</w:t>
      </w:r>
      <w:r w:rsidR="001D638E">
        <w:rPr>
          <w:rFonts w:eastAsia="Times New Roman" w:cs="Times New Roman"/>
          <w:sz w:val="20"/>
          <w:lang w:bidi="ar-SA"/>
        </w:rPr>
        <w:t>erstufe an diesen Bewertungsmaß</w:t>
      </w:r>
      <w:r w:rsidRPr="0037590D">
        <w:rPr>
          <w:rFonts w:eastAsia="Times New Roman" w:cs="Times New Roman"/>
          <w:sz w:val="20"/>
          <w:lang w:bidi="ar-SA"/>
        </w:rPr>
        <w:t>stab heranzuführen. Eine Anpassung wurde seite</w:t>
      </w:r>
      <w:r w:rsidR="001D638E">
        <w:rPr>
          <w:rFonts w:eastAsia="Times New Roman" w:cs="Times New Roman"/>
          <w:sz w:val="20"/>
          <w:lang w:bidi="ar-SA"/>
        </w:rPr>
        <w:t>ns der Ständigen Kultusminister</w:t>
      </w:r>
      <w:r w:rsidRPr="0037590D">
        <w:rPr>
          <w:rFonts w:eastAsia="Times New Roman" w:cs="Times New Roman"/>
          <w:sz w:val="20"/>
          <w:lang w:bidi="ar-SA"/>
        </w:rPr>
        <w:t>konferenz der Länder der Bundesrepublik Deutschland (KMK) nicht vorgenommen.</w:t>
      </w:r>
    </w:p>
    <w:p w:rsidR="00D86767" w:rsidRDefault="00D86767" w:rsidP="00D86767">
      <w:pPr>
        <w:pStyle w:val="Textkrper"/>
        <w:spacing w:before="28"/>
        <w:ind w:left="340" w:right="-426"/>
        <w:jc w:val="both"/>
        <w:rPr>
          <w:rFonts w:eastAsia="Times New Roman" w:cs="Times New Roman"/>
          <w:sz w:val="20"/>
          <w:lang w:bidi="ar-SA"/>
        </w:rPr>
      </w:pPr>
    </w:p>
    <w:p w:rsidR="00352140" w:rsidRPr="0037590D" w:rsidRDefault="00352140" w:rsidP="00D86767">
      <w:pPr>
        <w:pStyle w:val="Textkrper"/>
        <w:spacing w:before="28"/>
        <w:ind w:left="340" w:right="-426"/>
        <w:jc w:val="both"/>
        <w:rPr>
          <w:rFonts w:eastAsia="Times New Roman" w:cs="Times New Roman"/>
          <w:sz w:val="20"/>
          <w:lang w:bidi="ar-SA"/>
        </w:rPr>
      </w:pPr>
      <w:r w:rsidRPr="0037590D">
        <w:rPr>
          <w:rFonts w:eastAsia="Times New Roman" w:cs="Times New Roman"/>
          <w:sz w:val="20"/>
          <w:lang w:bidi="ar-SA"/>
        </w:rPr>
        <w:t xml:space="preserve">An </w:t>
      </w:r>
      <w:r w:rsidRPr="0037590D">
        <w:rPr>
          <w:rFonts w:eastAsia="Times New Roman" w:cs="Times New Roman"/>
          <w:sz w:val="20"/>
          <w:u w:val="single"/>
          <w:lang w:bidi="ar-SA"/>
        </w:rPr>
        <w:t>Fach- und Berufsoberschulen</w:t>
      </w:r>
      <w:r w:rsidRPr="0037590D">
        <w:rPr>
          <w:rFonts w:eastAsia="Times New Roman" w:cs="Times New Roman"/>
          <w:sz w:val="20"/>
          <w:lang w:bidi="ar-SA"/>
        </w:rPr>
        <w:t xml:space="preserve"> liegen der Fachabitur- bzw. der Abiturprüfung die einschlägigen KMK-Rahmenvereinbarungen zugrunde. Die Fachhochschulreife wird auf Grundlage der KMK-Rahmenvereinbarung über die Fachoberschule (Beschluss der Kultusministerkonferenz vom 16.12.2004 i.</w:t>
      </w:r>
      <w:r w:rsidR="001D638E">
        <w:rPr>
          <w:rFonts w:eastAsia="Times New Roman" w:cs="Times New Roman"/>
          <w:sz w:val="20"/>
          <w:lang w:bidi="ar-SA"/>
        </w:rPr>
        <w:t> </w:t>
      </w:r>
      <w:r w:rsidRPr="0037590D">
        <w:rPr>
          <w:rFonts w:eastAsia="Times New Roman" w:cs="Times New Roman"/>
          <w:sz w:val="20"/>
          <w:lang w:bidi="ar-SA"/>
        </w:rPr>
        <w:t>d.</w:t>
      </w:r>
      <w:r w:rsidR="001D638E">
        <w:rPr>
          <w:rFonts w:eastAsia="Times New Roman" w:cs="Times New Roman"/>
          <w:sz w:val="20"/>
          <w:lang w:bidi="ar-SA"/>
        </w:rPr>
        <w:t> </w:t>
      </w:r>
      <w:r w:rsidRPr="0037590D">
        <w:rPr>
          <w:rFonts w:eastAsia="Times New Roman" w:cs="Times New Roman"/>
          <w:sz w:val="20"/>
          <w:lang w:bidi="ar-SA"/>
        </w:rPr>
        <w:t>F. vom 01.10.2010) durchgeführt.</w:t>
      </w:r>
    </w:p>
    <w:p w:rsidR="00352140" w:rsidRPr="0037590D" w:rsidRDefault="00352140" w:rsidP="00D6673D">
      <w:pPr>
        <w:pStyle w:val="Textkrper"/>
        <w:spacing w:before="5"/>
        <w:ind w:left="340" w:right="-426"/>
        <w:jc w:val="both"/>
        <w:rPr>
          <w:rFonts w:eastAsia="Times New Roman" w:cs="Times New Roman"/>
          <w:sz w:val="20"/>
          <w:lang w:bidi="ar-SA"/>
        </w:rPr>
      </w:pPr>
      <w:r w:rsidRPr="0037590D">
        <w:rPr>
          <w:rFonts w:eastAsia="Times New Roman" w:cs="Times New Roman"/>
          <w:sz w:val="20"/>
          <w:lang w:bidi="ar-SA"/>
        </w:rPr>
        <w:t>Die Abiturprüfung findet auf Grundlage der Rahmenverein</w:t>
      </w:r>
      <w:r w:rsidR="001D638E">
        <w:rPr>
          <w:rFonts w:eastAsia="Times New Roman" w:cs="Times New Roman"/>
          <w:sz w:val="20"/>
          <w:lang w:bidi="ar-SA"/>
        </w:rPr>
        <w:t>barung über die Berufs</w:t>
      </w:r>
      <w:r w:rsidRPr="0037590D">
        <w:rPr>
          <w:rFonts w:eastAsia="Times New Roman" w:cs="Times New Roman"/>
          <w:sz w:val="20"/>
          <w:lang w:bidi="ar-SA"/>
        </w:rPr>
        <w:t xml:space="preserve">oberschule (Beschluss der </w:t>
      </w:r>
      <w:r w:rsidR="001D638E">
        <w:rPr>
          <w:rFonts w:eastAsia="Times New Roman" w:cs="Times New Roman"/>
          <w:sz w:val="20"/>
          <w:lang w:bidi="ar-SA"/>
        </w:rPr>
        <w:t>Kultusministerkonferenz vom 25.</w:t>
      </w:r>
      <w:r w:rsidRPr="0037590D">
        <w:rPr>
          <w:rFonts w:eastAsia="Times New Roman" w:cs="Times New Roman"/>
          <w:sz w:val="20"/>
          <w:lang w:bidi="ar-SA"/>
        </w:rPr>
        <w:t>11.1976 i.</w:t>
      </w:r>
      <w:r w:rsidR="001D638E">
        <w:rPr>
          <w:rFonts w:eastAsia="Times New Roman" w:cs="Times New Roman"/>
          <w:sz w:val="20"/>
          <w:lang w:bidi="ar-SA"/>
        </w:rPr>
        <w:t> </w:t>
      </w:r>
      <w:r w:rsidRPr="0037590D">
        <w:rPr>
          <w:rFonts w:eastAsia="Times New Roman" w:cs="Times New Roman"/>
          <w:sz w:val="20"/>
          <w:lang w:bidi="ar-SA"/>
        </w:rPr>
        <w:t>d.</w:t>
      </w:r>
      <w:r w:rsidR="001D638E">
        <w:rPr>
          <w:rFonts w:eastAsia="Times New Roman" w:cs="Times New Roman"/>
          <w:sz w:val="20"/>
          <w:lang w:bidi="ar-SA"/>
        </w:rPr>
        <w:t> </w:t>
      </w:r>
      <w:r w:rsidRPr="0037590D">
        <w:rPr>
          <w:rFonts w:eastAsia="Times New Roman" w:cs="Times New Roman"/>
          <w:sz w:val="20"/>
          <w:lang w:bidi="ar-SA"/>
        </w:rPr>
        <w:t>F. vom 19.03.2020) statt. Eine Anpassung wurde seitens der</w:t>
      </w:r>
      <w:r w:rsidR="001D638E">
        <w:rPr>
          <w:rFonts w:eastAsia="Times New Roman" w:cs="Times New Roman"/>
          <w:sz w:val="20"/>
          <w:lang w:bidi="ar-SA"/>
        </w:rPr>
        <w:t xml:space="preserve"> Ständigen Kultusministerkonfe</w:t>
      </w:r>
      <w:r w:rsidRPr="0037590D">
        <w:rPr>
          <w:rFonts w:eastAsia="Times New Roman" w:cs="Times New Roman"/>
          <w:sz w:val="20"/>
          <w:lang w:bidi="ar-SA"/>
        </w:rPr>
        <w:t>renz der Länder der Bundesrepublik Deutschland (KMK) auch für Fach- und</w:t>
      </w:r>
      <w:r w:rsidR="001D638E">
        <w:rPr>
          <w:rFonts w:eastAsia="Times New Roman" w:cs="Times New Roman"/>
          <w:sz w:val="20"/>
          <w:lang w:bidi="ar-SA"/>
        </w:rPr>
        <w:t xml:space="preserve"> Berufs</w:t>
      </w:r>
      <w:r w:rsidRPr="0037590D">
        <w:rPr>
          <w:rFonts w:eastAsia="Times New Roman" w:cs="Times New Roman"/>
          <w:sz w:val="20"/>
          <w:lang w:bidi="ar-SA"/>
        </w:rPr>
        <w:t>oberschulen nicht vorgenommen.</w:t>
      </w:r>
    </w:p>
    <w:p w:rsidR="00352140" w:rsidRPr="0037590D" w:rsidRDefault="00352140" w:rsidP="00D6673D">
      <w:pPr>
        <w:pStyle w:val="Textkrper"/>
        <w:spacing w:before="1"/>
        <w:ind w:left="340" w:right="-426"/>
        <w:jc w:val="both"/>
        <w:rPr>
          <w:rFonts w:eastAsia="Times New Roman" w:cs="Times New Roman"/>
          <w:sz w:val="20"/>
          <w:lang w:bidi="ar-SA"/>
        </w:rPr>
      </w:pPr>
    </w:p>
    <w:p w:rsidR="00352140" w:rsidRDefault="00352140" w:rsidP="00D6673D">
      <w:pPr>
        <w:pStyle w:val="Textkrper"/>
        <w:ind w:left="340" w:right="-426"/>
        <w:jc w:val="both"/>
        <w:rPr>
          <w:rFonts w:eastAsia="Times New Roman" w:cs="Times New Roman"/>
          <w:sz w:val="20"/>
          <w:lang w:bidi="ar-SA"/>
        </w:rPr>
      </w:pPr>
      <w:r w:rsidRPr="0037590D">
        <w:rPr>
          <w:rFonts w:eastAsia="Times New Roman" w:cs="Times New Roman"/>
          <w:sz w:val="20"/>
          <w:lang w:bidi="ar-SA"/>
        </w:rPr>
        <w:t>Im Übrigen wird auf die Antwort zu Ziffer 1.2 verwiesen.</w:t>
      </w:r>
    </w:p>
    <w:p w:rsidR="00352140" w:rsidRPr="0037590D" w:rsidRDefault="00352140" w:rsidP="00D6673D">
      <w:pPr>
        <w:pStyle w:val="berschrift1"/>
        <w:spacing w:before="226"/>
        <w:ind w:left="340" w:right="-426"/>
        <w:jc w:val="both"/>
        <w:rPr>
          <w:rFonts w:eastAsia="Times New Roman" w:cs="Times New Roman"/>
          <w:bCs w:val="0"/>
          <w:sz w:val="20"/>
          <w:lang w:bidi="ar-SA"/>
        </w:rPr>
      </w:pPr>
      <w:r w:rsidRPr="0037590D">
        <w:rPr>
          <w:rFonts w:eastAsia="Times New Roman" w:cs="Times New Roman"/>
          <w:bCs w:val="0"/>
          <w:sz w:val="20"/>
          <w:lang w:bidi="ar-SA"/>
        </w:rPr>
        <w:t>Frage 3.2: Wie werden die Vergleichbarkeit und Leistbarkeit hinsichtlich der Prüfungsanforderungen und des vorzubereitenden Unterrichtsstoffs zwischen den Schularten und Jahrgängen gewährleistet?</w:t>
      </w:r>
    </w:p>
    <w:p w:rsidR="00D86767" w:rsidRDefault="00D86767" w:rsidP="00D6673D">
      <w:pPr>
        <w:pStyle w:val="Textkrper"/>
        <w:spacing w:before="1"/>
        <w:ind w:left="340" w:right="-426"/>
        <w:jc w:val="both"/>
        <w:rPr>
          <w:rFonts w:eastAsia="Times New Roman" w:cs="Times New Roman"/>
          <w:sz w:val="20"/>
          <w:lang w:bidi="ar-SA"/>
        </w:rPr>
      </w:pPr>
    </w:p>
    <w:p w:rsidR="00352140" w:rsidRPr="0037590D" w:rsidRDefault="00352140" w:rsidP="001D638E">
      <w:pPr>
        <w:pStyle w:val="Textkrper"/>
        <w:ind w:left="340" w:right="-425"/>
        <w:jc w:val="both"/>
        <w:rPr>
          <w:rFonts w:eastAsia="Times New Roman" w:cs="Times New Roman"/>
          <w:sz w:val="20"/>
          <w:lang w:bidi="ar-SA"/>
        </w:rPr>
      </w:pPr>
      <w:r w:rsidRPr="0037590D">
        <w:rPr>
          <w:rFonts w:eastAsia="Times New Roman" w:cs="Times New Roman"/>
          <w:sz w:val="20"/>
          <w:lang w:bidi="ar-SA"/>
        </w:rPr>
        <w:t>Es wurden Maßnahmen der Qualitätssicherung ergriffen, die dafür sorgen, dass der Distanzunterricht dem Präsenzunterricht im Wesentlichen gleichwertig ist:</w:t>
      </w:r>
    </w:p>
    <w:p w:rsidR="00352140" w:rsidRPr="0037590D" w:rsidRDefault="00D86767" w:rsidP="00D86767">
      <w:pPr>
        <w:pStyle w:val="Listenabsatz"/>
        <w:numPr>
          <w:ilvl w:val="3"/>
          <w:numId w:val="41"/>
        </w:numPr>
        <w:tabs>
          <w:tab w:val="left" w:pos="826"/>
          <w:tab w:val="left" w:pos="827"/>
          <w:tab w:val="left" w:pos="4928"/>
        </w:tabs>
        <w:spacing w:before="28"/>
        <w:ind w:left="680" w:right="-425"/>
        <w:jc w:val="both"/>
        <w:rPr>
          <w:rFonts w:eastAsia="Times New Roman" w:cs="Times New Roman"/>
          <w:sz w:val="20"/>
          <w:szCs w:val="24"/>
          <w:lang w:bidi="ar-SA"/>
        </w:rPr>
      </w:pPr>
      <w:r>
        <w:rPr>
          <w:rFonts w:eastAsia="Times New Roman" w:cs="Times New Roman"/>
          <w:sz w:val="20"/>
          <w:szCs w:val="24"/>
          <w:lang w:bidi="ar-SA"/>
        </w:rPr>
        <w:t xml:space="preserve">Zur pädagogisch-didaktischen </w:t>
      </w:r>
      <w:r w:rsidR="00352140" w:rsidRPr="0037590D">
        <w:rPr>
          <w:rFonts w:eastAsia="Times New Roman" w:cs="Times New Roman"/>
          <w:sz w:val="20"/>
          <w:szCs w:val="24"/>
          <w:lang w:bidi="ar-SA"/>
        </w:rPr>
        <w:t>Gestaltung des Distanzunterrichts bedienen sich die Lehrkräfte eines breiten Port</w:t>
      </w:r>
      <w:r w:rsidR="00C7072B">
        <w:rPr>
          <w:rFonts w:eastAsia="Times New Roman" w:cs="Times New Roman"/>
          <w:sz w:val="20"/>
          <w:szCs w:val="24"/>
          <w:lang w:bidi="ar-SA"/>
        </w:rPr>
        <w:t>folios an analogen wie auch di</w:t>
      </w:r>
      <w:r w:rsidR="00352140" w:rsidRPr="0037590D">
        <w:rPr>
          <w:rFonts w:eastAsia="Times New Roman" w:cs="Times New Roman"/>
          <w:sz w:val="20"/>
          <w:szCs w:val="24"/>
          <w:lang w:bidi="ar-SA"/>
        </w:rPr>
        <w:t>gitalen Medien. Verbindlichkeit, Ver</w:t>
      </w:r>
      <w:r w:rsidR="00C7072B">
        <w:rPr>
          <w:rFonts w:eastAsia="Times New Roman" w:cs="Times New Roman"/>
          <w:sz w:val="20"/>
          <w:szCs w:val="24"/>
          <w:lang w:bidi="ar-SA"/>
        </w:rPr>
        <w:t xml:space="preserve">lässlichkeit sowie der direkte Kontakt </w:t>
      </w:r>
      <w:r w:rsidR="00352140" w:rsidRPr="0037590D">
        <w:rPr>
          <w:rFonts w:eastAsia="Times New Roman" w:cs="Times New Roman"/>
          <w:sz w:val="20"/>
          <w:szCs w:val="24"/>
          <w:lang w:bidi="ar-SA"/>
        </w:rPr>
        <w:t>mit den Schülerinnen und Schülern sind Qualit</w:t>
      </w:r>
      <w:r w:rsidR="00C7072B">
        <w:rPr>
          <w:rFonts w:eastAsia="Times New Roman" w:cs="Times New Roman"/>
          <w:sz w:val="20"/>
          <w:szCs w:val="24"/>
          <w:lang w:bidi="ar-SA"/>
        </w:rPr>
        <w:t>ätsgrundsätze, die das Staatsmi</w:t>
      </w:r>
      <w:r w:rsidR="00352140" w:rsidRPr="0037590D">
        <w:rPr>
          <w:rFonts w:eastAsia="Times New Roman" w:cs="Times New Roman"/>
          <w:sz w:val="20"/>
          <w:szCs w:val="24"/>
          <w:lang w:bidi="ar-SA"/>
        </w:rPr>
        <w:t>nisterium gemäß der im Sommer 2020 veröffentlichten und im Januar 2021 angepassten Leitlinie auch in Phasen</w:t>
      </w:r>
      <w:r w:rsidR="00C7072B">
        <w:rPr>
          <w:rFonts w:eastAsia="Times New Roman" w:cs="Times New Roman"/>
          <w:sz w:val="20"/>
          <w:szCs w:val="24"/>
          <w:lang w:bidi="ar-SA"/>
        </w:rPr>
        <w:t xml:space="preserve"> des Distanzunterrichts zugrunde</w:t>
      </w:r>
      <w:r w:rsidR="00352140" w:rsidRPr="0037590D">
        <w:rPr>
          <w:rFonts w:eastAsia="Times New Roman" w:cs="Times New Roman"/>
          <w:sz w:val="20"/>
          <w:szCs w:val="24"/>
          <w:lang w:bidi="ar-SA"/>
        </w:rPr>
        <w:t xml:space="preserve"> legt. Zur Unterstützung beim Distanzunterricht hat da</w:t>
      </w:r>
      <w:r w:rsidR="00C7072B">
        <w:rPr>
          <w:rFonts w:eastAsia="Times New Roman" w:cs="Times New Roman"/>
          <w:sz w:val="20"/>
          <w:szCs w:val="24"/>
          <w:lang w:bidi="ar-SA"/>
        </w:rPr>
        <w:t xml:space="preserve">s </w:t>
      </w:r>
      <w:r w:rsidR="00C7072B">
        <w:rPr>
          <w:rFonts w:eastAsia="Times New Roman" w:cs="Times New Roman"/>
          <w:sz w:val="20"/>
          <w:szCs w:val="24"/>
          <w:lang w:bidi="ar-SA"/>
        </w:rPr>
        <w:lastRenderedPageBreak/>
        <w:t>Staatsinstitut für Schulquali</w:t>
      </w:r>
      <w:r w:rsidR="00352140" w:rsidRPr="0037590D">
        <w:rPr>
          <w:rFonts w:eastAsia="Times New Roman" w:cs="Times New Roman"/>
          <w:sz w:val="20"/>
          <w:szCs w:val="24"/>
          <w:lang w:bidi="ar-SA"/>
        </w:rPr>
        <w:t>tät und Bildungsforschung (ISB) das Portal „Di</w:t>
      </w:r>
      <w:r w:rsidR="00C7072B">
        <w:rPr>
          <w:rFonts w:eastAsia="Times New Roman" w:cs="Times New Roman"/>
          <w:sz w:val="20"/>
          <w:szCs w:val="24"/>
          <w:lang w:bidi="ar-SA"/>
        </w:rPr>
        <w:t>stanzunterricht in Bayern“ ein</w:t>
      </w:r>
      <w:r w:rsidR="00352140" w:rsidRPr="0037590D">
        <w:rPr>
          <w:rFonts w:eastAsia="Times New Roman" w:cs="Times New Roman"/>
          <w:sz w:val="20"/>
          <w:szCs w:val="24"/>
          <w:lang w:bidi="ar-SA"/>
        </w:rPr>
        <w:t xml:space="preserve">gerichtet, das unter </w:t>
      </w:r>
      <w:hyperlink r:id="rId17">
        <w:r w:rsidR="00352140" w:rsidRPr="00C7072B">
          <w:rPr>
            <w:rStyle w:val="LTHyperlinkZchn"/>
            <w:b w:val="0"/>
            <w:sz w:val="20"/>
          </w:rPr>
          <w:t>https://www.distanzunterricht.bayern.de</w:t>
        </w:r>
      </w:hyperlink>
      <w:r w:rsidR="00352140" w:rsidRPr="0037590D">
        <w:rPr>
          <w:rFonts w:eastAsia="Times New Roman" w:cs="Times New Roman"/>
          <w:sz w:val="20"/>
          <w:szCs w:val="24"/>
          <w:lang w:bidi="ar-SA"/>
        </w:rPr>
        <w:t xml:space="preserve"> erreichbar ist.</w:t>
      </w:r>
    </w:p>
    <w:p w:rsidR="00352140" w:rsidRPr="00C7072B" w:rsidRDefault="00352140" w:rsidP="00730353">
      <w:pPr>
        <w:pStyle w:val="Listenabsatz"/>
        <w:numPr>
          <w:ilvl w:val="3"/>
          <w:numId w:val="41"/>
        </w:numPr>
        <w:tabs>
          <w:tab w:val="left" w:pos="826"/>
          <w:tab w:val="left" w:pos="827"/>
        </w:tabs>
        <w:spacing w:before="138"/>
        <w:ind w:left="680" w:right="-425"/>
        <w:jc w:val="both"/>
        <w:rPr>
          <w:rFonts w:eastAsia="Times New Roman" w:cs="Times New Roman"/>
          <w:sz w:val="20"/>
          <w:lang w:bidi="ar-SA"/>
        </w:rPr>
      </w:pPr>
      <w:r w:rsidRPr="00C7072B">
        <w:rPr>
          <w:rFonts w:eastAsia="Times New Roman" w:cs="Times New Roman"/>
          <w:sz w:val="20"/>
          <w:szCs w:val="24"/>
          <w:lang w:bidi="ar-SA"/>
        </w:rPr>
        <w:t>Mit der Novellierung der Bayerischen Schulordnung (BaySchO) wurde in § 19</w:t>
      </w:r>
      <w:r w:rsidR="00C7072B" w:rsidRPr="00C7072B">
        <w:rPr>
          <w:rFonts w:eastAsia="Times New Roman" w:cs="Times New Roman"/>
          <w:sz w:val="20"/>
          <w:szCs w:val="24"/>
          <w:lang w:bidi="ar-SA"/>
        </w:rPr>
        <w:t xml:space="preserve"> </w:t>
      </w:r>
      <w:r w:rsidR="00C7072B">
        <w:rPr>
          <w:rFonts w:eastAsia="Times New Roman" w:cs="Times New Roman"/>
          <w:sz w:val="20"/>
          <w:lang w:bidi="ar-SA"/>
        </w:rPr>
        <w:t>Abs. </w:t>
      </w:r>
      <w:r w:rsidRPr="00C7072B">
        <w:rPr>
          <w:rFonts w:eastAsia="Times New Roman" w:cs="Times New Roman"/>
          <w:sz w:val="20"/>
          <w:lang w:bidi="ar-SA"/>
        </w:rPr>
        <w:t xml:space="preserve">4 ein rechtssicherer und verbindlicher </w:t>
      </w:r>
      <w:r w:rsidR="00C7072B">
        <w:rPr>
          <w:rFonts w:eastAsia="Times New Roman" w:cs="Times New Roman"/>
          <w:sz w:val="20"/>
          <w:lang w:bidi="ar-SA"/>
        </w:rPr>
        <w:t>Rahmen zum Distanzunterricht ge</w:t>
      </w:r>
      <w:r w:rsidRPr="00C7072B">
        <w:rPr>
          <w:rFonts w:eastAsia="Times New Roman" w:cs="Times New Roman"/>
          <w:sz w:val="20"/>
          <w:lang w:bidi="ar-SA"/>
        </w:rPr>
        <w:t>schaffen, auf dessen Grundlage es nun möglich ist, die im Distanzunterricht erar</w:t>
      </w:r>
      <w:r w:rsidR="00C7072B">
        <w:rPr>
          <w:rFonts w:eastAsia="Times New Roman" w:cs="Times New Roman"/>
          <w:sz w:val="20"/>
          <w:lang w:bidi="ar-SA"/>
        </w:rPr>
        <w:t xml:space="preserve">beiteten Inhalte zum Gegenstand von Leistungsnachweisen </w:t>
      </w:r>
      <w:r w:rsidRPr="00C7072B">
        <w:rPr>
          <w:rFonts w:eastAsia="Times New Roman" w:cs="Times New Roman"/>
          <w:sz w:val="20"/>
          <w:lang w:bidi="ar-SA"/>
        </w:rPr>
        <w:t>zu machen und – abhängig von den Voraussetzungen vo</w:t>
      </w:r>
      <w:r w:rsidR="00C7072B">
        <w:rPr>
          <w:rFonts w:eastAsia="Times New Roman" w:cs="Times New Roman"/>
          <w:sz w:val="20"/>
          <w:lang w:bidi="ar-SA"/>
        </w:rPr>
        <w:t>r Ort und in pädagogischer Ver</w:t>
      </w:r>
      <w:r w:rsidRPr="00C7072B">
        <w:rPr>
          <w:rFonts w:eastAsia="Times New Roman" w:cs="Times New Roman"/>
          <w:sz w:val="20"/>
          <w:lang w:bidi="ar-SA"/>
        </w:rPr>
        <w:t>antwortung der jeweiligen Lehr</w:t>
      </w:r>
      <w:r w:rsidR="00055D93">
        <w:rPr>
          <w:rFonts w:eastAsia="Times New Roman" w:cs="Times New Roman"/>
          <w:sz w:val="20"/>
          <w:lang w:bidi="ar-SA"/>
        </w:rPr>
        <w:t>-</w:t>
      </w:r>
      <w:r w:rsidR="00055D93">
        <w:rPr>
          <w:rFonts w:eastAsia="Times New Roman" w:cs="Times New Roman"/>
          <w:sz w:val="20"/>
          <w:lang w:bidi="ar-SA"/>
        </w:rPr>
        <w:br/>
      </w:r>
      <w:r w:rsidRPr="00C7072B">
        <w:rPr>
          <w:rFonts w:eastAsia="Times New Roman" w:cs="Times New Roman"/>
          <w:sz w:val="20"/>
          <w:lang w:bidi="ar-SA"/>
        </w:rPr>
        <w:t>kraft – mündl</w:t>
      </w:r>
      <w:r w:rsidR="00C7072B">
        <w:rPr>
          <w:rFonts w:eastAsia="Times New Roman" w:cs="Times New Roman"/>
          <w:sz w:val="20"/>
          <w:lang w:bidi="ar-SA"/>
        </w:rPr>
        <w:t>iche Leistungsnachweise zu erhe</w:t>
      </w:r>
      <w:r w:rsidRPr="00C7072B">
        <w:rPr>
          <w:rFonts w:eastAsia="Times New Roman" w:cs="Times New Roman"/>
          <w:sz w:val="20"/>
          <w:lang w:bidi="ar-SA"/>
        </w:rPr>
        <w:t>ben.</w:t>
      </w:r>
    </w:p>
    <w:p w:rsidR="00D86767" w:rsidRPr="00C7072B" w:rsidRDefault="00352140" w:rsidP="00730353">
      <w:pPr>
        <w:pStyle w:val="Listenabsatz"/>
        <w:numPr>
          <w:ilvl w:val="3"/>
          <w:numId w:val="41"/>
        </w:numPr>
        <w:tabs>
          <w:tab w:val="left" w:pos="826"/>
          <w:tab w:val="left" w:pos="827"/>
        </w:tabs>
        <w:spacing w:before="1"/>
        <w:ind w:left="680" w:right="-425"/>
        <w:jc w:val="both"/>
        <w:rPr>
          <w:rFonts w:eastAsia="Times New Roman" w:cs="Times New Roman"/>
          <w:sz w:val="20"/>
          <w:lang w:bidi="ar-SA"/>
        </w:rPr>
      </w:pPr>
      <w:r w:rsidRPr="00C7072B">
        <w:rPr>
          <w:rFonts w:eastAsia="Times New Roman" w:cs="Times New Roman"/>
          <w:sz w:val="20"/>
          <w:szCs w:val="24"/>
          <w:lang w:bidi="ar-SA"/>
        </w:rPr>
        <w:t>Um zu vermeiden, dass die Schülerinnen u</w:t>
      </w:r>
      <w:r w:rsidR="00C7072B" w:rsidRPr="00C7072B">
        <w:rPr>
          <w:rFonts w:eastAsia="Times New Roman" w:cs="Times New Roman"/>
          <w:sz w:val="20"/>
          <w:szCs w:val="24"/>
          <w:lang w:bidi="ar-SA"/>
        </w:rPr>
        <w:t>nd Schüler durch den Distanzun</w:t>
      </w:r>
      <w:r w:rsidRPr="00C7072B">
        <w:rPr>
          <w:rFonts w:eastAsia="Times New Roman" w:cs="Times New Roman"/>
          <w:sz w:val="20"/>
          <w:szCs w:val="24"/>
          <w:lang w:bidi="ar-SA"/>
        </w:rPr>
        <w:t>terricht Benachteiligungen erfahren, standen bereits zu Beginn der Co</w:t>
      </w:r>
      <w:r w:rsidR="00055D93">
        <w:rPr>
          <w:rFonts w:eastAsia="Times New Roman" w:cs="Times New Roman"/>
          <w:sz w:val="20"/>
          <w:szCs w:val="24"/>
          <w:lang w:bidi="ar-SA"/>
        </w:rPr>
        <w:t>ronak</w:t>
      </w:r>
      <w:r w:rsidRPr="00C7072B">
        <w:rPr>
          <w:rFonts w:eastAsia="Times New Roman" w:cs="Times New Roman"/>
          <w:sz w:val="20"/>
          <w:szCs w:val="24"/>
          <w:lang w:bidi="ar-SA"/>
        </w:rPr>
        <w:t>rise an d</w:t>
      </w:r>
      <w:r w:rsidR="00C7072B" w:rsidRPr="00C7072B">
        <w:rPr>
          <w:rFonts w:eastAsia="Times New Roman" w:cs="Times New Roman"/>
          <w:sz w:val="20"/>
          <w:szCs w:val="24"/>
          <w:lang w:bidi="ar-SA"/>
        </w:rPr>
        <w:t>en bayerischen Schulen knapp 50 </w:t>
      </w:r>
      <w:r w:rsidRPr="00C7072B">
        <w:rPr>
          <w:rFonts w:eastAsia="Times New Roman" w:cs="Times New Roman"/>
          <w:sz w:val="20"/>
          <w:szCs w:val="24"/>
          <w:lang w:bidi="ar-SA"/>
        </w:rPr>
        <w:t>000 Notebooks und Tablets zur Verfügung, die für den unterrichtlichen Einsatz vorgesehen waren und – die Zustimmung des Schulaufwandsträgers vorau</w:t>
      </w:r>
      <w:r w:rsidR="00C7072B" w:rsidRPr="00C7072B">
        <w:rPr>
          <w:rFonts w:eastAsia="Times New Roman" w:cs="Times New Roman"/>
          <w:sz w:val="20"/>
          <w:szCs w:val="24"/>
          <w:lang w:bidi="ar-SA"/>
        </w:rPr>
        <w:t>sgesetzt – in der Pandemiesitu</w:t>
      </w:r>
      <w:r w:rsidRPr="00C7072B">
        <w:rPr>
          <w:rFonts w:eastAsia="Times New Roman" w:cs="Times New Roman"/>
          <w:sz w:val="20"/>
          <w:szCs w:val="24"/>
          <w:lang w:bidi="ar-SA"/>
        </w:rPr>
        <w:t>ation an Schülerinnen und Schüler verliehen werden konnten. Diese Zahl hat sich inzwischen nahezu vervierfacht. Durch den Freistaat wurde dazu das</w:t>
      </w:r>
      <w:r w:rsidR="00C7072B" w:rsidRPr="00C7072B">
        <w:rPr>
          <w:rFonts w:eastAsia="Times New Roman" w:cs="Times New Roman"/>
          <w:sz w:val="20"/>
          <w:szCs w:val="24"/>
          <w:lang w:bidi="ar-SA"/>
        </w:rPr>
        <w:t xml:space="preserve"> </w:t>
      </w:r>
      <w:r w:rsidRPr="00C7072B">
        <w:rPr>
          <w:rFonts w:eastAsia="Times New Roman" w:cs="Times New Roman"/>
          <w:sz w:val="20"/>
          <w:lang w:bidi="ar-SA"/>
        </w:rPr>
        <w:t>„Sonderbudget Leihgeräte“ eingerichtet, mit dem die Schulaufwandsträger bei der Beschaffung von mobilen Endgeräten zur Ausleihe an Schülerinnen und Schüler über Zuwendungen unterstützt werden. Die insgesamt 107,8 Mio.</w:t>
      </w:r>
      <w:r w:rsidR="00C7072B" w:rsidRPr="00C7072B">
        <w:rPr>
          <w:rFonts w:eastAsia="Times New Roman" w:cs="Times New Roman"/>
          <w:sz w:val="20"/>
          <w:lang w:bidi="ar-SA"/>
        </w:rPr>
        <w:t xml:space="preserve"> </w:t>
      </w:r>
      <w:r w:rsidRPr="00C7072B">
        <w:rPr>
          <w:rFonts w:eastAsia="Times New Roman" w:cs="Times New Roman"/>
          <w:sz w:val="20"/>
          <w:lang w:bidi="ar-SA"/>
        </w:rPr>
        <w:t>Euro an Bundes- und Landesmitteln sind inzwischen vollständig bewilligt und auf Antrag der Zuwendungsempfänger ausbezahlt. Der Bewilligungszeitraum dauert noch bis zum 31.</w:t>
      </w:r>
      <w:r w:rsidR="00C7072B" w:rsidRPr="00C7072B">
        <w:rPr>
          <w:rFonts w:eastAsia="Times New Roman" w:cs="Times New Roman"/>
          <w:sz w:val="20"/>
          <w:lang w:bidi="ar-SA"/>
        </w:rPr>
        <w:t>0</w:t>
      </w:r>
      <w:r w:rsidRPr="00C7072B">
        <w:rPr>
          <w:rFonts w:eastAsia="Times New Roman" w:cs="Times New Roman"/>
          <w:sz w:val="20"/>
          <w:lang w:bidi="ar-SA"/>
        </w:rPr>
        <w:t>3.2021. Der Leihgerätepool soll im Zuge der weiteren Umsetzun</w:t>
      </w:r>
      <w:r w:rsidR="00C7072B" w:rsidRPr="00C7072B">
        <w:rPr>
          <w:rFonts w:eastAsia="Times New Roman" w:cs="Times New Roman"/>
          <w:sz w:val="20"/>
          <w:lang w:bidi="ar-SA"/>
        </w:rPr>
        <w:t>g noch auf insgesamt bis zu 250 </w:t>
      </w:r>
      <w:r w:rsidRPr="00C7072B">
        <w:rPr>
          <w:rFonts w:eastAsia="Times New Roman" w:cs="Times New Roman"/>
          <w:sz w:val="20"/>
          <w:lang w:bidi="ar-SA"/>
        </w:rPr>
        <w:t>000 verleihbare mobile Endgeräte ausgebaut werden. Ziel der Förderung ist es, Schülerinnen und Schüler ohne eigenes digitales Endgerät in der aktuellen Ausn</w:t>
      </w:r>
      <w:r w:rsidR="00C7072B" w:rsidRPr="00C7072B">
        <w:rPr>
          <w:rFonts w:eastAsia="Times New Roman" w:cs="Times New Roman"/>
          <w:sz w:val="20"/>
          <w:lang w:bidi="ar-SA"/>
        </w:rPr>
        <w:t>ahmesituation ohne finanzi</w:t>
      </w:r>
      <w:r w:rsidRPr="00C7072B">
        <w:rPr>
          <w:rFonts w:eastAsia="Times New Roman" w:cs="Times New Roman"/>
          <w:sz w:val="20"/>
          <w:lang w:bidi="ar-SA"/>
        </w:rPr>
        <w:t>elle Belastungen der Familien beim digitalen Unterricht zu unterstützen. Die Auswahl, die Beschaffung sowie der Verleih digitaler Endgeräte vor allem an</w:t>
      </w:r>
      <w:r w:rsidR="00C7072B" w:rsidRPr="00C7072B">
        <w:rPr>
          <w:rFonts w:eastAsia="Times New Roman" w:cs="Times New Roman"/>
          <w:sz w:val="20"/>
          <w:lang w:bidi="ar-SA"/>
        </w:rPr>
        <w:t xml:space="preserve"> </w:t>
      </w:r>
      <w:r w:rsidR="00C7072B">
        <w:rPr>
          <w:rFonts w:eastAsia="Times New Roman" w:cs="Times New Roman"/>
          <w:sz w:val="20"/>
          <w:lang w:bidi="ar-SA"/>
        </w:rPr>
        <w:t xml:space="preserve">sozial benachteiligte </w:t>
      </w:r>
      <w:r w:rsidRPr="00C7072B">
        <w:rPr>
          <w:rFonts w:eastAsia="Times New Roman" w:cs="Times New Roman"/>
          <w:sz w:val="20"/>
          <w:lang w:bidi="ar-SA"/>
        </w:rPr>
        <w:t>Schülerinnen und Schüler, erfolgt bedarfsbezogen in Verantwortung der Schulaufwandsträger bzw. Schulen vor Ort, da hier die Bedarfe am bes</w:t>
      </w:r>
      <w:r w:rsidR="00D86767" w:rsidRPr="00C7072B">
        <w:rPr>
          <w:rFonts w:eastAsia="Times New Roman" w:cs="Times New Roman"/>
          <w:sz w:val="20"/>
          <w:lang w:bidi="ar-SA"/>
        </w:rPr>
        <w:t>ten eingeschätzt werden können.</w:t>
      </w:r>
    </w:p>
    <w:p w:rsidR="00D86767" w:rsidRDefault="00D86767" w:rsidP="00D86767">
      <w:pPr>
        <w:pStyle w:val="Textkrper"/>
        <w:spacing w:before="1"/>
        <w:ind w:left="680" w:right="-425"/>
        <w:jc w:val="both"/>
        <w:rPr>
          <w:rFonts w:eastAsia="Times New Roman" w:cs="Times New Roman"/>
          <w:sz w:val="20"/>
          <w:lang w:bidi="ar-SA"/>
        </w:rPr>
      </w:pPr>
    </w:p>
    <w:p w:rsidR="00352140" w:rsidRPr="0037590D" w:rsidRDefault="00352140" w:rsidP="00D86767">
      <w:pPr>
        <w:pStyle w:val="Textkrper"/>
        <w:spacing w:before="1"/>
        <w:ind w:left="340" w:right="-425"/>
        <w:jc w:val="both"/>
        <w:rPr>
          <w:rFonts w:eastAsia="Times New Roman" w:cs="Times New Roman"/>
          <w:sz w:val="20"/>
          <w:lang w:bidi="ar-SA"/>
        </w:rPr>
      </w:pPr>
      <w:r w:rsidRPr="0037590D">
        <w:rPr>
          <w:rFonts w:eastAsia="Times New Roman" w:cs="Times New Roman"/>
          <w:sz w:val="20"/>
          <w:lang w:bidi="ar-SA"/>
        </w:rPr>
        <w:t>Zudem hat das Staatsministerium über die oben</w:t>
      </w:r>
      <w:r w:rsidR="00940305">
        <w:rPr>
          <w:rFonts w:eastAsia="Times New Roman" w:cs="Times New Roman"/>
          <w:sz w:val="20"/>
          <w:lang w:bidi="ar-SA"/>
        </w:rPr>
        <w:t xml:space="preserve"> genannten Maßnahmen hinaus si</w:t>
      </w:r>
      <w:r w:rsidRPr="0037590D">
        <w:rPr>
          <w:rFonts w:eastAsia="Times New Roman" w:cs="Times New Roman"/>
          <w:sz w:val="20"/>
          <w:lang w:bidi="ar-SA"/>
        </w:rPr>
        <w:t>chergestellt, dass den Schülerinnen und Schülern auch im Hin</w:t>
      </w:r>
      <w:r w:rsidR="00940305">
        <w:rPr>
          <w:rFonts w:eastAsia="Times New Roman" w:cs="Times New Roman"/>
          <w:sz w:val="20"/>
          <w:lang w:bidi="ar-SA"/>
        </w:rPr>
        <w:t>blick auf die Vorberei</w:t>
      </w:r>
      <w:r w:rsidRPr="0037590D">
        <w:rPr>
          <w:rFonts w:eastAsia="Times New Roman" w:cs="Times New Roman"/>
          <w:sz w:val="20"/>
          <w:lang w:bidi="ar-SA"/>
        </w:rPr>
        <w:t>tung auf ein Hochschulstudium oder eine anspruchsvolle Berufsausbildung keine Na</w:t>
      </w:r>
      <w:r w:rsidR="00940305">
        <w:rPr>
          <w:rFonts w:eastAsia="Times New Roman" w:cs="Times New Roman"/>
          <w:sz w:val="20"/>
          <w:lang w:bidi="ar-SA"/>
        </w:rPr>
        <w:t>chteile entstehen: Die in einem Lehrplan ohnehin bestehenden Spielräume,</w:t>
      </w:r>
      <w:r w:rsidRPr="0037590D">
        <w:rPr>
          <w:rFonts w:eastAsia="Times New Roman" w:cs="Times New Roman"/>
          <w:sz w:val="20"/>
          <w:lang w:bidi="ar-SA"/>
        </w:rPr>
        <w:t xml:space="preserve"> um auf unvorhergesehenen Unterrichtsausfall angemessen reagieren zu können,</w:t>
      </w:r>
      <w:r w:rsidR="00940305">
        <w:rPr>
          <w:rFonts w:eastAsia="Times New Roman" w:cs="Times New Roman"/>
          <w:sz w:val="20"/>
          <w:lang w:bidi="ar-SA"/>
        </w:rPr>
        <w:t xml:space="preserve"> wur</w:t>
      </w:r>
      <w:r w:rsidRPr="0037590D">
        <w:rPr>
          <w:rFonts w:eastAsia="Times New Roman" w:cs="Times New Roman"/>
          <w:sz w:val="20"/>
          <w:lang w:bidi="ar-SA"/>
        </w:rPr>
        <w:t>den schrittweise erweitert: Mehrtägige Schüler</w:t>
      </w:r>
      <w:r w:rsidR="00940305">
        <w:rPr>
          <w:rFonts w:eastAsia="Times New Roman" w:cs="Times New Roman"/>
          <w:sz w:val="20"/>
          <w:lang w:bidi="ar-SA"/>
        </w:rPr>
        <w:t>fahrten bleiben auch weiterhin – vor</w:t>
      </w:r>
      <w:r w:rsidRPr="0037590D">
        <w:rPr>
          <w:rFonts w:eastAsia="Times New Roman" w:cs="Times New Roman"/>
          <w:sz w:val="20"/>
          <w:lang w:bidi="ar-SA"/>
        </w:rPr>
        <w:t>erst bis zum En</w:t>
      </w:r>
      <w:r w:rsidR="00940305">
        <w:rPr>
          <w:rFonts w:eastAsia="Times New Roman" w:cs="Times New Roman"/>
          <w:sz w:val="20"/>
          <w:lang w:bidi="ar-SA"/>
        </w:rPr>
        <w:t xml:space="preserve">de der </w:t>
      </w:r>
      <w:r w:rsidR="005A796D">
        <w:rPr>
          <w:rFonts w:eastAsia="Times New Roman" w:cs="Times New Roman"/>
          <w:sz w:val="20"/>
          <w:lang w:bidi="ar-SA"/>
        </w:rPr>
        <w:br/>
      </w:r>
      <w:r w:rsidR="00940305">
        <w:rPr>
          <w:rFonts w:eastAsia="Times New Roman" w:cs="Times New Roman"/>
          <w:sz w:val="20"/>
          <w:lang w:bidi="ar-SA"/>
        </w:rPr>
        <w:t>Osterferien am 10.04.</w:t>
      </w:r>
      <w:r w:rsidRPr="0037590D">
        <w:rPr>
          <w:rFonts w:eastAsia="Times New Roman" w:cs="Times New Roman"/>
          <w:sz w:val="20"/>
          <w:lang w:bidi="ar-SA"/>
        </w:rPr>
        <w:t>2021 – ausgesetzt, um den Fokus auf den Unterricht legen und so Unterschiede inf</w:t>
      </w:r>
      <w:r w:rsidR="00940305">
        <w:rPr>
          <w:rFonts w:eastAsia="Times New Roman" w:cs="Times New Roman"/>
          <w:sz w:val="20"/>
          <w:lang w:bidi="ar-SA"/>
        </w:rPr>
        <w:t>olge des pandemiebedingt einge</w:t>
      </w:r>
      <w:r w:rsidRPr="0037590D">
        <w:rPr>
          <w:rFonts w:eastAsia="Times New Roman" w:cs="Times New Roman"/>
          <w:sz w:val="20"/>
          <w:lang w:bidi="ar-SA"/>
        </w:rPr>
        <w:t>schränkten Schulbetriebs bestmögl</w:t>
      </w:r>
      <w:r w:rsidR="00940305">
        <w:rPr>
          <w:rFonts w:eastAsia="Times New Roman" w:cs="Times New Roman"/>
          <w:sz w:val="20"/>
          <w:lang w:bidi="ar-SA"/>
        </w:rPr>
        <w:t>ich auffangen zu können. Auch der Verzicht</w:t>
      </w:r>
      <w:r w:rsidRPr="0037590D">
        <w:rPr>
          <w:rFonts w:eastAsia="Times New Roman" w:cs="Times New Roman"/>
          <w:sz w:val="20"/>
          <w:lang w:bidi="ar-SA"/>
        </w:rPr>
        <w:t xml:space="preserve"> auf die Frühjahrsferien diente diesem Ziel.</w:t>
      </w:r>
    </w:p>
    <w:p w:rsidR="00352140" w:rsidRPr="0037590D" w:rsidRDefault="00352140" w:rsidP="00D86767">
      <w:pPr>
        <w:pStyle w:val="Textkrper"/>
        <w:spacing w:before="1"/>
        <w:ind w:left="340" w:right="-426"/>
        <w:jc w:val="both"/>
        <w:rPr>
          <w:rFonts w:eastAsia="Times New Roman" w:cs="Times New Roman"/>
          <w:sz w:val="20"/>
          <w:lang w:bidi="ar-SA"/>
        </w:rPr>
      </w:pPr>
    </w:p>
    <w:p w:rsidR="00352140" w:rsidRPr="0037590D" w:rsidRDefault="00352140" w:rsidP="00D86767">
      <w:pPr>
        <w:pStyle w:val="Textkrper"/>
        <w:spacing w:before="1"/>
        <w:ind w:left="340" w:right="-426"/>
        <w:jc w:val="both"/>
        <w:rPr>
          <w:rFonts w:eastAsia="Times New Roman" w:cs="Times New Roman"/>
          <w:sz w:val="20"/>
          <w:lang w:bidi="ar-SA"/>
        </w:rPr>
      </w:pPr>
      <w:r w:rsidRPr="0037590D">
        <w:rPr>
          <w:rFonts w:eastAsia="Times New Roman" w:cs="Times New Roman"/>
          <w:sz w:val="20"/>
          <w:lang w:bidi="ar-SA"/>
        </w:rPr>
        <w:t>Im Übrigen wird auf die Antworten zu den Ziffern 1.3 und 3.1 verwiesen.</w:t>
      </w:r>
    </w:p>
    <w:p w:rsidR="00352140" w:rsidRPr="0037590D" w:rsidRDefault="00352140" w:rsidP="00940305">
      <w:pPr>
        <w:pStyle w:val="Textkrper"/>
        <w:spacing w:before="240"/>
        <w:ind w:left="340" w:right="-425"/>
        <w:jc w:val="both"/>
        <w:rPr>
          <w:rFonts w:eastAsia="Times New Roman" w:cs="Times New Roman"/>
          <w:b/>
          <w:sz w:val="20"/>
          <w:lang w:bidi="ar-SA"/>
        </w:rPr>
      </w:pPr>
      <w:r w:rsidRPr="0037590D">
        <w:rPr>
          <w:rFonts w:eastAsia="Times New Roman" w:cs="Times New Roman"/>
          <w:b/>
          <w:sz w:val="20"/>
          <w:lang w:bidi="ar-SA"/>
        </w:rPr>
        <w:t>Frage 3.3: Wie bewertet das StMUK die unterschiedlichen Entwicklungen hinsichtlich der Jahresfortgänge an FOS/BOS und Gymnasien vor dem Hinte</w:t>
      </w:r>
      <w:r w:rsidR="00940305">
        <w:rPr>
          <w:rFonts w:eastAsia="Times New Roman" w:cs="Times New Roman"/>
          <w:b/>
          <w:sz w:val="20"/>
          <w:lang w:bidi="ar-SA"/>
        </w:rPr>
        <w:t>rgrund der aufgrund der Coronap</w:t>
      </w:r>
      <w:r w:rsidRPr="0037590D">
        <w:rPr>
          <w:rFonts w:eastAsia="Times New Roman" w:cs="Times New Roman"/>
          <w:b/>
          <w:sz w:val="20"/>
          <w:lang w:bidi="ar-SA"/>
        </w:rPr>
        <w:t>andemie getroffenen Regelungen (bitte hierzu insbesondere die absolute und relative Zahl der auf Probe erfolgreich bzw. nicht erfolgreich vorrückenden Schülerinnen und Schüler in den vergangenen Jahren und je Jahrgang und Schulart darstellen)?</w:t>
      </w:r>
    </w:p>
    <w:p w:rsidR="00352140" w:rsidRPr="0037590D" w:rsidRDefault="00352140" w:rsidP="00D6673D">
      <w:pPr>
        <w:pStyle w:val="Textkrper"/>
        <w:spacing w:before="1"/>
        <w:ind w:left="340" w:right="-426"/>
        <w:jc w:val="both"/>
        <w:rPr>
          <w:rFonts w:eastAsia="Times New Roman" w:cs="Times New Roman"/>
          <w:sz w:val="20"/>
          <w:lang w:bidi="ar-SA"/>
        </w:rPr>
      </w:pPr>
    </w:p>
    <w:p w:rsidR="00940305" w:rsidRDefault="00940305">
      <w:r>
        <w:br w:type="page"/>
      </w:r>
    </w:p>
    <w:p w:rsidR="00352140" w:rsidRPr="0037590D" w:rsidRDefault="00352140" w:rsidP="00D6673D">
      <w:pPr>
        <w:pStyle w:val="Textkrper"/>
        <w:spacing w:before="1"/>
        <w:ind w:left="340" w:right="-426"/>
        <w:jc w:val="both"/>
        <w:rPr>
          <w:rFonts w:eastAsia="Times New Roman" w:cs="Times New Roman"/>
          <w:sz w:val="20"/>
          <w:lang w:bidi="ar-SA"/>
        </w:rPr>
      </w:pPr>
      <w:r w:rsidRPr="0037590D">
        <w:rPr>
          <w:rFonts w:eastAsia="Times New Roman" w:cs="Times New Roman"/>
          <w:sz w:val="20"/>
          <w:lang w:bidi="ar-SA"/>
        </w:rPr>
        <w:lastRenderedPageBreak/>
        <w:t>Der beiliegenden Tabel</w:t>
      </w:r>
      <w:r w:rsidR="00CA7FCE">
        <w:rPr>
          <w:rFonts w:eastAsia="Times New Roman" w:cs="Times New Roman"/>
          <w:sz w:val="20"/>
          <w:lang w:bidi="ar-SA"/>
        </w:rPr>
        <w:t>le</w:t>
      </w:r>
      <w:hyperlink r:id="rId18" w:history="1">
        <w:r w:rsidR="00413D64" w:rsidRPr="00537EB9">
          <w:rPr>
            <w:rStyle w:val="Hyperlink"/>
            <w:rFonts w:eastAsia="Times New Roman" w:cs="Times New Roman"/>
            <w:lang w:bidi="ar-SA"/>
          </w:rPr>
          <w:t>*)</w:t>
        </w:r>
      </w:hyperlink>
      <w:r w:rsidR="00CA7FCE">
        <w:rPr>
          <w:rFonts w:eastAsia="Times New Roman" w:cs="Times New Roman"/>
          <w:sz w:val="20"/>
          <w:lang w:bidi="ar-SA"/>
        </w:rPr>
        <w:t xml:space="preserve"> zu Frage 3.3 kann die Anzahl</w:t>
      </w:r>
      <w:r w:rsidR="005A796D">
        <w:rPr>
          <w:rFonts w:eastAsia="Times New Roman" w:cs="Times New Roman"/>
          <w:sz w:val="20"/>
          <w:lang w:bidi="ar-SA"/>
        </w:rPr>
        <w:t xml:space="preserve"> der Schülerinnen und Schü</w:t>
      </w:r>
      <w:r w:rsidRPr="0037590D">
        <w:rPr>
          <w:rFonts w:eastAsia="Times New Roman" w:cs="Times New Roman"/>
          <w:sz w:val="20"/>
          <w:lang w:bidi="ar-SA"/>
        </w:rPr>
        <w:t xml:space="preserve">ler an Gymnasien seit dem Schuljahr 2018/2019 entnommen werden, die </w:t>
      </w:r>
      <w:r w:rsidR="005A796D">
        <w:rPr>
          <w:rFonts w:eastAsia="Times New Roman" w:cs="Times New Roman"/>
          <w:sz w:val="20"/>
          <w:lang w:bidi="ar-SA"/>
        </w:rPr>
        <w:t xml:space="preserve">zum jeweiligen Schuljahr auf Probe in die nächsthöhere Jahrgangsstufe vorrückten. </w:t>
      </w:r>
      <w:r w:rsidRPr="0037590D">
        <w:rPr>
          <w:rFonts w:eastAsia="Times New Roman" w:cs="Times New Roman"/>
          <w:sz w:val="20"/>
          <w:lang w:bidi="ar-SA"/>
        </w:rPr>
        <w:t>Zudem wird für die Schuljahre 2018/2019 und 2019/2020 als</w:t>
      </w:r>
      <w:r w:rsidR="005A796D">
        <w:rPr>
          <w:rFonts w:eastAsia="Times New Roman" w:cs="Times New Roman"/>
          <w:sz w:val="20"/>
          <w:lang w:bidi="ar-SA"/>
        </w:rPr>
        <w:t xml:space="preserve"> Absolutzahl und als prozentua</w:t>
      </w:r>
      <w:r w:rsidRPr="0037590D">
        <w:rPr>
          <w:rFonts w:eastAsia="Times New Roman" w:cs="Times New Roman"/>
          <w:sz w:val="20"/>
          <w:lang w:bidi="ar-SA"/>
        </w:rPr>
        <w:t>ler Anteil ausgewiesen, wie viele dieser Schülerinnen und Schü</w:t>
      </w:r>
      <w:r w:rsidR="005A796D">
        <w:rPr>
          <w:rFonts w:eastAsia="Times New Roman" w:cs="Times New Roman"/>
          <w:sz w:val="20"/>
          <w:lang w:bidi="ar-SA"/>
        </w:rPr>
        <w:t>ler nach nicht bestan</w:t>
      </w:r>
      <w:r w:rsidRPr="0037590D">
        <w:rPr>
          <w:rFonts w:eastAsia="Times New Roman" w:cs="Times New Roman"/>
          <w:sz w:val="20"/>
          <w:lang w:bidi="ar-SA"/>
        </w:rPr>
        <w:t>dener Probezeit die jeweilige Jahrgangsstufe im da</w:t>
      </w:r>
      <w:r w:rsidR="005A796D">
        <w:rPr>
          <w:rFonts w:eastAsia="Times New Roman" w:cs="Times New Roman"/>
          <w:sz w:val="20"/>
          <w:lang w:bidi="ar-SA"/>
        </w:rPr>
        <w:t>rauffolgenden Schuljahr wieder</w:t>
      </w:r>
      <w:r w:rsidRPr="0037590D">
        <w:rPr>
          <w:rFonts w:eastAsia="Times New Roman" w:cs="Times New Roman"/>
          <w:sz w:val="20"/>
          <w:lang w:bidi="ar-SA"/>
        </w:rPr>
        <w:t>holten. Dabei wird jeweils nach der Jahrgangsstufe und dem Schuljahr differenziert. Aus datenschutzrechtlichen Gründen unterbleiben Angaben, wenn Rückschlüsse auf Einzelpersonen nicht auszuschließen sind.</w:t>
      </w:r>
    </w:p>
    <w:p w:rsidR="00352140" w:rsidRPr="0037590D" w:rsidRDefault="005A796D" w:rsidP="00D6673D">
      <w:pPr>
        <w:pStyle w:val="Textkrper"/>
        <w:tabs>
          <w:tab w:val="left" w:pos="4928"/>
        </w:tabs>
        <w:spacing w:before="28"/>
        <w:ind w:left="340" w:right="-426"/>
        <w:jc w:val="both"/>
        <w:rPr>
          <w:rFonts w:eastAsia="Times New Roman" w:cs="Times New Roman"/>
          <w:sz w:val="20"/>
          <w:lang w:bidi="ar-SA"/>
        </w:rPr>
      </w:pPr>
      <w:r>
        <w:rPr>
          <w:rFonts w:eastAsia="Times New Roman" w:cs="Times New Roman"/>
          <w:sz w:val="20"/>
          <w:lang w:bidi="ar-SA"/>
        </w:rPr>
        <w:t xml:space="preserve">Aussagen bezüglich des Bestehens der </w:t>
      </w:r>
      <w:r w:rsidR="00352140" w:rsidRPr="0037590D">
        <w:rPr>
          <w:rFonts w:eastAsia="Times New Roman" w:cs="Times New Roman"/>
          <w:sz w:val="20"/>
          <w:lang w:bidi="ar-SA"/>
        </w:rPr>
        <w:t>Probezeit im Schuljahr 2020/2021 von Schülerinnen und Schülern, die zum Schuljahr 2020/</w:t>
      </w:r>
      <w:r>
        <w:rPr>
          <w:rFonts w:eastAsia="Times New Roman" w:cs="Times New Roman"/>
          <w:sz w:val="20"/>
          <w:lang w:bidi="ar-SA"/>
        </w:rPr>
        <w:t>2021 auf Probe in die nächsthö</w:t>
      </w:r>
      <w:r w:rsidR="00352140" w:rsidRPr="0037590D">
        <w:rPr>
          <w:rFonts w:eastAsia="Times New Roman" w:cs="Times New Roman"/>
          <w:sz w:val="20"/>
          <w:lang w:bidi="ar-SA"/>
        </w:rPr>
        <w:t xml:space="preserve">here Jahrgangsstufe vorrückten, können auf Basis </w:t>
      </w:r>
      <w:r>
        <w:rPr>
          <w:rFonts w:eastAsia="Times New Roman" w:cs="Times New Roman"/>
          <w:sz w:val="20"/>
          <w:lang w:bidi="ar-SA"/>
        </w:rPr>
        <w:t>des Verfahrens „Amtliche Schul</w:t>
      </w:r>
      <w:r w:rsidR="00352140" w:rsidRPr="0037590D">
        <w:rPr>
          <w:rFonts w:eastAsia="Times New Roman" w:cs="Times New Roman"/>
          <w:sz w:val="20"/>
          <w:lang w:bidi="ar-SA"/>
        </w:rPr>
        <w:t>daten“ erst nach Auswertung der Daten getroffen werden, die zum Stand 01.10.2021 erhoben werden. Mit diesbezüglichen Ergebnissen ist angesichts zeitaufwändiger Plausibilisierungsprozesse voraussichtlich im Frühjahr 2022 zu rechnen.</w:t>
      </w:r>
    </w:p>
    <w:p w:rsidR="00352140" w:rsidRPr="0037590D" w:rsidRDefault="00352140" w:rsidP="00D6673D">
      <w:pPr>
        <w:pStyle w:val="Textkrper"/>
        <w:ind w:left="340" w:right="-426"/>
        <w:jc w:val="both"/>
        <w:rPr>
          <w:rFonts w:eastAsia="Times New Roman" w:cs="Times New Roman"/>
          <w:sz w:val="20"/>
          <w:lang w:bidi="ar-SA"/>
        </w:rPr>
      </w:pPr>
      <w:r w:rsidRPr="0037590D">
        <w:rPr>
          <w:rFonts w:eastAsia="Times New Roman" w:cs="Times New Roman"/>
          <w:sz w:val="20"/>
          <w:lang w:bidi="ar-SA"/>
        </w:rPr>
        <w:t>Die entsprechenden Daten zu den Beruflichen Obersc</w:t>
      </w:r>
      <w:r w:rsidR="005A796D">
        <w:rPr>
          <w:rFonts w:eastAsia="Times New Roman" w:cs="Times New Roman"/>
          <w:sz w:val="20"/>
          <w:lang w:bidi="ar-SA"/>
        </w:rPr>
        <w:t>hulen liegen im Rahmen des Ver</w:t>
      </w:r>
      <w:r w:rsidRPr="0037590D">
        <w:rPr>
          <w:rFonts w:eastAsia="Times New Roman" w:cs="Times New Roman"/>
          <w:sz w:val="20"/>
          <w:lang w:bidi="ar-SA"/>
        </w:rPr>
        <w:t>fahrens „Amtliche Schuldaten“ nicht vor.</w:t>
      </w:r>
    </w:p>
    <w:p w:rsidR="00352140" w:rsidRPr="0037590D" w:rsidRDefault="00352140" w:rsidP="00D6673D">
      <w:pPr>
        <w:pStyle w:val="Textkrper"/>
        <w:spacing w:before="7"/>
        <w:ind w:left="340" w:right="-426"/>
        <w:jc w:val="both"/>
        <w:rPr>
          <w:rFonts w:eastAsia="Times New Roman" w:cs="Times New Roman"/>
          <w:sz w:val="20"/>
          <w:lang w:bidi="ar-SA"/>
        </w:rPr>
      </w:pPr>
    </w:p>
    <w:p w:rsidR="00352140" w:rsidRDefault="00352140" w:rsidP="00D86767">
      <w:pPr>
        <w:pStyle w:val="Textkrper"/>
        <w:ind w:left="340" w:right="-426"/>
        <w:jc w:val="both"/>
        <w:rPr>
          <w:rFonts w:eastAsia="Times New Roman" w:cs="Times New Roman"/>
          <w:sz w:val="20"/>
          <w:lang w:bidi="ar-SA"/>
        </w:rPr>
      </w:pPr>
      <w:r w:rsidRPr="0037590D">
        <w:rPr>
          <w:rFonts w:eastAsia="Times New Roman" w:cs="Times New Roman"/>
          <w:sz w:val="20"/>
          <w:lang w:bidi="ar-SA"/>
        </w:rPr>
        <w:t xml:space="preserve">Für das </w:t>
      </w:r>
      <w:r w:rsidRPr="00D86767">
        <w:rPr>
          <w:rFonts w:eastAsia="Times New Roman" w:cs="Times New Roman"/>
          <w:sz w:val="20"/>
          <w:u w:val="single"/>
          <w:lang w:bidi="ar-SA"/>
        </w:rPr>
        <w:t>Gymnasium</w:t>
      </w:r>
      <w:r w:rsidRPr="0037590D">
        <w:rPr>
          <w:rFonts w:eastAsia="Times New Roman" w:cs="Times New Roman"/>
          <w:sz w:val="20"/>
          <w:lang w:bidi="ar-SA"/>
        </w:rPr>
        <w:t xml:space="preserve"> wird zur Bewertung Folgendes ang</w:t>
      </w:r>
      <w:r w:rsidR="005A796D">
        <w:rPr>
          <w:rFonts w:eastAsia="Times New Roman" w:cs="Times New Roman"/>
          <w:sz w:val="20"/>
          <w:lang w:bidi="ar-SA"/>
        </w:rPr>
        <w:t>eführt: Die grundlegenden Be-st</w:t>
      </w:r>
      <w:r w:rsidRPr="0037590D">
        <w:rPr>
          <w:rFonts w:eastAsia="Times New Roman" w:cs="Times New Roman"/>
          <w:sz w:val="20"/>
          <w:lang w:bidi="ar-SA"/>
        </w:rPr>
        <w:t>immungen bezüglich des Vorrückens auf Probe zum Schuljahr 2020/2021 erfuhren keine mit der COVID-19-Pandemie im Zusammen</w:t>
      </w:r>
      <w:r w:rsidR="005A796D">
        <w:rPr>
          <w:rFonts w:eastAsia="Times New Roman" w:cs="Times New Roman"/>
          <w:sz w:val="20"/>
          <w:lang w:bidi="ar-SA"/>
        </w:rPr>
        <w:t>hang stehenden Änderungen. Mit Schreiben vom 13.05.</w:t>
      </w:r>
      <w:r w:rsidRPr="0037590D">
        <w:rPr>
          <w:rFonts w:eastAsia="Times New Roman" w:cs="Times New Roman"/>
          <w:sz w:val="20"/>
          <w:lang w:bidi="ar-SA"/>
        </w:rPr>
        <w:t>2020 wurden die Schulen darüber informiert, dass für alle Schülerinnen und Schüler, für die ein Vorrücken nicht möglich ist, Entscheidungen über ein Vorrücken auf Probe gemäß. Art. 53 Abs. 6 des Gesetzes über das Erziehungs- und Unterrichtswesen (BayEUG) zu treffen sind. Dabei war die im Einzelfall zu Leistungsminderungen führende erhebliche Beeinträchtigung infolge der COVID-19-Pandemie in besonderem Maße zu gewichten, auch hinsichtlich der Erwartung, ob die entstandenen Lücken geschlossen werden kö</w:t>
      </w:r>
      <w:r w:rsidR="005A796D">
        <w:rPr>
          <w:rFonts w:eastAsia="Times New Roman" w:cs="Times New Roman"/>
          <w:sz w:val="20"/>
          <w:lang w:bidi="ar-SA"/>
        </w:rPr>
        <w:t xml:space="preserve">nnen, und der Prognose, ob das </w:t>
      </w:r>
      <w:r w:rsidRPr="0037590D">
        <w:rPr>
          <w:rFonts w:eastAsia="Times New Roman" w:cs="Times New Roman"/>
          <w:sz w:val="20"/>
          <w:lang w:bidi="ar-SA"/>
        </w:rPr>
        <w:t>ange</w:t>
      </w:r>
      <w:r w:rsidR="005A796D">
        <w:rPr>
          <w:rFonts w:eastAsia="Times New Roman" w:cs="Times New Roman"/>
          <w:sz w:val="20"/>
          <w:lang w:bidi="ar-SA"/>
        </w:rPr>
        <w:t>strebte Bildungsziel erreicht</w:t>
      </w:r>
      <w:r w:rsidRPr="0037590D">
        <w:rPr>
          <w:rFonts w:eastAsia="Times New Roman" w:cs="Times New Roman"/>
          <w:sz w:val="20"/>
          <w:lang w:bidi="ar-SA"/>
        </w:rPr>
        <w:t xml:space="preserve"> werden kann. In der Regel war in solchen Fällen davon auszu</w:t>
      </w:r>
      <w:r w:rsidR="00537EB9">
        <w:rPr>
          <w:rFonts w:eastAsia="Times New Roman" w:cs="Times New Roman"/>
          <w:sz w:val="20"/>
          <w:lang w:bidi="ar-SA"/>
        </w:rPr>
        <w:t>gehen</w:t>
      </w:r>
      <w:r w:rsidR="005A796D">
        <w:rPr>
          <w:rFonts w:eastAsia="Times New Roman" w:cs="Times New Roman"/>
          <w:sz w:val="20"/>
          <w:lang w:bidi="ar-SA"/>
        </w:rPr>
        <w:t>, dass die Vorausset</w:t>
      </w:r>
      <w:r w:rsidRPr="0037590D">
        <w:rPr>
          <w:rFonts w:eastAsia="Times New Roman" w:cs="Times New Roman"/>
          <w:sz w:val="20"/>
          <w:lang w:bidi="ar-SA"/>
        </w:rPr>
        <w:t xml:space="preserve">zungen für das Vorrücken auf </w:t>
      </w:r>
      <w:r w:rsidR="005A796D">
        <w:rPr>
          <w:rFonts w:eastAsia="Times New Roman" w:cs="Times New Roman"/>
          <w:sz w:val="20"/>
          <w:lang w:bidi="ar-SA"/>
        </w:rPr>
        <w:t xml:space="preserve">Probe gemäß Art. 53 Abs. 6 </w:t>
      </w:r>
      <w:r w:rsidR="005A796D">
        <w:rPr>
          <w:rFonts w:eastAsia="Times New Roman" w:cs="Times New Roman"/>
          <w:sz w:val="20"/>
          <w:lang w:bidi="ar-SA"/>
        </w:rPr>
        <w:br/>
        <w:t>Satz </w:t>
      </w:r>
      <w:r w:rsidRPr="0037590D">
        <w:rPr>
          <w:rFonts w:eastAsia="Times New Roman" w:cs="Times New Roman"/>
          <w:sz w:val="20"/>
          <w:lang w:bidi="ar-SA"/>
        </w:rPr>
        <w:t>2 BayEUG gegeben sind. Insbesondere diesen Schülerinnen und Schülern wurde e</w:t>
      </w:r>
      <w:r w:rsidR="005A796D">
        <w:rPr>
          <w:rFonts w:eastAsia="Times New Roman" w:cs="Times New Roman"/>
          <w:sz w:val="20"/>
          <w:lang w:bidi="ar-SA"/>
        </w:rPr>
        <w:t>s vorzugsweise in der Zeit zwi</w:t>
      </w:r>
      <w:r w:rsidRPr="0037590D">
        <w:rPr>
          <w:rFonts w:eastAsia="Times New Roman" w:cs="Times New Roman"/>
          <w:sz w:val="20"/>
          <w:lang w:bidi="ar-SA"/>
        </w:rPr>
        <w:t>schen den Sommerferien und den Weihnachtsferien 2020 d</w:t>
      </w:r>
      <w:r w:rsidR="005A796D">
        <w:rPr>
          <w:rFonts w:eastAsia="Times New Roman" w:cs="Times New Roman"/>
          <w:sz w:val="20"/>
          <w:lang w:bidi="ar-SA"/>
        </w:rPr>
        <w:t>urch spezielle schulische För</w:t>
      </w:r>
      <w:r w:rsidRPr="0037590D">
        <w:rPr>
          <w:rFonts w:eastAsia="Times New Roman" w:cs="Times New Roman"/>
          <w:sz w:val="20"/>
          <w:lang w:bidi="ar-SA"/>
        </w:rPr>
        <w:t>derangebote ermöglicht, individuelle Lücken zu schließe</w:t>
      </w:r>
      <w:r w:rsidR="005A796D">
        <w:rPr>
          <w:rFonts w:eastAsia="Times New Roman" w:cs="Times New Roman"/>
          <w:sz w:val="20"/>
          <w:lang w:bidi="ar-SA"/>
        </w:rPr>
        <w:t>n, um das Schuljahr 2020/</w:t>
      </w:r>
      <w:r w:rsidR="00537EB9">
        <w:rPr>
          <w:rFonts w:eastAsia="Times New Roman" w:cs="Times New Roman"/>
          <w:sz w:val="20"/>
          <w:lang w:bidi="ar-SA"/>
        </w:rPr>
        <w:t>20</w:t>
      </w:r>
      <w:r w:rsidR="005A796D">
        <w:rPr>
          <w:rFonts w:eastAsia="Times New Roman" w:cs="Times New Roman"/>
          <w:sz w:val="20"/>
          <w:lang w:bidi="ar-SA"/>
        </w:rPr>
        <w:t>21 er</w:t>
      </w:r>
      <w:r w:rsidRPr="0037590D">
        <w:rPr>
          <w:rFonts w:eastAsia="Times New Roman" w:cs="Times New Roman"/>
          <w:sz w:val="20"/>
          <w:lang w:bidi="ar-SA"/>
        </w:rPr>
        <w:t>folgreich zu durchlaufen. Das Spektrum möglicher Maßna</w:t>
      </w:r>
      <w:r w:rsidR="005A796D">
        <w:rPr>
          <w:rFonts w:eastAsia="Times New Roman" w:cs="Times New Roman"/>
          <w:sz w:val="20"/>
          <w:lang w:bidi="ar-SA"/>
        </w:rPr>
        <w:t>hmen reichte von einer kontinu</w:t>
      </w:r>
      <w:r w:rsidRPr="0037590D">
        <w:rPr>
          <w:rFonts w:eastAsia="Times New Roman" w:cs="Times New Roman"/>
          <w:sz w:val="20"/>
          <w:lang w:bidi="ar-SA"/>
        </w:rPr>
        <w:t>ierlichen beratenden Begleitung einzelner Schülerinnen und Schüler über die Einri</w:t>
      </w:r>
      <w:r w:rsidR="005A796D">
        <w:rPr>
          <w:rFonts w:eastAsia="Times New Roman" w:cs="Times New Roman"/>
          <w:sz w:val="20"/>
          <w:lang w:bidi="ar-SA"/>
        </w:rPr>
        <w:t xml:space="preserve">chtung digitaler Lernangebote, die an die Formen des Lernens zu Hause angelehnt </w:t>
      </w:r>
      <w:r w:rsidRPr="0037590D">
        <w:rPr>
          <w:rFonts w:eastAsia="Times New Roman" w:cs="Times New Roman"/>
          <w:sz w:val="20"/>
          <w:lang w:bidi="ar-SA"/>
        </w:rPr>
        <w:t>waren, bis hin zu regelmäßigen Förd</w:t>
      </w:r>
      <w:r w:rsidR="00D86767">
        <w:rPr>
          <w:rFonts w:eastAsia="Times New Roman" w:cs="Times New Roman"/>
          <w:sz w:val="20"/>
          <w:lang w:bidi="ar-SA"/>
        </w:rPr>
        <w:t>erstunden im Präsenzunterricht.</w:t>
      </w:r>
    </w:p>
    <w:p w:rsidR="00D86767" w:rsidRPr="00D86767" w:rsidRDefault="00D86767" w:rsidP="00D86767">
      <w:pPr>
        <w:pStyle w:val="Textkrper"/>
        <w:ind w:left="340" w:right="-426"/>
        <w:jc w:val="both"/>
        <w:rPr>
          <w:rFonts w:eastAsia="Times New Roman" w:cs="Times New Roman"/>
          <w:sz w:val="20"/>
          <w:lang w:bidi="ar-SA"/>
        </w:rPr>
      </w:pPr>
    </w:p>
    <w:p w:rsidR="00352140" w:rsidRPr="0037590D" w:rsidRDefault="00352140" w:rsidP="00D6673D">
      <w:pPr>
        <w:pStyle w:val="Textkrper"/>
        <w:tabs>
          <w:tab w:val="left" w:pos="4928"/>
        </w:tabs>
        <w:spacing w:before="28"/>
        <w:ind w:left="340" w:right="-426"/>
        <w:jc w:val="both"/>
        <w:rPr>
          <w:rFonts w:eastAsia="Times New Roman" w:cs="Times New Roman"/>
          <w:sz w:val="20"/>
          <w:lang w:bidi="ar-SA"/>
        </w:rPr>
      </w:pPr>
      <w:r w:rsidRPr="0037590D">
        <w:rPr>
          <w:rFonts w:eastAsia="Times New Roman" w:cs="Times New Roman"/>
          <w:sz w:val="20"/>
          <w:lang w:bidi="ar-SA"/>
        </w:rPr>
        <w:t xml:space="preserve">An </w:t>
      </w:r>
      <w:r w:rsidRPr="0037590D">
        <w:rPr>
          <w:rFonts w:eastAsia="Times New Roman" w:cs="Times New Roman"/>
          <w:sz w:val="20"/>
          <w:u w:val="single"/>
          <w:lang w:bidi="ar-SA"/>
        </w:rPr>
        <w:t>Fachober- und Berufsoberschulen</w:t>
      </w:r>
      <w:r w:rsidRPr="0037590D">
        <w:rPr>
          <w:rFonts w:eastAsia="Times New Roman" w:cs="Times New Roman"/>
          <w:sz w:val="20"/>
          <w:lang w:bidi="ar-SA"/>
        </w:rPr>
        <w:t xml:space="preserve"> schließen Schülerinnen und Schüler jewe</w:t>
      </w:r>
      <w:r w:rsidR="005A796D">
        <w:rPr>
          <w:rFonts w:eastAsia="Times New Roman" w:cs="Times New Roman"/>
          <w:sz w:val="20"/>
          <w:lang w:bidi="ar-SA"/>
        </w:rPr>
        <w:t>ils</w:t>
      </w:r>
      <w:r w:rsidRPr="0037590D">
        <w:rPr>
          <w:rFonts w:eastAsia="Times New Roman" w:cs="Times New Roman"/>
          <w:sz w:val="20"/>
          <w:lang w:bidi="ar-SA"/>
        </w:rPr>
        <w:t xml:space="preserve"> nach der Jahrgangsstufe 12 mit dem Fachabitur und nach der J</w:t>
      </w:r>
      <w:r w:rsidR="005A796D">
        <w:rPr>
          <w:rFonts w:eastAsia="Times New Roman" w:cs="Times New Roman"/>
          <w:sz w:val="20"/>
          <w:lang w:bidi="ar-SA"/>
        </w:rPr>
        <w:t>ahrgangsstufe 13 mit der allge</w:t>
      </w:r>
      <w:r w:rsidRPr="0037590D">
        <w:rPr>
          <w:rFonts w:eastAsia="Times New Roman" w:cs="Times New Roman"/>
          <w:sz w:val="20"/>
          <w:lang w:bidi="ar-SA"/>
        </w:rPr>
        <w:t>meinen bzw. fachgebundenen Hochschulreife ab. Der jeweilige Bildungsgang ist mit der Abschlussprüfung abgeschlossen und eine Übernahme von Leistungen ist damit lediglich in der Jahrgangsstufe 11 der Fachoberschule vorgesehen. Um die in Jahrgangsstufe 11 pand</w:t>
      </w:r>
      <w:r w:rsidR="005A796D">
        <w:rPr>
          <w:rFonts w:eastAsia="Times New Roman" w:cs="Times New Roman"/>
          <w:sz w:val="20"/>
          <w:lang w:bidi="ar-SA"/>
        </w:rPr>
        <w:t xml:space="preserve">emiebedingt entstandenen Lern- </w:t>
      </w:r>
      <w:r w:rsidRPr="0037590D">
        <w:rPr>
          <w:rFonts w:eastAsia="Times New Roman" w:cs="Times New Roman"/>
          <w:sz w:val="20"/>
          <w:lang w:bidi="ar-SA"/>
        </w:rPr>
        <w:t>bzw. Kenntnislücken zu schließen, werden im laufenden Schuljahr zusätz</w:t>
      </w:r>
      <w:r w:rsidR="005A796D">
        <w:rPr>
          <w:rFonts w:eastAsia="Times New Roman" w:cs="Times New Roman"/>
          <w:sz w:val="20"/>
          <w:lang w:bidi="ar-SA"/>
        </w:rPr>
        <w:t xml:space="preserve">lich zu dem in der Stundentafel integrierten </w:t>
      </w:r>
      <w:r w:rsidRPr="0037590D">
        <w:rPr>
          <w:rFonts w:eastAsia="Times New Roman" w:cs="Times New Roman"/>
          <w:sz w:val="20"/>
          <w:lang w:bidi="ar-SA"/>
        </w:rPr>
        <w:t>Förderun</w:t>
      </w:r>
      <w:r w:rsidR="005A796D">
        <w:rPr>
          <w:rFonts w:eastAsia="Times New Roman" w:cs="Times New Roman"/>
          <w:sz w:val="20"/>
          <w:lang w:bidi="ar-SA"/>
        </w:rPr>
        <w:t>ter</w:t>
      </w:r>
      <w:r w:rsidRPr="0037590D">
        <w:rPr>
          <w:rFonts w:eastAsia="Times New Roman" w:cs="Times New Roman"/>
          <w:sz w:val="20"/>
          <w:lang w:bidi="ar-SA"/>
        </w:rPr>
        <w:t>richt weitere Unterstützungsmaßnahmen im pädagogischen Ermessen durch die Schulen angeboten (KMS vom 16.07.2020).</w:t>
      </w:r>
    </w:p>
    <w:p w:rsidR="00352140" w:rsidRPr="0037590D" w:rsidRDefault="00352140" w:rsidP="00D6673D">
      <w:pPr>
        <w:pStyle w:val="Textkrper"/>
        <w:spacing w:before="5"/>
        <w:ind w:left="340" w:right="-426"/>
        <w:jc w:val="both"/>
        <w:rPr>
          <w:rFonts w:eastAsia="Times New Roman" w:cs="Times New Roman"/>
          <w:sz w:val="20"/>
          <w:lang w:bidi="ar-SA"/>
        </w:rPr>
      </w:pPr>
      <w:r w:rsidRPr="0037590D">
        <w:rPr>
          <w:rFonts w:eastAsia="Times New Roman" w:cs="Times New Roman"/>
          <w:sz w:val="20"/>
          <w:lang w:bidi="ar-SA"/>
        </w:rPr>
        <w:t>Aufgrund der Heterogenität der Schülerschaft an FOS</w:t>
      </w:r>
      <w:r w:rsidR="00537EB9">
        <w:rPr>
          <w:rFonts w:eastAsia="Times New Roman" w:cs="Times New Roman"/>
          <w:sz w:val="20"/>
          <w:lang w:bidi="ar-SA"/>
        </w:rPr>
        <w:t>/</w:t>
      </w:r>
      <w:r w:rsidRPr="0037590D">
        <w:rPr>
          <w:rFonts w:eastAsia="Times New Roman" w:cs="Times New Roman"/>
          <w:sz w:val="20"/>
          <w:lang w:bidi="ar-SA"/>
        </w:rPr>
        <w:t>BOS, die von unterschiedlichsten Zubringerschulen kommen (Realschule, Mittelschule, Wirtschaftsschule, Berufsschule) werden eine Vielza</w:t>
      </w:r>
      <w:r w:rsidR="005A796D">
        <w:rPr>
          <w:rFonts w:eastAsia="Times New Roman" w:cs="Times New Roman"/>
          <w:sz w:val="20"/>
          <w:lang w:bidi="ar-SA"/>
        </w:rPr>
        <w:t>hl von Brückenangeboten, wie z. </w:t>
      </w:r>
      <w:r w:rsidRPr="0037590D">
        <w:rPr>
          <w:rFonts w:eastAsia="Times New Roman" w:cs="Times New Roman"/>
          <w:sz w:val="20"/>
          <w:lang w:bidi="ar-SA"/>
        </w:rPr>
        <w:t>B.</w:t>
      </w:r>
      <w:r w:rsidR="005A796D">
        <w:rPr>
          <w:rFonts w:eastAsia="Times New Roman" w:cs="Times New Roman"/>
          <w:sz w:val="20"/>
          <w:lang w:bidi="ar-SA"/>
        </w:rPr>
        <w:t xml:space="preserve"> Vorklassen und Vorkurse, ange</w:t>
      </w:r>
      <w:r w:rsidRPr="0037590D">
        <w:rPr>
          <w:rFonts w:eastAsia="Times New Roman" w:cs="Times New Roman"/>
          <w:sz w:val="20"/>
          <w:lang w:bidi="ar-SA"/>
        </w:rPr>
        <w:t>boten, um Schülerinnen und Schüler bestmöglich auf den Bildungsgang vorzubereiten. Vorklassen können mittlerweile an annähernd allen staatlic</w:t>
      </w:r>
      <w:r w:rsidR="005A796D">
        <w:rPr>
          <w:rFonts w:eastAsia="Times New Roman" w:cs="Times New Roman"/>
          <w:sz w:val="20"/>
          <w:lang w:bidi="ar-SA"/>
        </w:rPr>
        <w:t>hen Fachoberschulen angebo</w:t>
      </w:r>
      <w:r w:rsidRPr="0037590D">
        <w:rPr>
          <w:rFonts w:eastAsia="Times New Roman" w:cs="Times New Roman"/>
          <w:sz w:val="20"/>
          <w:lang w:bidi="ar-SA"/>
        </w:rPr>
        <w:t>ten werden. Im aktuellen Schuljahr sind die Schülerzahlen in der Vorkl</w:t>
      </w:r>
      <w:r w:rsidR="005A796D">
        <w:rPr>
          <w:rFonts w:eastAsia="Times New Roman" w:cs="Times New Roman"/>
          <w:sz w:val="20"/>
          <w:lang w:bidi="ar-SA"/>
        </w:rPr>
        <w:t>asse der Fach-oberschule um 6 Prozent</w:t>
      </w:r>
      <w:r w:rsidRPr="0037590D">
        <w:rPr>
          <w:rFonts w:eastAsia="Times New Roman" w:cs="Times New Roman"/>
          <w:sz w:val="20"/>
          <w:lang w:bidi="ar-SA"/>
        </w:rPr>
        <w:t xml:space="preserve"> gestiegen. Ziel ist es, die Schülerinnen und Schüler individuell und passgenau auf ihrem Weg zum gewünschten Abschluss zu begleiten.</w:t>
      </w:r>
    </w:p>
    <w:p w:rsidR="00352140" w:rsidRPr="0037590D" w:rsidRDefault="00352140" w:rsidP="00D6673D">
      <w:pPr>
        <w:pStyle w:val="Textkrper"/>
        <w:spacing w:before="1"/>
        <w:ind w:left="340" w:right="-426"/>
        <w:jc w:val="both"/>
        <w:rPr>
          <w:rFonts w:eastAsia="Times New Roman" w:cs="Times New Roman"/>
          <w:sz w:val="20"/>
          <w:lang w:bidi="ar-SA"/>
        </w:rPr>
      </w:pPr>
    </w:p>
    <w:p w:rsidR="00352140" w:rsidRPr="00D86767" w:rsidRDefault="00D86767" w:rsidP="00D86767">
      <w:pPr>
        <w:pStyle w:val="berschrift1"/>
        <w:tabs>
          <w:tab w:val="left" w:pos="538"/>
          <w:tab w:val="left" w:pos="539"/>
        </w:tabs>
        <w:ind w:left="567" w:right="-425" w:hanging="227"/>
        <w:jc w:val="both"/>
        <w:rPr>
          <w:rFonts w:eastAsia="Times New Roman" w:cs="Times New Roman"/>
          <w:bCs w:val="0"/>
          <w:sz w:val="20"/>
          <w:lang w:bidi="ar-SA"/>
        </w:rPr>
      </w:pPr>
      <w:r w:rsidRPr="00D86767">
        <w:rPr>
          <w:rFonts w:eastAsia="Times New Roman" w:cs="Times New Roman"/>
          <w:bCs w:val="0"/>
          <w:sz w:val="20"/>
          <w:lang w:bidi="ar-SA"/>
        </w:rPr>
        <w:t xml:space="preserve">4. </w:t>
      </w:r>
      <w:r w:rsidR="00352140" w:rsidRPr="00D86767">
        <w:rPr>
          <w:rFonts w:eastAsia="Times New Roman" w:cs="Times New Roman"/>
          <w:bCs w:val="0"/>
          <w:sz w:val="20"/>
          <w:lang w:bidi="ar-SA"/>
        </w:rPr>
        <w:t>Wechselunterricht und Abnahme von Prüfungen bzw. die Konsequenz auf das Erreichen des Jahrgangsziels</w:t>
      </w:r>
    </w:p>
    <w:p w:rsidR="00352140" w:rsidRPr="0037590D" w:rsidRDefault="00352140" w:rsidP="00D6673D">
      <w:pPr>
        <w:pStyle w:val="Textkrper"/>
        <w:spacing w:before="2"/>
        <w:ind w:left="340" w:right="-426"/>
        <w:jc w:val="both"/>
        <w:rPr>
          <w:rFonts w:eastAsia="Times New Roman" w:cs="Times New Roman"/>
          <w:sz w:val="20"/>
          <w:lang w:bidi="ar-SA"/>
        </w:rPr>
      </w:pPr>
    </w:p>
    <w:p w:rsidR="00352140" w:rsidRPr="0037590D" w:rsidRDefault="00352140" w:rsidP="00D6673D">
      <w:pPr>
        <w:ind w:left="340" w:right="-426"/>
        <w:jc w:val="both"/>
        <w:rPr>
          <w:b/>
        </w:rPr>
      </w:pPr>
      <w:r w:rsidRPr="0037590D">
        <w:rPr>
          <w:b/>
        </w:rPr>
        <w:t>Frage 4.1: Inwiefern sieht das StMUK Probleme hinsichtlich der Chancengerechtigkeit, wenn von den Abschlussklassen jeweils ein Teil der Schüler sich den Stoff aufgrund des Wechselunterrichts praktisch selbst beibringen musste, während der andere Teil diesen in Präsenz vermittelt bekommen hat?</w:t>
      </w:r>
    </w:p>
    <w:p w:rsidR="00352140" w:rsidRPr="0037590D" w:rsidRDefault="00352140" w:rsidP="00D6673D">
      <w:pPr>
        <w:pStyle w:val="Textkrper"/>
        <w:spacing w:before="5"/>
        <w:ind w:left="340" w:right="-426"/>
        <w:jc w:val="both"/>
        <w:rPr>
          <w:rFonts w:eastAsia="Times New Roman" w:cs="Times New Roman"/>
          <w:sz w:val="20"/>
          <w:lang w:bidi="ar-SA"/>
        </w:rPr>
      </w:pPr>
    </w:p>
    <w:p w:rsidR="00352140" w:rsidRPr="0037590D" w:rsidRDefault="00352140" w:rsidP="00D86767">
      <w:pPr>
        <w:pStyle w:val="Textkrper"/>
        <w:ind w:left="340" w:right="-425"/>
        <w:jc w:val="both"/>
        <w:rPr>
          <w:rFonts w:eastAsia="Times New Roman" w:cs="Times New Roman"/>
          <w:sz w:val="20"/>
          <w:lang w:bidi="ar-SA"/>
        </w:rPr>
      </w:pPr>
      <w:r w:rsidRPr="0037590D">
        <w:rPr>
          <w:rFonts w:eastAsia="Times New Roman" w:cs="Times New Roman"/>
          <w:sz w:val="20"/>
          <w:lang w:bidi="ar-SA"/>
        </w:rPr>
        <w:t>Auch wenn die Qualitätssicherung im Distanzunterricht durch entsprechende Rahmenvorgaben gewährleistet wird, ist es auch unter dem Gesichtspunkt größtmöglicher Chancengerechtigkeit das Ziel der bayerischen Bildungspolitik, zum Unterricht im Klassenzimmer</w:t>
      </w:r>
      <w:r w:rsidR="00D86767">
        <w:rPr>
          <w:rFonts w:eastAsia="Times New Roman" w:cs="Times New Roman"/>
          <w:sz w:val="20"/>
          <w:lang w:bidi="ar-SA"/>
        </w:rPr>
        <w:t xml:space="preserve"> </w:t>
      </w:r>
      <w:r w:rsidRPr="0037590D">
        <w:rPr>
          <w:rFonts w:eastAsia="Times New Roman" w:cs="Times New Roman"/>
          <w:sz w:val="20"/>
          <w:lang w:bidi="ar-SA"/>
        </w:rPr>
        <w:t>schrittweis</w:t>
      </w:r>
      <w:r w:rsidR="005A796D">
        <w:rPr>
          <w:rFonts w:eastAsia="Times New Roman" w:cs="Times New Roman"/>
          <w:sz w:val="20"/>
          <w:lang w:bidi="ar-SA"/>
        </w:rPr>
        <w:t>e zurückzukehren, sobald es die Entwicklung</w:t>
      </w:r>
      <w:r w:rsidRPr="0037590D">
        <w:rPr>
          <w:rFonts w:eastAsia="Times New Roman" w:cs="Times New Roman"/>
          <w:sz w:val="20"/>
          <w:lang w:bidi="ar-SA"/>
        </w:rPr>
        <w:t xml:space="preserve"> der Infektionszahlen erlaubt. Dabei nimmt das Staatsministerium die Sorge der Schülerinnen und Schüler sowie der gesamten Schulfamilie um die Gesundheit sehr ernst. Die Schritte zum Übergang vom Distanzunterricht in den Wechselunterricht (bzw. in Präsenzunterricht unter Einhaltung de</w:t>
      </w:r>
      <w:r w:rsidR="005A796D">
        <w:rPr>
          <w:rFonts w:eastAsia="Times New Roman" w:cs="Times New Roman"/>
          <w:sz w:val="20"/>
          <w:lang w:bidi="ar-SA"/>
        </w:rPr>
        <w:t>s Mindestabstands</w:t>
      </w:r>
      <w:r w:rsidRPr="0037590D">
        <w:rPr>
          <w:rFonts w:eastAsia="Times New Roman" w:cs="Times New Roman"/>
          <w:sz w:val="20"/>
          <w:lang w:bidi="ar-SA"/>
        </w:rPr>
        <w:t xml:space="preserve"> von 1,5 m </w:t>
      </w:r>
      <w:r w:rsidR="005A796D">
        <w:rPr>
          <w:rFonts w:eastAsia="Times New Roman" w:cs="Times New Roman"/>
          <w:sz w:val="20"/>
          <w:lang w:bidi="ar-SA"/>
        </w:rPr>
        <w:t xml:space="preserve">auch in den Unterrichtsräumen) werden </w:t>
      </w:r>
      <w:r w:rsidRPr="0037590D">
        <w:rPr>
          <w:rFonts w:eastAsia="Times New Roman" w:cs="Times New Roman"/>
          <w:sz w:val="20"/>
          <w:lang w:bidi="ar-SA"/>
        </w:rPr>
        <w:t>deshalb eng mit dem Staatsministerium für Gesundheit und Pflege abgestimmt.</w:t>
      </w:r>
    </w:p>
    <w:p w:rsidR="00352140" w:rsidRPr="0037590D" w:rsidRDefault="00352140" w:rsidP="00D6673D">
      <w:pPr>
        <w:pStyle w:val="Textkrper"/>
        <w:spacing w:before="92"/>
        <w:ind w:left="340" w:right="-426"/>
        <w:jc w:val="both"/>
        <w:rPr>
          <w:rFonts w:eastAsia="Times New Roman" w:cs="Times New Roman"/>
          <w:sz w:val="20"/>
          <w:lang w:bidi="ar-SA"/>
        </w:rPr>
      </w:pPr>
      <w:r w:rsidRPr="0037590D">
        <w:rPr>
          <w:rFonts w:eastAsia="Times New Roman" w:cs="Times New Roman"/>
          <w:sz w:val="20"/>
          <w:lang w:bidi="ar-SA"/>
        </w:rPr>
        <w:t>Auch der Distanzunterricht ist geprägt vom Wechsel synchroner, zeitgleicher Arbeits-phasen (z.</w:t>
      </w:r>
      <w:r w:rsidR="005A796D">
        <w:rPr>
          <w:rFonts w:eastAsia="Times New Roman" w:cs="Times New Roman"/>
          <w:sz w:val="20"/>
          <w:lang w:bidi="ar-SA"/>
        </w:rPr>
        <w:t> </w:t>
      </w:r>
      <w:r w:rsidRPr="0037590D">
        <w:rPr>
          <w:rFonts w:eastAsia="Times New Roman" w:cs="Times New Roman"/>
          <w:sz w:val="20"/>
          <w:lang w:bidi="ar-SA"/>
        </w:rPr>
        <w:t>B. in einer Videokonferenz) und Phasen zeitlich versetzten Arbeitens, bei dem die Schülerinnen und Schüler selbstgesteuert Arbeitsaufträge erledigen. Diese Variation in der Arbeitsweise spiegelt sich im Wechselunterricht dergestalt, dass eine Gruppe im Präsenzunterricht mit der Lehrkraft in der Schule arbeitet, während die zweite Gruppe zu Hause an den vorgesehenen Arbeitsaufträgen arbeitet, die in der Regel im vorausgehenden Unterricht</w:t>
      </w:r>
      <w:r w:rsidR="005A796D">
        <w:rPr>
          <w:rFonts w:eastAsia="Times New Roman" w:cs="Times New Roman"/>
          <w:sz w:val="20"/>
          <w:lang w:bidi="ar-SA"/>
        </w:rPr>
        <w:t xml:space="preserve"> bereits vorbereitet </w:t>
      </w:r>
      <w:r w:rsidRPr="0037590D">
        <w:rPr>
          <w:rFonts w:eastAsia="Times New Roman" w:cs="Times New Roman"/>
          <w:sz w:val="20"/>
          <w:lang w:bidi="ar-SA"/>
        </w:rPr>
        <w:t xml:space="preserve">wurden. Die Schülerinnen und Schüler zu Hause arbeiten dabei häufig selbstgesteuert an Aufgaben zur Übung, Vertiefung oder Wiederholung, während sie in </w:t>
      </w:r>
      <w:r w:rsidR="005A796D">
        <w:rPr>
          <w:rFonts w:eastAsia="Times New Roman" w:cs="Times New Roman"/>
          <w:sz w:val="20"/>
          <w:lang w:bidi="ar-SA"/>
        </w:rPr>
        <w:t>der Präsenzphase in engem Zusam</w:t>
      </w:r>
      <w:r w:rsidRPr="0037590D">
        <w:rPr>
          <w:rFonts w:eastAsia="Times New Roman" w:cs="Times New Roman"/>
          <w:sz w:val="20"/>
          <w:lang w:bidi="ar-SA"/>
        </w:rPr>
        <w:t xml:space="preserve">menspiel mit der Lehrkraft neue Lerninhalte </w:t>
      </w:r>
      <w:r w:rsidR="005A796D">
        <w:rPr>
          <w:rFonts w:eastAsia="Times New Roman" w:cs="Times New Roman"/>
          <w:sz w:val="20"/>
          <w:lang w:bidi="ar-SA"/>
        </w:rPr>
        <w:t xml:space="preserve">erarbeiten und hier vorwiegend </w:t>
      </w:r>
      <w:r w:rsidRPr="0037590D">
        <w:rPr>
          <w:rFonts w:eastAsia="Times New Roman" w:cs="Times New Roman"/>
          <w:sz w:val="20"/>
          <w:lang w:bidi="ar-SA"/>
        </w:rPr>
        <w:t>Feedback erfolgt. Bei Vorhandensein der entsprechenden Voraussetzungen ist natürlich auch ein „Streamen“ des Unterrichts denkbar.</w:t>
      </w:r>
    </w:p>
    <w:p w:rsidR="00352140" w:rsidRPr="0037590D" w:rsidRDefault="00352140" w:rsidP="00D6673D">
      <w:pPr>
        <w:pStyle w:val="Textkrper"/>
        <w:spacing w:before="4"/>
        <w:ind w:left="340" w:right="-426"/>
        <w:jc w:val="both"/>
        <w:rPr>
          <w:rFonts w:eastAsia="Times New Roman" w:cs="Times New Roman"/>
          <w:sz w:val="20"/>
          <w:lang w:bidi="ar-SA"/>
        </w:rPr>
      </w:pPr>
    </w:p>
    <w:p w:rsidR="00352140" w:rsidRPr="0037590D" w:rsidRDefault="00352140" w:rsidP="005A796D">
      <w:pPr>
        <w:pStyle w:val="Textkrper"/>
        <w:ind w:left="340" w:right="-426"/>
        <w:jc w:val="both"/>
        <w:rPr>
          <w:rFonts w:eastAsia="Times New Roman" w:cs="Times New Roman"/>
          <w:sz w:val="20"/>
          <w:lang w:bidi="ar-SA"/>
        </w:rPr>
      </w:pPr>
      <w:r w:rsidRPr="0037590D">
        <w:rPr>
          <w:rFonts w:eastAsia="Times New Roman" w:cs="Times New Roman"/>
          <w:sz w:val="20"/>
          <w:lang w:bidi="ar-SA"/>
        </w:rPr>
        <w:t>Wechselunterricht ermöglicht Präsenzbeschulung i</w:t>
      </w:r>
      <w:r w:rsidR="005A796D">
        <w:rPr>
          <w:rFonts w:eastAsia="Times New Roman" w:cs="Times New Roman"/>
          <w:sz w:val="20"/>
          <w:lang w:bidi="ar-SA"/>
        </w:rPr>
        <w:t>n kleinen Gruppen unter Berück</w:t>
      </w:r>
      <w:r w:rsidRPr="0037590D">
        <w:rPr>
          <w:rFonts w:eastAsia="Times New Roman" w:cs="Times New Roman"/>
          <w:sz w:val="20"/>
          <w:lang w:bidi="ar-SA"/>
        </w:rPr>
        <w:t>sichtigung der jeweils gültigen Infektionsschutz</w:t>
      </w:r>
      <w:r w:rsidR="005A796D">
        <w:rPr>
          <w:rFonts w:eastAsia="Times New Roman" w:cs="Times New Roman"/>
          <w:sz w:val="20"/>
          <w:lang w:bidi="ar-SA"/>
        </w:rPr>
        <w:t>maßnahmenverordnung und des je</w:t>
      </w:r>
      <w:r w:rsidRPr="0037590D">
        <w:rPr>
          <w:rFonts w:eastAsia="Times New Roman" w:cs="Times New Roman"/>
          <w:sz w:val="20"/>
          <w:lang w:bidi="ar-SA"/>
        </w:rPr>
        <w:t>weils gültigen Rahmenhygieneplans. Er bietet in besonderer Weise Möglichkeit zum nachhaltigen Lernen im direkten Kontakt mit der Lehrkraft und ist auch im Hinblick</w:t>
      </w:r>
      <w:r w:rsidR="005A796D">
        <w:rPr>
          <w:rFonts w:eastAsia="Times New Roman" w:cs="Times New Roman"/>
          <w:sz w:val="20"/>
          <w:lang w:bidi="ar-SA"/>
        </w:rPr>
        <w:t xml:space="preserve"> </w:t>
      </w:r>
      <w:r w:rsidRPr="0037590D">
        <w:rPr>
          <w:rFonts w:eastAsia="Times New Roman" w:cs="Times New Roman"/>
          <w:sz w:val="20"/>
          <w:lang w:bidi="ar-SA"/>
        </w:rPr>
        <w:t>auf die Gewährleistung möglichst gleicher Bildungschancen für alle Schülerinnen und Schüler von besonderer Bedeutung.</w:t>
      </w:r>
    </w:p>
    <w:p w:rsidR="00352140" w:rsidRPr="0037590D" w:rsidRDefault="00352140" w:rsidP="00D6673D">
      <w:pPr>
        <w:pStyle w:val="Textkrper"/>
        <w:spacing w:before="2"/>
        <w:ind w:left="340" w:right="-426"/>
        <w:jc w:val="both"/>
        <w:rPr>
          <w:rFonts w:eastAsia="Times New Roman" w:cs="Times New Roman"/>
          <w:sz w:val="20"/>
          <w:lang w:bidi="ar-SA"/>
        </w:rPr>
      </w:pPr>
    </w:p>
    <w:p w:rsidR="00352140" w:rsidRPr="0037590D" w:rsidRDefault="00352140" w:rsidP="00D6673D">
      <w:pPr>
        <w:pStyle w:val="Textkrper"/>
        <w:spacing w:before="1"/>
        <w:ind w:left="340" w:right="-426"/>
        <w:jc w:val="both"/>
        <w:rPr>
          <w:rFonts w:eastAsia="Times New Roman" w:cs="Times New Roman"/>
          <w:sz w:val="20"/>
          <w:lang w:bidi="ar-SA"/>
        </w:rPr>
      </w:pPr>
      <w:r w:rsidRPr="0037590D">
        <w:rPr>
          <w:rFonts w:eastAsia="Times New Roman" w:cs="Times New Roman"/>
          <w:sz w:val="20"/>
          <w:lang w:bidi="ar-SA"/>
        </w:rPr>
        <w:t>Im Übrigen wird auf die Antwort zu Ziffer 3.2 verwiesen.</w:t>
      </w:r>
    </w:p>
    <w:p w:rsidR="00352140" w:rsidRPr="0037590D" w:rsidRDefault="00352140" w:rsidP="00D6673D">
      <w:pPr>
        <w:pStyle w:val="Textkrper"/>
        <w:ind w:left="340" w:right="-426"/>
        <w:jc w:val="both"/>
        <w:rPr>
          <w:rFonts w:eastAsia="Times New Roman" w:cs="Times New Roman"/>
          <w:sz w:val="20"/>
          <w:lang w:bidi="ar-SA"/>
        </w:rPr>
      </w:pPr>
    </w:p>
    <w:p w:rsidR="00352140" w:rsidRPr="0037590D" w:rsidRDefault="00352140" w:rsidP="00D6673D">
      <w:pPr>
        <w:pStyle w:val="berschrift1"/>
        <w:ind w:left="340" w:right="-426"/>
        <w:jc w:val="both"/>
        <w:rPr>
          <w:rFonts w:eastAsia="Times New Roman" w:cs="Times New Roman"/>
          <w:bCs w:val="0"/>
          <w:sz w:val="20"/>
          <w:lang w:bidi="ar-SA"/>
        </w:rPr>
      </w:pPr>
      <w:r w:rsidRPr="0037590D">
        <w:rPr>
          <w:rFonts w:eastAsia="Times New Roman" w:cs="Times New Roman"/>
          <w:bCs w:val="0"/>
          <w:sz w:val="20"/>
          <w:lang w:bidi="ar-SA"/>
        </w:rPr>
        <w:t>Frage 4.2: Wie bewertet das StMUK auftretende Abweichungen aus Frage 4.1 im Hinblick auf die Vergleichbarkeit der Abschlüsse insbesondere den der allgemeinen Hochschulreife und die damit einhergehende Studierfähigkeit?</w:t>
      </w:r>
    </w:p>
    <w:p w:rsidR="00352140" w:rsidRPr="0037590D" w:rsidRDefault="00352140" w:rsidP="00D6673D">
      <w:pPr>
        <w:pStyle w:val="Textkrper"/>
        <w:ind w:left="340" w:right="-426"/>
        <w:jc w:val="both"/>
        <w:rPr>
          <w:rFonts w:eastAsia="Times New Roman" w:cs="Times New Roman"/>
          <w:sz w:val="20"/>
          <w:lang w:bidi="ar-SA"/>
        </w:rPr>
      </w:pPr>
    </w:p>
    <w:p w:rsidR="00352140" w:rsidRPr="0037590D" w:rsidRDefault="00352140" w:rsidP="00D86767">
      <w:pPr>
        <w:pStyle w:val="Textkrper"/>
        <w:ind w:left="340" w:right="-425"/>
        <w:jc w:val="both"/>
        <w:rPr>
          <w:rFonts w:eastAsia="Times New Roman" w:cs="Times New Roman"/>
          <w:sz w:val="20"/>
          <w:lang w:bidi="ar-SA"/>
        </w:rPr>
      </w:pPr>
      <w:r w:rsidRPr="0037590D">
        <w:rPr>
          <w:rFonts w:eastAsia="Times New Roman" w:cs="Times New Roman"/>
          <w:sz w:val="20"/>
          <w:lang w:bidi="ar-SA"/>
        </w:rPr>
        <w:t xml:space="preserve">Am </w:t>
      </w:r>
      <w:r w:rsidRPr="0037590D">
        <w:rPr>
          <w:rFonts w:eastAsia="Times New Roman" w:cs="Times New Roman"/>
          <w:sz w:val="20"/>
          <w:u w:val="single"/>
          <w:lang w:bidi="ar-SA"/>
        </w:rPr>
        <w:t>Gymnasium</w:t>
      </w:r>
      <w:r w:rsidRPr="0037590D">
        <w:rPr>
          <w:rFonts w:eastAsia="Times New Roman" w:cs="Times New Roman"/>
          <w:sz w:val="20"/>
          <w:lang w:bidi="ar-SA"/>
        </w:rPr>
        <w:t xml:space="preserve"> und an </w:t>
      </w:r>
      <w:r w:rsidRPr="0037590D">
        <w:rPr>
          <w:rFonts w:eastAsia="Times New Roman" w:cs="Times New Roman"/>
          <w:sz w:val="20"/>
          <w:u w:val="single"/>
          <w:lang w:bidi="ar-SA"/>
        </w:rPr>
        <w:t>Fach- und Berufsoberschulen</w:t>
      </w:r>
      <w:r w:rsidRPr="0037590D">
        <w:rPr>
          <w:rFonts w:eastAsia="Times New Roman" w:cs="Times New Roman"/>
          <w:sz w:val="20"/>
          <w:lang w:bidi="ar-SA"/>
        </w:rPr>
        <w:t xml:space="preserve"> i</w:t>
      </w:r>
      <w:r w:rsidR="005A796D">
        <w:rPr>
          <w:rFonts w:eastAsia="Times New Roman" w:cs="Times New Roman"/>
          <w:sz w:val="20"/>
          <w:lang w:bidi="ar-SA"/>
        </w:rPr>
        <w:t>st die Abitur- bzw. Fachabitur-</w:t>
      </w:r>
      <w:r w:rsidRPr="0037590D">
        <w:rPr>
          <w:rFonts w:eastAsia="Times New Roman" w:cs="Times New Roman"/>
          <w:sz w:val="20"/>
          <w:lang w:bidi="ar-SA"/>
        </w:rPr>
        <w:t>prüfung (nur FOSBOS) die wichtigste Prüfung am Abschluss der Schullaufbahn und ermöglicht den Hochschulzugang. Das Staatsmini</w:t>
      </w:r>
      <w:r w:rsidR="005A796D">
        <w:rPr>
          <w:rFonts w:eastAsia="Times New Roman" w:cs="Times New Roman"/>
          <w:sz w:val="20"/>
          <w:lang w:bidi="ar-SA"/>
        </w:rPr>
        <w:t>sterium hat daher bei allen Maßn</w:t>
      </w:r>
      <w:r w:rsidRPr="0037590D">
        <w:rPr>
          <w:rFonts w:eastAsia="Times New Roman" w:cs="Times New Roman"/>
          <w:sz w:val="20"/>
          <w:lang w:bidi="ar-SA"/>
        </w:rPr>
        <w:t>ahmen stets die unter der gegebenen Ausnahmesi</w:t>
      </w:r>
      <w:r w:rsidR="005A796D">
        <w:rPr>
          <w:rFonts w:eastAsia="Times New Roman" w:cs="Times New Roman"/>
          <w:sz w:val="20"/>
          <w:lang w:bidi="ar-SA"/>
        </w:rPr>
        <w:t>tuation bestmögliche Gewährleis</w:t>
      </w:r>
      <w:r w:rsidRPr="0037590D">
        <w:rPr>
          <w:rFonts w:eastAsia="Times New Roman" w:cs="Times New Roman"/>
          <w:sz w:val="20"/>
          <w:lang w:bidi="ar-SA"/>
        </w:rPr>
        <w:t>tung der prüfungsrechtlichen Chancengleichheit im Bl</w:t>
      </w:r>
      <w:r w:rsidR="005A796D">
        <w:rPr>
          <w:rFonts w:eastAsia="Times New Roman" w:cs="Times New Roman"/>
          <w:sz w:val="20"/>
          <w:lang w:bidi="ar-SA"/>
        </w:rPr>
        <w:t>ick – innerhalb des Abiturjahr</w:t>
      </w:r>
      <w:r w:rsidRPr="0037590D">
        <w:rPr>
          <w:rFonts w:eastAsia="Times New Roman" w:cs="Times New Roman"/>
          <w:sz w:val="20"/>
          <w:lang w:bidi="ar-SA"/>
        </w:rPr>
        <w:t>gangs 2021 sowie im Verhältnis zu vorangegangenen und zu späteren Jahrgängen.</w:t>
      </w:r>
    </w:p>
    <w:p w:rsidR="00352140" w:rsidRDefault="005A796D" w:rsidP="00D86767">
      <w:pPr>
        <w:pStyle w:val="Textkrper"/>
        <w:tabs>
          <w:tab w:val="left" w:pos="4928"/>
        </w:tabs>
        <w:spacing w:before="28"/>
        <w:ind w:left="340" w:right="-426"/>
        <w:jc w:val="both"/>
        <w:rPr>
          <w:rFonts w:eastAsia="Times New Roman" w:cs="Times New Roman"/>
          <w:sz w:val="20"/>
          <w:lang w:bidi="ar-SA"/>
        </w:rPr>
      </w:pPr>
      <w:r>
        <w:rPr>
          <w:rFonts w:eastAsia="Times New Roman" w:cs="Times New Roman"/>
          <w:sz w:val="20"/>
          <w:lang w:bidi="ar-SA"/>
        </w:rPr>
        <w:t xml:space="preserve">Deshalb werden sämtliche </w:t>
      </w:r>
      <w:r w:rsidR="00352140" w:rsidRPr="0037590D">
        <w:rPr>
          <w:rFonts w:eastAsia="Times New Roman" w:cs="Times New Roman"/>
          <w:sz w:val="20"/>
          <w:lang w:bidi="ar-SA"/>
        </w:rPr>
        <w:t>Entscheidungen nicht nur vor dem Hintergrund der pandemiebedingten Sondersituat</w:t>
      </w:r>
      <w:r w:rsidR="00BD2540">
        <w:rPr>
          <w:rFonts w:eastAsia="Times New Roman" w:cs="Times New Roman"/>
          <w:sz w:val="20"/>
          <w:lang w:bidi="ar-SA"/>
        </w:rPr>
        <w:t>ion und den erforderlichen Maß</w:t>
      </w:r>
      <w:r w:rsidR="00352140" w:rsidRPr="0037590D">
        <w:rPr>
          <w:rFonts w:eastAsia="Times New Roman" w:cs="Times New Roman"/>
          <w:sz w:val="20"/>
          <w:lang w:bidi="ar-SA"/>
        </w:rPr>
        <w:t>nahmen des Infektionsschutzes sondern auch im H</w:t>
      </w:r>
      <w:r w:rsidR="00BD2540">
        <w:rPr>
          <w:rFonts w:eastAsia="Times New Roman" w:cs="Times New Roman"/>
          <w:sz w:val="20"/>
          <w:lang w:bidi="ar-SA"/>
        </w:rPr>
        <w:t>inblick auf die gymnasialen Bil</w:t>
      </w:r>
      <w:r w:rsidR="00352140" w:rsidRPr="0037590D">
        <w:rPr>
          <w:rFonts w:eastAsia="Times New Roman" w:cs="Times New Roman"/>
          <w:sz w:val="20"/>
          <w:lang w:bidi="ar-SA"/>
        </w:rPr>
        <w:t>dungsziele bzw. die Bildungsziele der Fach- und Berufsoberschulen, die Maßgaben der Gesamtqualifikation und das von der KMK definierte Anspruchsniveau getroffen. Damit ein gemeinsames Vorgehen bei diesen grundlegenden Fragen sichergestellt ist, werden die Maßnahmen kontinuierlic</w:t>
      </w:r>
      <w:r w:rsidR="00D86767">
        <w:rPr>
          <w:rFonts w:eastAsia="Times New Roman" w:cs="Times New Roman"/>
          <w:sz w:val="20"/>
          <w:lang w:bidi="ar-SA"/>
        </w:rPr>
        <w:t xml:space="preserve">h </w:t>
      </w:r>
      <w:r w:rsidR="00D86767">
        <w:rPr>
          <w:rFonts w:eastAsia="Times New Roman" w:cs="Times New Roman"/>
          <w:sz w:val="20"/>
          <w:lang w:bidi="ar-SA"/>
        </w:rPr>
        <w:lastRenderedPageBreak/>
        <w:t>im Rahmen der KMK abgestimmt.</w:t>
      </w:r>
    </w:p>
    <w:p w:rsidR="00D86767" w:rsidRPr="00D86767" w:rsidRDefault="00D86767" w:rsidP="00D86767">
      <w:pPr>
        <w:pStyle w:val="Textkrper"/>
        <w:tabs>
          <w:tab w:val="left" w:pos="4928"/>
        </w:tabs>
        <w:spacing w:before="28"/>
        <w:ind w:left="340" w:right="-426"/>
        <w:jc w:val="both"/>
        <w:rPr>
          <w:rFonts w:eastAsia="Times New Roman" w:cs="Times New Roman"/>
          <w:sz w:val="20"/>
          <w:lang w:bidi="ar-SA"/>
        </w:rPr>
      </w:pPr>
    </w:p>
    <w:p w:rsidR="00352140" w:rsidRPr="0037590D" w:rsidRDefault="00352140" w:rsidP="00D6673D">
      <w:pPr>
        <w:pStyle w:val="Textkrper"/>
        <w:spacing w:before="1"/>
        <w:ind w:left="340" w:right="-426"/>
        <w:jc w:val="both"/>
        <w:rPr>
          <w:rFonts w:eastAsia="Times New Roman" w:cs="Times New Roman"/>
          <w:sz w:val="20"/>
          <w:lang w:bidi="ar-SA"/>
        </w:rPr>
      </w:pPr>
      <w:r w:rsidRPr="0037590D">
        <w:rPr>
          <w:rFonts w:eastAsia="Times New Roman" w:cs="Times New Roman"/>
          <w:sz w:val="20"/>
          <w:lang w:bidi="ar-SA"/>
        </w:rPr>
        <w:t>Im Übrigen wird auf die Antwort zu Ziffer 1.3, 3.2 und 4.1 verwiesen.</w:t>
      </w:r>
    </w:p>
    <w:p w:rsidR="00352140" w:rsidRPr="0037590D" w:rsidRDefault="00352140" w:rsidP="00D6673D">
      <w:pPr>
        <w:pStyle w:val="berschrift1"/>
        <w:spacing w:before="225"/>
        <w:ind w:left="340" w:right="-426"/>
        <w:jc w:val="both"/>
        <w:rPr>
          <w:rFonts w:eastAsia="Times New Roman" w:cs="Times New Roman"/>
          <w:bCs w:val="0"/>
          <w:sz w:val="20"/>
          <w:lang w:bidi="ar-SA"/>
        </w:rPr>
      </w:pPr>
      <w:r w:rsidRPr="0037590D">
        <w:rPr>
          <w:rFonts w:eastAsia="Times New Roman" w:cs="Times New Roman"/>
          <w:bCs w:val="0"/>
          <w:sz w:val="20"/>
          <w:lang w:bidi="ar-SA"/>
        </w:rPr>
        <w:t>Frage 4.3: Wie viele Sch</w:t>
      </w:r>
      <w:r w:rsidR="00BD2540">
        <w:rPr>
          <w:rFonts w:eastAsia="Times New Roman" w:cs="Times New Roman"/>
          <w:bCs w:val="0"/>
          <w:sz w:val="20"/>
          <w:lang w:bidi="ar-SA"/>
        </w:rPr>
        <w:t xml:space="preserve">üler mussten in den Jahren 2016 bis </w:t>
      </w:r>
      <w:r w:rsidRPr="0037590D">
        <w:rPr>
          <w:rFonts w:eastAsia="Times New Roman" w:cs="Times New Roman"/>
          <w:bCs w:val="0"/>
          <w:sz w:val="20"/>
          <w:lang w:bidi="ar-SA"/>
        </w:rPr>
        <w:t xml:space="preserve">2021 jeweils aus der Einführungsklasse an der BOS zurücktreten bzw. die BOS verlassen (bitte entsprechende Zahlen auch </w:t>
      </w:r>
      <w:r w:rsidR="00537EB9">
        <w:rPr>
          <w:rFonts w:eastAsia="Times New Roman" w:cs="Times New Roman"/>
          <w:bCs w:val="0"/>
          <w:sz w:val="20"/>
          <w:lang w:bidi="ar-SA"/>
        </w:rPr>
        <w:t>für die FOS-</w:t>
      </w:r>
      <w:r w:rsidR="00BD2540">
        <w:rPr>
          <w:rFonts w:eastAsia="Times New Roman" w:cs="Times New Roman"/>
          <w:bCs w:val="0"/>
          <w:sz w:val="20"/>
          <w:lang w:bidi="ar-SA"/>
        </w:rPr>
        <w:t xml:space="preserve">Vorklassen von 2016 bis </w:t>
      </w:r>
      <w:r w:rsidRPr="0037590D">
        <w:rPr>
          <w:rFonts w:eastAsia="Times New Roman" w:cs="Times New Roman"/>
          <w:bCs w:val="0"/>
          <w:sz w:val="20"/>
          <w:lang w:bidi="ar-SA"/>
        </w:rPr>
        <w:t>2021 auflisten)?</w:t>
      </w:r>
    </w:p>
    <w:p w:rsidR="00352140" w:rsidRPr="0037590D" w:rsidRDefault="00352140" w:rsidP="00D6673D">
      <w:pPr>
        <w:pStyle w:val="Textkrper"/>
        <w:spacing w:before="6"/>
        <w:ind w:left="340" w:right="-426"/>
        <w:jc w:val="both"/>
        <w:rPr>
          <w:rFonts w:eastAsia="Times New Roman" w:cs="Times New Roman"/>
          <w:sz w:val="20"/>
          <w:lang w:bidi="ar-SA"/>
        </w:rPr>
      </w:pPr>
    </w:p>
    <w:p w:rsidR="00352140" w:rsidRPr="0037590D" w:rsidRDefault="00352140" w:rsidP="00D86767">
      <w:pPr>
        <w:pStyle w:val="Textkrper"/>
        <w:ind w:left="340" w:right="-425"/>
        <w:jc w:val="both"/>
        <w:rPr>
          <w:rFonts w:eastAsia="Times New Roman" w:cs="Times New Roman"/>
          <w:sz w:val="20"/>
          <w:lang w:bidi="ar-SA"/>
        </w:rPr>
      </w:pPr>
      <w:r w:rsidRPr="0037590D">
        <w:rPr>
          <w:rFonts w:eastAsia="Times New Roman" w:cs="Times New Roman"/>
          <w:sz w:val="20"/>
          <w:lang w:bidi="ar-SA"/>
        </w:rPr>
        <w:t>Der nachfolgenden Tabelle 1 zu Frage 4.3 ist die Anzahl der Wiederholerinnen und Wiederholer der Vorklasse der Beruflichen Oberschulen in den Schuljahren 2016/2017 bis 2019/2020 zu entnehmen. Zu beach</w:t>
      </w:r>
      <w:r w:rsidR="00BD2540">
        <w:rPr>
          <w:rFonts w:eastAsia="Times New Roman" w:cs="Times New Roman"/>
          <w:sz w:val="20"/>
          <w:lang w:bidi="ar-SA"/>
        </w:rPr>
        <w:t>ten ist, dass der Grund der Wie</w:t>
      </w:r>
      <w:r w:rsidRPr="0037590D">
        <w:rPr>
          <w:rFonts w:eastAsia="Times New Roman" w:cs="Times New Roman"/>
          <w:sz w:val="20"/>
          <w:lang w:bidi="ar-SA"/>
        </w:rPr>
        <w:t>derholung nicht bekannt ist. Eine Differenzierung, ob die Vorklasse pflichtgemäß o</w:t>
      </w:r>
      <w:r w:rsidR="00BD2540">
        <w:rPr>
          <w:rFonts w:eastAsia="Times New Roman" w:cs="Times New Roman"/>
          <w:sz w:val="20"/>
          <w:lang w:bidi="ar-SA"/>
        </w:rPr>
        <w:t>der aus sonstigen Gründen (z. </w:t>
      </w:r>
      <w:r w:rsidRPr="0037590D">
        <w:rPr>
          <w:rFonts w:eastAsia="Times New Roman" w:cs="Times New Roman"/>
          <w:sz w:val="20"/>
          <w:lang w:bidi="ar-SA"/>
        </w:rPr>
        <w:t>B. freiwillig) wiederholt wurde, ist nicht möglich.</w:t>
      </w:r>
    </w:p>
    <w:p w:rsidR="00352140" w:rsidRDefault="00352140" w:rsidP="00D6673D">
      <w:pPr>
        <w:pStyle w:val="Textkrper"/>
        <w:ind w:left="340" w:right="-426"/>
        <w:jc w:val="both"/>
        <w:rPr>
          <w:sz w:val="20"/>
        </w:rPr>
      </w:pPr>
    </w:p>
    <w:p w:rsidR="00352140" w:rsidRPr="00D86767" w:rsidRDefault="00352140" w:rsidP="00D6673D">
      <w:pPr>
        <w:spacing w:before="1"/>
        <w:ind w:left="340" w:right="-426"/>
        <w:jc w:val="both"/>
        <w:rPr>
          <w:rFonts w:cs="Arial"/>
          <w:b/>
          <w:sz w:val="18"/>
        </w:rPr>
      </w:pPr>
      <w:r w:rsidRPr="00D86767">
        <w:rPr>
          <w:rFonts w:cs="Arial"/>
          <w:b/>
        </w:rPr>
        <w:t>Tabelle 1 zu 4.3. Wiederholer der Vorklasse der Beruflichen Oberschulen in den Schuljahren 2016/2017 bis 2019/2020</w:t>
      </w:r>
    </w:p>
    <w:p w:rsidR="00352140" w:rsidRPr="0037590D" w:rsidRDefault="00352140" w:rsidP="00D6673D">
      <w:pPr>
        <w:pStyle w:val="Textkrper"/>
        <w:spacing w:before="5"/>
        <w:ind w:left="340" w:right="-426"/>
        <w:jc w:val="both"/>
        <w:rPr>
          <w:b/>
          <w:sz w:val="2"/>
        </w:rPr>
      </w:pPr>
    </w:p>
    <w:tbl>
      <w:tblPr>
        <w:tblStyle w:val="TableNormal"/>
        <w:tblW w:w="0" w:type="auto"/>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9"/>
        <w:gridCol w:w="1569"/>
        <w:gridCol w:w="1570"/>
      </w:tblGrid>
      <w:tr w:rsidR="00352140" w:rsidRPr="0037590D" w:rsidTr="0037590D">
        <w:trPr>
          <w:trHeight w:val="339"/>
        </w:trPr>
        <w:tc>
          <w:tcPr>
            <w:tcW w:w="1569" w:type="dxa"/>
            <w:vMerge w:val="restart"/>
          </w:tcPr>
          <w:p w:rsidR="00352140" w:rsidRPr="0037590D" w:rsidRDefault="00352140" w:rsidP="00D6673D">
            <w:pPr>
              <w:pStyle w:val="TableParagraph"/>
              <w:spacing w:line="240" w:lineRule="auto"/>
              <w:ind w:left="340" w:right="-426"/>
              <w:jc w:val="both"/>
              <w:rPr>
                <w:rFonts w:ascii="Arial" w:hAnsi="Arial" w:cs="Arial"/>
                <w:b/>
                <w:sz w:val="12"/>
              </w:rPr>
            </w:pPr>
          </w:p>
          <w:p w:rsidR="00352140" w:rsidRPr="0037590D" w:rsidRDefault="00352140" w:rsidP="00D6673D">
            <w:pPr>
              <w:pStyle w:val="TableParagraph"/>
              <w:spacing w:line="240" w:lineRule="auto"/>
              <w:ind w:left="340" w:right="-426"/>
              <w:jc w:val="both"/>
              <w:rPr>
                <w:rFonts w:ascii="Arial" w:hAnsi="Arial" w:cs="Arial"/>
                <w:sz w:val="16"/>
              </w:rPr>
            </w:pPr>
            <w:r w:rsidRPr="0037590D">
              <w:rPr>
                <w:rFonts w:ascii="Arial" w:hAnsi="Arial" w:cs="Arial"/>
                <w:sz w:val="16"/>
              </w:rPr>
              <w:t>Schuljahr</w:t>
            </w:r>
          </w:p>
        </w:tc>
        <w:tc>
          <w:tcPr>
            <w:tcW w:w="3139" w:type="dxa"/>
            <w:gridSpan w:val="2"/>
          </w:tcPr>
          <w:p w:rsidR="00352140" w:rsidRPr="0037590D" w:rsidRDefault="00352140" w:rsidP="00D6673D">
            <w:pPr>
              <w:pStyle w:val="TableParagraph"/>
              <w:spacing w:before="25" w:line="240" w:lineRule="auto"/>
              <w:ind w:left="340" w:right="-426"/>
              <w:jc w:val="both"/>
              <w:rPr>
                <w:rFonts w:ascii="Arial" w:hAnsi="Arial" w:cs="Arial"/>
                <w:sz w:val="16"/>
              </w:rPr>
            </w:pPr>
            <w:r w:rsidRPr="0037590D">
              <w:rPr>
                <w:rFonts w:ascii="Arial" w:hAnsi="Arial" w:cs="Arial"/>
                <w:sz w:val="16"/>
              </w:rPr>
              <w:t>Wiederholer der Vorklasse der</w:t>
            </w:r>
          </w:p>
        </w:tc>
      </w:tr>
      <w:tr w:rsidR="00352140" w:rsidRPr="0037590D" w:rsidTr="0037590D">
        <w:trPr>
          <w:trHeight w:val="340"/>
        </w:trPr>
        <w:tc>
          <w:tcPr>
            <w:tcW w:w="1569" w:type="dxa"/>
            <w:vMerge/>
            <w:tcBorders>
              <w:top w:val="nil"/>
            </w:tcBorders>
          </w:tcPr>
          <w:p w:rsidR="00352140" w:rsidRPr="0037590D" w:rsidRDefault="00352140" w:rsidP="00D6673D">
            <w:pPr>
              <w:ind w:left="340" w:right="-426"/>
              <w:jc w:val="both"/>
              <w:rPr>
                <w:rFonts w:cs="Arial"/>
                <w:sz w:val="2"/>
                <w:szCs w:val="2"/>
              </w:rPr>
            </w:pPr>
          </w:p>
        </w:tc>
        <w:tc>
          <w:tcPr>
            <w:tcW w:w="1569" w:type="dxa"/>
          </w:tcPr>
          <w:p w:rsidR="00352140" w:rsidRPr="0037590D" w:rsidRDefault="00352140" w:rsidP="00D6673D">
            <w:pPr>
              <w:pStyle w:val="TableParagraph"/>
              <w:spacing w:before="34" w:line="240" w:lineRule="auto"/>
              <w:ind w:left="340" w:right="-426"/>
              <w:jc w:val="both"/>
              <w:rPr>
                <w:rFonts w:ascii="Arial" w:hAnsi="Arial" w:cs="Arial"/>
                <w:sz w:val="16"/>
              </w:rPr>
            </w:pPr>
            <w:r w:rsidRPr="0037590D">
              <w:rPr>
                <w:rFonts w:ascii="Arial" w:hAnsi="Arial" w:cs="Arial"/>
                <w:sz w:val="16"/>
              </w:rPr>
              <w:t>BOS</w:t>
            </w:r>
          </w:p>
        </w:tc>
        <w:tc>
          <w:tcPr>
            <w:tcW w:w="1570" w:type="dxa"/>
          </w:tcPr>
          <w:p w:rsidR="00352140" w:rsidRPr="0037590D" w:rsidRDefault="00352140" w:rsidP="00D6673D">
            <w:pPr>
              <w:pStyle w:val="TableParagraph"/>
              <w:spacing w:before="34" w:line="240" w:lineRule="auto"/>
              <w:ind w:left="340" w:right="-426"/>
              <w:jc w:val="both"/>
              <w:rPr>
                <w:rFonts w:ascii="Arial" w:hAnsi="Arial" w:cs="Arial"/>
                <w:sz w:val="16"/>
              </w:rPr>
            </w:pPr>
            <w:r w:rsidRPr="0037590D">
              <w:rPr>
                <w:rFonts w:ascii="Arial" w:hAnsi="Arial" w:cs="Arial"/>
                <w:sz w:val="16"/>
              </w:rPr>
              <w:t>FOS</w:t>
            </w:r>
          </w:p>
        </w:tc>
      </w:tr>
      <w:tr w:rsidR="00352140" w:rsidRPr="0037590D" w:rsidTr="0037590D">
        <w:trPr>
          <w:trHeight w:val="296"/>
        </w:trPr>
        <w:tc>
          <w:tcPr>
            <w:tcW w:w="1569" w:type="dxa"/>
            <w:tcBorders>
              <w:bottom w:val="nil"/>
            </w:tcBorders>
          </w:tcPr>
          <w:p w:rsidR="00352140" w:rsidRPr="0037590D" w:rsidRDefault="00352140" w:rsidP="00D6673D">
            <w:pPr>
              <w:pStyle w:val="TableParagraph"/>
              <w:spacing w:line="240" w:lineRule="auto"/>
              <w:ind w:left="340" w:right="-426"/>
              <w:jc w:val="both"/>
              <w:rPr>
                <w:rFonts w:ascii="Arial" w:hAnsi="Arial" w:cs="Arial"/>
                <w:sz w:val="16"/>
              </w:rPr>
            </w:pPr>
            <w:r w:rsidRPr="0037590D">
              <w:rPr>
                <w:rFonts w:ascii="Arial" w:hAnsi="Arial" w:cs="Arial"/>
                <w:sz w:val="16"/>
              </w:rPr>
              <w:t>2016/2017</w:t>
            </w:r>
          </w:p>
        </w:tc>
        <w:tc>
          <w:tcPr>
            <w:tcW w:w="1569" w:type="dxa"/>
            <w:tcBorders>
              <w:bottom w:val="nil"/>
            </w:tcBorders>
          </w:tcPr>
          <w:p w:rsidR="00352140" w:rsidRPr="0037590D" w:rsidRDefault="00352140" w:rsidP="00D6673D">
            <w:pPr>
              <w:pStyle w:val="TableParagraph"/>
              <w:spacing w:line="240" w:lineRule="auto"/>
              <w:ind w:left="340" w:right="-426"/>
              <w:jc w:val="both"/>
              <w:rPr>
                <w:rFonts w:ascii="Arial" w:hAnsi="Arial" w:cs="Arial"/>
                <w:sz w:val="16"/>
              </w:rPr>
            </w:pPr>
            <w:r w:rsidRPr="0037590D">
              <w:rPr>
                <w:rFonts w:ascii="Arial" w:hAnsi="Arial" w:cs="Arial"/>
                <w:sz w:val="16"/>
              </w:rPr>
              <w:t>18</w:t>
            </w:r>
          </w:p>
        </w:tc>
        <w:tc>
          <w:tcPr>
            <w:tcW w:w="1570" w:type="dxa"/>
            <w:tcBorders>
              <w:bottom w:val="nil"/>
            </w:tcBorders>
          </w:tcPr>
          <w:p w:rsidR="00352140" w:rsidRPr="0037590D" w:rsidRDefault="00352140" w:rsidP="00D6673D">
            <w:pPr>
              <w:pStyle w:val="TableParagraph"/>
              <w:spacing w:line="240" w:lineRule="auto"/>
              <w:ind w:left="340" w:right="-426"/>
              <w:jc w:val="both"/>
              <w:rPr>
                <w:rFonts w:ascii="Arial" w:hAnsi="Arial" w:cs="Arial"/>
                <w:sz w:val="16"/>
              </w:rPr>
            </w:pPr>
            <w:r w:rsidRPr="0037590D">
              <w:rPr>
                <w:rFonts w:ascii="Arial" w:hAnsi="Arial" w:cs="Arial"/>
                <w:sz w:val="16"/>
              </w:rPr>
              <w:t>5</w:t>
            </w:r>
          </w:p>
        </w:tc>
      </w:tr>
      <w:tr w:rsidR="00352140" w:rsidRPr="0037590D" w:rsidTr="0037590D">
        <w:trPr>
          <w:trHeight w:val="287"/>
        </w:trPr>
        <w:tc>
          <w:tcPr>
            <w:tcW w:w="1569" w:type="dxa"/>
            <w:tcBorders>
              <w:top w:val="nil"/>
              <w:bottom w:val="nil"/>
            </w:tcBorders>
          </w:tcPr>
          <w:p w:rsidR="00352140" w:rsidRPr="0037590D" w:rsidRDefault="00352140" w:rsidP="00D6673D">
            <w:pPr>
              <w:pStyle w:val="TableParagraph"/>
              <w:spacing w:line="240" w:lineRule="auto"/>
              <w:ind w:left="340" w:right="-426"/>
              <w:jc w:val="both"/>
              <w:rPr>
                <w:rFonts w:ascii="Arial" w:hAnsi="Arial" w:cs="Arial"/>
                <w:sz w:val="16"/>
              </w:rPr>
            </w:pPr>
            <w:r w:rsidRPr="0037590D">
              <w:rPr>
                <w:rFonts w:ascii="Arial" w:hAnsi="Arial" w:cs="Arial"/>
                <w:sz w:val="16"/>
              </w:rPr>
              <w:t>2017/2018</w:t>
            </w:r>
          </w:p>
        </w:tc>
        <w:tc>
          <w:tcPr>
            <w:tcW w:w="1569" w:type="dxa"/>
            <w:tcBorders>
              <w:top w:val="nil"/>
              <w:bottom w:val="nil"/>
            </w:tcBorders>
          </w:tcPr>
          <w:p w:rsidR="00352140" w:rsidRPr="0037590D" w:rsidRDefault="00352140" w:rsidP="00D6673D">
            <w:pPr>
              <w:pStyle w:val="TableParagraph"/>
              <w:spacing w:line="240" w:lineRule="auto"/>
              <w:ind w:left="340" w:right="-426"/>
              <w:jc w:val="both"/>
              <w:rPr>
                <w:rFonts w:ascii="Arial" w:hAnsi="Arial" w:cs="Arial"/>
                <w:sz w:val="16"/>
              </w:rPr>
            </w:pPr>
            <w:r w:rsidRPr="0037590D">
              <w:rPr>
                <w:rFonts w:ascii="Arial" w:hAnsi="Arial" w:cs="Arial"/>
                <w:sz w:val="16"/>
              </w:rPr>
              <w:t>18</w:t>
            </w:r>
          </w:p>
        </w:tc>
        <w:tc>
          <w:tcPr>
            <w:tcW w:w="1570" w:type="dxa"/>
            <w:tcBorders>
              <w:top w:val="nil"/>
              <w:bottom w:val="nil"/>
            </w:tcBorders>
          </w:tcPr>
          <w:p w:rsidR="00352140" w:rsidRPr="0037590D" w:rsidRDefault="00352140" w:rsidP="00D6673D">
            <w:pPr>
              <w:pStyle w:val="TableParagraph"/>
              <w:spacing w:line="240" w:lineRule="auto"/>
              <w:ind w:left="340" w:right="-426"/>
              <w:jc w:val="both"/>
              <w:rPr>
                <w:rFonts w:ascii="Arial" w:hAnsi="Arial" w:cs="Arial"/>
                <w:sz w:val="16"/>
              </w:rPr>
            </w:pPr>
            <w:r w:rsidRPr="0037590D">
              <w:rPr>
                <w:rFonts w:ascii="Arial" w:hAnsi="Arial" w:cs="Arial"/>
                <w:sz w:val="16"/>
              </w:rPr>
              <w:t>9</w:t>
            </w:r>
          </w:p>
        </w:tc>
      </w:tr>
      <w:tr w:rsidR="00352140" w:rsidRPr="0037590D" w:rsidTr="0037590D">
        <w:trPr>
          <w:trHeight w:val="287"/>
        </w:trPr>
        <w:tc>
          <w:tcPr>
            <w:tcW w:w="1569" w:type="dxa"/>
            <w:tcBorders>
              <w:top w:val="nil"/>
              <w:bottom w:val="nil"/>
            </w:tcBorders>
          </w:tcPr>
          <w:p w:rsidR="00352140" w:rsidRPr="0037590D" w:rsidRDefault="00352140" w:rsidP="00D6673D">
            <w:pPr>
              <w:pStyle w:val="TableParagraph"/>
              <w:spacing w:line="240" w:lineRule="auto"/>
              <w:ind w:left="340" w:right="-426"/>
              <w:jc w:val="both"/>
              <w:rPr>
                <w:rFonts w:ascii="Arial" w:hAnsi="Arial" w:cs="Arial"/>
                <w:sz w:val="16"/>
              </w:rPr>
            </w:pPr>
            <w:r w:rsidRPr="0037590D">
              <w:rPr>
                <w:rFonts w:ascii="Arial" w:hAnsi="Arial" w:cs="Arial"/>
                <w:sz w:val="16"/>
              </w:rPr>
              <w:t>2018/2019</w:t>
            </w:r>
          </w:p>
        </w:tc>
        <w:tc>
          <w:tcPr>
            <w:tcW w:w="1569" w:type="dxa"/>
            <w:tcBorders>
              <w:top w:val="nil"/>
              <w:bottom w:val="nil"/>
            </w:tcBorders>
          </w:tcPr>
          <w:p w:rsidR="00352140" w:rsidRPr="0037590D" w:rsidRDefault="00352140" w:rsidP="00D6673D">
            <w:pPr>
              <w:pStyle w:val="TableParagraph"/>
              <w:spacing w:line="240" w:lineRule="auto"/>
              <w:ind w:left="340" w:right="-426"/>
              <w:jc w:val="both"/>
              <w:rPr>
                <w:rFonts w:ascii="Arial" w:hAnsi="Arial" w:cs="Arial"/>
                <w:sz w:val="16"/>
              </w:rPr>
            </w:pPr>
            <w:r w:rsidRPr="0037590D">
              <w:rPr>
                <w:rFonts w:ascii="Arial" w:hAnsi="Arial" w:cs="Arial"/>
                <w:sz w:val="16"/>
              </w:rPr>
              <w:t>28</w:t>
            </w:r>
          </w:p>
        </w:tc>
        <w:tc>
          <w:tcPr>
            <w:tcW w:w="1570" w:type="dxa"/>
            <w:tcBorders>
              <w:top w:val="nil"/>
              <w:bottom w:val="nil"/>
            </w:tcBorders>
          </w:tcPr>
          <w:p w:rsidR="00352140" w:rsidRPr="0037590D" w:rsidRDefault="00352140" w:rsidP="00D6673D">
            <w:pPr>
              <w:pStyle w:val="TableParagraph"/>
              <w:spacing w:line="240" w:lineRule="auto"/>
              <w:ind w:left="340" w:right="-426"/>
              <w:jc w:val="both"/>
              <w:rPr>
                <w:rFonts w:ascii="Arial" w:hAnsi="Arial" w:cs="Arial"/>
                <w:sz w:val="16"/>
              </w:rPr>
            </w:pPr>
            <w:r w:rsidRPr="0037590D">
              <w:rPr>
                <w:rFonts w:ascii="Arial" w:hAnsi="Arial" w:cs="Arial"/>
                <w:sz w:val="16"/>
              </w:rPr>
              <w:t>12</w:t>
            </w:r>
          </w:p>
        </w:tc>
      </w:tr>
      <w:tr w:rsidR="00352140" w:rsidRPr="0037590D" w:rsidTr="0037590D">
        <w:trPr>
          <w:trHeight w:val="258"/>
        </w:trPr>
        <w:tc>
          <w:tcPr>
            <w:tcW w:w="1569" w:type="dxa"/>
            <w:tcBorders>
              <w:top w:val="nil"/>
            </w:tcBorders>
          </w:tcPr>
          <w:p w:rsidR="00352140" w:rsidRPr="0037590D" w:rsidRDefault="00352140" w:rsidP="00D6673D">
            <w:pPr>
              <w:pStyle w:val="TableParagraph"/>
              <w:spacing w:line="240" w:lineRule="auto"/>
              <w:ind w:left="340" w:right="-426"/>
              <w:jc w:val="both"/>
              <w:rPr>
                <w:rFonts w:ascii="Arial" w:hAnsi="Arial" w:cs="Arial"/>
                <w:sz w:val="16"/>
              </w:rPr>
            </w:pPr>
            <w:r w:rsidRPr="0037590D">
              <w:rPr>
                <w:rFonts w:ascii="Arial" w:hAnsi="Arial" w:cs="Arial"/>
                <w:sz w:val="16"/>
              </w:rPr>
              <w:t>2019/2020</w:t>
            </w:r>
          </w:p>
        </w:tc>
        <w:tc>
          <w:tcPr>
            <w:tcW w:w="1569" w:type="dxa"/>
            <w:tcBorders>
              <w:top w:val="nil"/>
            </w:tcBorders>
          </w:tcPr>
          <w:p w:rsidR="00352140" w:rsidRPr="0037590D" w:rsidRDefault="00352140" w:rsidP="00D6673D">
            <w:pPr>
              <w:pStyle w:val="TableParagraph"/>
              <w:spacing w:line="240" w:lineRule="auto"/>
              <w:ind w:left="340" w:right="-426"/>
              <w:jc w:val="both"/>
              <w:rPr>
                <w:rFonts w:ascii="Arial" w:hAnsi="Arial" w:cs="Arial"/>
                <w:sz w:val="16"/>
              </w:rPr>
            </w:pPr>
            <w:r w:rsidRPr="0037590D">
              <w:rPr>
                <w:rFonts w:ascii="Arial" w:hAnsi="Arial" w:cs="Arial"/>
                <w:sz w:val="16"/>
              </w:rPr>
              <w:t>23</w:t>
            </w:r>
          </w:p>
        </w:tc>
        <w:tc>
          <w:tcPr>
            <w:tcW w:w="1570" w:type="dxa"/>
            <w:tcBorders>
              <w:top w:val="nil"/>
            </w:tcBorders>
          </w:tcPr>
          <w:p w:rsidR="00352140" w:rsidRPr="0037590D" w:rsidRDefault="00352140" w:rsidP="00D6673D">
            <w:pPr>
              <w:pStyle w:val="TableParagraph"/>
              <w:spacing w:line="240" w:lineRule="auto"/>
              <w:ind w:left="340" w:right="-426"/>
              <w:jc w:val="both"/>
              <w:rPr>
                <w:rFonts w:ascii="Arial" w:hAnsi="Arial" w:cs="Arial"/>
                <w:sz w:val="16"/>
              </w:rPr>
            </w:pPr>
            <w:r w:rsidRPr="0037590D">
              <w:rPr>
                <w:rFonts w:ascii="Arial" w:hAnsi="Arial" w:cs="Arial"/>
                <w:sz w:val="16"/>
              </w:rPr>
              <w:t>9</w:t>
            </w:r>
          </w:p>
        </w:tc>
      </w:tr>
    </w:tbl>
    <w:p w:rsidR="00D86767" w:rsidRDefault="00D86767" w:rsidP="00D6673D">
      <w:pPr>
        <w:pStyle w:val="Textkrper"/>
        <w:ind w:left="340" w:right="-426"/>
        <w:jc w:val="both"/>
        <w:rPr>
          <w:rFonts w:eastAsia="Times New Roman" w:cs="Times New Roman"/>
          <w:sz w:val="20"/>
          <w:lang w:bidi="ar-SA"/>
        </w:rPr>
      </w:pPr>
    </w:p>
    <w:p w:rsidR="00352140" w:rsidRPr="0037590D" w:rsidRDefault="00352140" w:rsidP="00D6673D">
      <w:pPr>
        <w:pStyle w:val="Textkrper"/>
        <w:ind w:left="340" w:right="-426"/>
        <w:jc w:val="both"/>
        <w:rPr>
          <w:rFonts w:eastAsia="Times New Roman" w:cs="Times New Roman"/>
          <w:sz w:val="20"/>
          <w:lang w:bidi="ar-SA"/>
        </w:rPr>
      </w:pPr>
      <w:r w:rsidRPr="0037590D">
        <w:rPr>
          <w:rFonts w:eastAsia="Times New Roman" w:cs="Times New Roman"/>
          <w:sz w:val="20"/>
          <w:lang w:bidi="ar-SA"/>
        </w:rPr>
        <w:t>Für das Schuljahr 2020/2021 liegen noch keine am</w:t>
      </w:r>
      <w:r w:rsidR="00BD2540">
        <w:rPr>
          <w:rFonts w:eastAsia="Times New Roman" w:cs="Times New Roman"/>
          <w:sz w:val="20"/>
          <w:lang w:bidi="ar-SA"/>
        </w:rPr>
        <w:t>tlichen Daten zu den Schülerin</w:t>
      </w:r>
      <w:r w:rsidRPr="0037590D">
        <w:rPr>
          <w:rFonts w:eastAsia="Times New Roman" w:cs="Times New Roman"/>
          <w:sz w:val="20"/>
          <w:lang w:bidi="ar-SA"/>
        </w:rPr>
        <w:t>nen und Schülern der Beruflichen Oberschulen vor.</w:t>
      </w:r>
    </w:p>
    <w:p w:rsidR="00352140" w:rsidRPr="0037590D" w:rsidRDefault="00BD2540" w:rsidP="00D6673D">
      <w:pPr>
        <w:pStyle w:val="Textkrper"/>
        <w:tabs>
          <w:tab w:val="left" w:pos="4928"/>
        </w:tabs>
        <w:spacing w:before="28"/>
        <w:ind w:left="340" w:right="-426"/>
        <w:jc w:val="both"/>
        <w:rPr>
          <w:rFonts w:eastAsia="Times New Roman" w:cs="Times New Roman"/>
          <w:sz w:val="20"/>
          <w:lang w:bidi="ar-SA"/>
        </w:rPr>
      </w:pPr>
      <w:r>
        <w:rPr>
          <w:rFonts w:eastAsia="Times New Roman" w:cs="Times New Roman"/>
          <w:sz w:val="20"/>
          <w:lang w:bidi="ar-SA"/>
        </w:rPr>
        <w:t>Im</w:t>
      </w:r>
      <w:r w:rsidR="00352140" w:rsidRPr="0037590D">
        <w:rPr>
          <w:rFonts w:eastAsia="Times New Roman" w:cs="Times New Roman"/>
          <w:sz w:val="20"/>
          <w:lang w:bidi="ar-SA"/>
        </w:rPr>
        <w:t xml:space="preserve"> </w:t>
      </w:r>
      <w:r>
        <w:rPr>
          <w:rFonts w:eastAsia="Times New Roman" w:cs="Times New Roman"/>
          <w:sz w:val="20"/>
          <w:lang w:bidi="ar-SA"/>
        </w:rPr>
        <w:t xml:space="preserve">Rahmen des Verfahrens „Amtliche </w:t>
      </w:r>
      <w:r w:rsidR="00352140" w:rsidRPr="0037590D">
        <w:rPr>
          <w:rFonts w:eastAsia="Times New Roman" w:cs="Times New Roman"/>
          <w:sz w:val="20"/>
          <w:lang w:bidi="ar-SA"/>
        </w:rPr>
        <w:t>Schuldaten“ werden an den beruflichen Sch</w:t>
      </w:r>
      <w:r>
        <w:rPr>
          <w:rFonts w:eastAsia="Times New Roman" w:cs="Times New Roman"/>
          <w:sz w:val="20"/>
          <w:lang w:bidi="ar-SA"/>
        </w:rPr>
        <w:t xml:space="preserve">ulen jährlich zum Stichtag 20. Oktober Informationen über die </w:t>
      </w:r>
      <w:r w:rsidR="00352140" w:rsidRPr="0037590D">
        <w:rPr>
          <w:rFonts w:eastAsia="Times New Roman" w:cs="Times New Roman"/>
          <w:sz w:val="20"/>
          <w:lang w:bidi="ar-SA"/>
        </w:rPr>
        <w:t>Abgängerinnen und Abgänger des vorangegangenen Schuljahres erhoben. Informationen über den genauen Zeitpunkt der Abgänge der einzelnen Schülerinnen und Schüler liegen nicht vor.</w:t>
      </w:r>
    </w:p>
    <w:p w:rsidR="00352140" w:rsidRPr="0037590D" w:rsidRDefault="00352140" w:rsidP="00D6673D">
      <w:pPr>
        <w:pStyle w:val="Textkrper"/>
        <w:spacing w:before="10"/>
        <w:ind w:left="340" w:right="-426"/>
        <w:jc w:val="both"/>
        <w:rPr>
          <w:rFonts w:eastAsia="Times New Roman" w:cs="Times New Roman"/>
          <w:sz w:val="20"/>
          <w:lang w:bidi="ar-SA"/>
        </w:rPr>
      </w:pPr>
      <w:r w:rsidRPr="0037590D">
        <w:rPr>
          <w:rFonts w:eastAsia="Times New Roman" w:cs="Times New Roman"/>
          <w:sz w:val="20"/>
          <w:lang w:bidi="ar-SA"/>
        </w:rPr>
        <w:t>Zu beachten ist, dass die jeweiligen Gr</w:t>
      </w:r>
      <w:r w:rsidR="00BD2540">
        <w:rPr>
          <w:rFonts w:eastAsia="Times New Roman" w:cs="Times New Roman"/>
          <w:sz w:val="20"/>
          <w:lang w:bidi="ar-SA"/>
        </w:rPr>
        <w:t>ünde für die einzelnen Abgänge aus Vorklas</w:t>
      </w:r>
      <w:r w:rsidRPr="0037590D">
        <w:rPr>
          <w:rFonts w:eastAsia="Times New Roman" w:cs="Times New Roman"/>
          <w:sz w:val="20"/>
          <w:lang w:bidi="ar-SA"/>
        </w:rPr>
        <w:t>sen der Beruflichen Oberschulen nicht bekannt sind. I</w:t>
      </w:r>
      <w:r w:rsidR="00BD2540">
        <w:rPr>
          <w:rFonts w:eastAsia="Times New Roman" w:cs="Times New Roman"/>
          <w:sz w:val="20"/>
          <w:lang w:bidi="ar-SA"/>
        </w:rPr>
        <w:t>nsbesondere ist keine Differen</w:t>
      </w:r>
      <w:r w:rsidRPr="0037590D">
        <w:rPr>
          <w:rFonts w:eastAsia="Times New Roman" w:cs="Times New Roman"/>
          <w:sz w:val="20"/>
          <w:lang w:bidi="ar-SA"/>
        </w:rPr>
        <w:t>zierung danach möglich, ob es sich bei einem Abgang um einen Abbruch bzw. eine Unt</w:t>
      </w:r>
      <w:r w:rsidR="00BD2540">
        <w:rPr>
          <w:rFonts w:eastAsia="Times New Roman" w:cs="Times New Roman"/>
          <w:sz w:val="20"/>
          <w:lang w:bidi="ar-SA"/>
        </w:rPr>
        <w:t xml:space="preserve">erbrechung der Schulausbildung oder um einen </w:t>
      </w:r>
      <w:r w:rsidRPr="0037590D">
        <w:rPr>
          <w:rFonts w:eastAsia="Times New Roman" w:cs="Times New Roman"/>
          <w:sz w:val="20"/>
          <w:lang w:bidi="ar-SA"/>
        </w:rPr>
        <w:t>Schulwechsel mit Fortsetzung der Ausbildung an einer anderen Schule handelt. Auch ist keine Aussage möglich, ob ein Abgang freiwillig oder zwangsweise erfolgte.</w:t>
      </w:r>
    </w:p>
    <w:p w:rsidR="00352140" w:rsidRDefault="00352140" w:rsidP="00D6673D">
      <w:pPr>
        <w:pStyle w:val="Textkrper"/>
        <w:ind w:left="340" w:right="-426"/>
        <w:jc w:val="both"/>
        <w:rPr>
          <w:rFonts w:eastAsia="Times New Roman" w:cs="Times New Roman"/>
          <w:sz w:val="20"/>
          <w:lang w:bidi="ar-SA"/>
        </w:rPr>
      </w:pPr>
      <w:r w:rsidRPr="0037590D">
        <w:rPr>
          <w:rFonts w:eastAsia="Times New Roman" w:cs="Times New Roman"/>
          <w:sz w:val="20"/>
          <w:lang w:bidi="ar-SA"/>
        </w:rPr>
        <w:t>In der nachfolgenden Tabelle 2 zu Frage 4.3 ist die</w:t>
      </w:r>
      <w:r w:rsidR="00BD2540">
        <w:rPr>
          <w:rFonts w:eastAsia="Times New Roman" w:cs="Times New Roman"/>
          <w:sz w:val="20"/>
          <w:lang w:bidi="ar-SA"/>
        </w:rPr>
        <w:t xml:space="preserve"> Anzahl der Abgänge aus der Vor</w:t>
      </w:r>
      <w:r w:rsidRPr="0037590D">
        <w:rPr>
          <w:rFonts w:eastAsia="Times New Roman" w:cs="Times New Roman"/>
          <w:sz w:val="20"/>
          <w:lang w:bidi="ar-SA"/>
        </w:rPr>
        <w:t>klasse der Beruflichen Oberschulen in den Schuljahren 2015/2016 bis 2018/2019 dargestellt.</w:t>
      </w:r>
    </w:p>
    <w:p w:rsidR="00D86767" w:rsidRPr="0037590D" w:rsidRDefault="00D86767" w:rsidP="00D6673D">
      <w:pPr>
        <w:pStyle w:val="Textkrper"/>
        <w:ind w:left="340" w:right="-426"/>
        <w:jc w:val="both"/>
        <w:rPr>
          <w:rFonts w:eastAsia="Times New Roman" w:cs="Times New Roman"/>
          <w:sz w:val="20"/>
          <w:lang w:bidi="ar-SA"/>
        </w:rPr>
      </w:pPr>
    </w:p>
    <w:p w:rsidR="007B6F46" w:rsidRDefault="007B6F46">
      <w:pPr>
        <w:rPr>
          <w:rFonts w:cs="Arial"/>
          <w:b/>
        </w:rPr>
      </w:pPr>
      <w:r>
        <w:rPr>
          <w:rFonts w:cs="Arial"/>
          <w:b/>
        </w:rPr>
        <w:br w:type="page"/>
      </w:r>
    </w:p>
    <w:p w:rsidR="00352140" w:rsidRPr="00D86767" w:rsidRDefault="00352140" w:rsidP="00D6673D">
      <w:pPr>
        <w:spacing w:before="53" w:after="59"/>
        <w:ind w:left="340" w:right="-426"/>
        <w:jc w:val="both"/>
        <w:rPr>
          <w:rFonts w:cs="Arial"/>
          <w:b/>
          <w:sz w:val="18"/>
        </w:rPr>
      </w:pPr>
      <w:r w:rsidRPr="00D86767">
        <w:rPr>
          <w:rFonts w:cs="Arial"/>
          <w:b/>
        </w:rPr>
        <w:lastRenderedPageBreak/>
        <w:t>Tabelle 2 zu 4.3. Abgänge aus der Vorklasse der Beruflichen Oberschulen in den Schuljahren 2015/2016 bis 2018/2019</w:t>
      </w:r>
    </w:p>
    <w:tbl>
      <w:tblPr>
        <w:tblStyle w:val="TableNormal"/>
        <w:tblW w:w="0" w:type="auto"/>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9"/>
        <w:gridCol w:w="1569"/>
        <w:gridCol w:w="1570"/>
      </w:tblGrid>
      <w:tr w:rsidR="00352140" w:rsidTr="0037590D">
        <w:trPr>
          <w:trHeight w:val="340"/>
        </w:trPr>
        <w:tc>
          <w:tcPr>
            <w:tcW w:w="1569" w:type="dxa"/>
            <w:vMerge w:val="restart"/>
          </w:tcPr>
          <w:p w:rsidR="00352140" w:rsidRPr="0037590D" w:rsidRDefault="00352140" w:rsidP="00D6673D">
            <w:pPr>
              <w:pStyle w:val="TableParagraph"/>
              <w:spacing w:line="240" w:lineRule="auto"/>
              <w:ind w:left="340" w:right="-426"/>
              <w:jc w:val="both"/>
              <w:rPr>
                <w:rFonts w:ascii="Arial" w:hAnsi="Arial" w:cs="Arial"/>
                <w:b/>
                <w:sz w:val="16"/>
                <w:szCs w:val="16"/>
              </w:rPr>
            </w:pPr>
          </w:p>
          <w:p w:rsidR="00352140" w:rsidRPr="0037590D" w:rsidRDefault="00352140" w:rsidP="00D6673D">
            <w:pPr>
              <w:pStyle w:val="TableParagraph"/>
              <w:spacing w:line="240" w:lineRule="auto"/>
              <w:ind w:left="340" w:right="-426"/>
              <w:jc w:val="both"/>
              <w:rPr>
                <w:rFonts w:ascii="Arial" w:hAnsi="Arial" w:cs="Arial"/>
                <w:sz w:val="16"/>
                <w:szCs w:val="16"/>
              </w:rPr>
            </w:pPr>
            <w:r w:rsidRPr="0037590D">
              <w:rPr>
                <w:rFonts w:ascii="Arial" w:hAnsi="Arial" w:cs="Arial"/>
                <w:sz w:val="16"/>
                <w:szCs w:val="16"/>
              </w:rPr>
              <w:t>Schuljahr</w:t>
            </w:r>
          </w:p>
        </w:tc>
        <w:tc>
          <w:tcPr>
            <w:tcW w:w="3139" w:type="dxa"/>
            <w:gridSpan w:val="2"/>
          </w:tcPr>
          <w:p w:rsidR="00352140" w:rsidRPr="0037590D" w:rsidRDefault="00352140" w:rsidP="00D6673D">
            <w:pPr>
              <w:pStyle w:val="TableParagraph"/>
              <w:spacing w:before="25" w:line="240" w:lineRule="auto"/>
              <w:ind w:left="340" w:right="-426"/>
              <w:jc w:val="both"/>
              <w:rPr>
                <w:rFonts w:ascii="Arial" w:hAnsi="Arial" w:cs="Arial"/>
                <w:sz w:val="16"/>
                <w:szCs w:val="16"/>
              </w:rPr>
            </w:pPr>
            <w:r w:rsidRPr="0037590D">
              <w:rPr>
                <w:rFonts w:ascii="Arial" w:hAnsi="Arial" w:cs="Arial"/>
                <w:sz w:val="16"/>
                <w:szCs w:val="16"/>
              </w:rPr>
              <w:t>Abgänge aus der Vorklasse der</w:t>
            </w:r>
          </w:p>
        </w:tc>
      </w:tr>
      <w:tr w:rsidR="00352140" w:rsidTr="0037590D">
        <w:trPr>
          <w:trHeight w:val="340"/>
        </w:trPr>
        <w:tc>
          <w:tcPr>
            <w:tcW w:w="1569" w:type="dxa"/>
            <w:vMerge/>
            <w:tcBorders>
              <w:top w:val="nil"/>
            </w:tcBorders>
          </w:tcPr>
          <w:p w:rsidR="00352140" w:rsidRPr="0037590D" w:rsidRDefault="00352140" w:rsidP="00D6673D">
            <w:pPr>
              <w:ind w:left="340" w:right="-426"/>
              <w:jc w:val="both"/>
              <w:rPr>
                <w:rFonts w:cs="Arial"/>
                <w:sz w:val="16"/>
                <w:szCs w:val="16"/>
              </w:rPr>
            </w:pPr>
          </w:p>
        </w:tc>
        <w:tc>
          <w:tcPr>
            <w:tcW w:w="1569" w:type="dxa"/>
          </w:tcPr>
          <w:p w:rsidR="00352140" w:rsidRPr="0037590D" w:rsidRDefault="00352140" w:rsidP="00D6673D">
            <w:pPr>
              <w:pStyle w:val="TableParagraph"/>
              <w:spacing w:before="35" w:line="240" w:lineRule="auto"/>
              <w:ind w:left="340" w:right="-426"/>
              <w:jc w:val="both"/>
              <w:rPr>
                <w:rFonts w:ascii="Arial" w:hAnsi="Arial" w:cs="Arial"/>
                <w:sz w:val="16"/>
                <w:szCs w:val="16"/>
              </w:rPr>
            </w:pPr>
            <w:r w:rsidRPr="0037590D">
              <w:rPr>
                <w:rFonts w:ascii="Arial" w:hAnsi="Arial" w:cs="Arial"/>
                <w:sz w:val="16"/>
                <w:szCs w:val="16"/>
              </w:rPr>
              <w:t>BOS</w:t>
            </w:r>
          </w:p>
        </w:tc>
        <w:tc>
          <w:tcPr>
            <w:tcW w:w="1570" w:type="dxa"/>
          </w:tcPr>
          <w:p w:rsidR="00352140" w:rsidRPr="0037590D" w:rsidRDefault="00352140" w:rsidP="00D6673D">
            <w:pPr>
              <w:pStyle w:val="TableParagraph"/>
              <w:spacing w:before="35" w:line="240" w:lineRule="auto"/>
              <w:ind w:left="340" w:right="-426"/>
              <w:jc w:val="both"/>
              <w:rPr>
                <w:rFonts w:ascii="Arial" w:hAnsi="Arial" w:cs="Arial"/>
                <w:sz w:val="16"/>
                <w:szCs w:val="16"/>
              </w:rPr>
            </w:pPr>
            <w:r w:rsidRPr="0037590D">
              <w:rPr>
                <w:rFonts w:ascii="Arial" w:hAnsi="Arial" w:cs="Arial"/>
                <w:sz w:val="16"/>
                <w:szCs w:val="16"/>
              </w:rPr>
              <w:t>FOS</w:t>
            </w:r>
          </w:p>
        </w:tc>
      </w:tr>
      <w:tr w:rsidR="00352140" w:rsidTr="0037590D">
        <w:trPr>
          <w:trHeight w:val="297"/>
        </w:trPr>
        <w:tc>
          <w:tcPr>
            <w:tcW w:w="1569" w:type="dxa"/>
            <w:tcBorders>
              <w:bottom w:val="nil"/>
            </w:tcBorders>
          </w:tcPr>
          <w:p w:rsidR="00352140" w:rsidRPr="0037590D" w:rsidRDefault="00352140" w:rsidP="00D6673D">
            <w:pPr>
              <w:pStyle w:val="TableParagraph"/>
              <w:spacing w:line="240" w:lineRule="auto"/>
              <w:ind w:left="340" w:right="-426"/>
              <w:jc w:val="both"/>
              <w:rPr>
                <w:rFonts w:ascii="Arial" w:hAnsi="Arial" w:cs="Arial"/>
                <w:sz w:val="16"/>
                <w:szCs w:val="16"/>
              </w:rPr>
            </w:pPr>
            <w:r w:rsidRPr="0037590D">
              <w:rPr>
                <w:rFonts w:ascii="Arial" w:hAnsi="Arial" w:cs="Arial"/>
                <w:sz w:val="16"/>
                <w:szCs w:val="16"/>
              </w:rPr>
              <w:t>2015/2016</w:t>
            </w:r>
          </w:p>
        </w:tc>
        <w:tc>
          <w:tcPr>
            <w:tcW w:w="1569" w:type="dxa"/>
            <w:tcBorders>
              <w:bottom w:val="nil"/>
            </w:tcBorders>
          </w:tcPr>
          <w:p w:rsidR="00352140" w:rsidRPr="0037590D" w:rsidRDefault="00352140" w:rsidP="00D6673D">
            <w:pPr>
              <w:pStyle w:val="TableParagraph"/>
              <w:spacing w:before="2" w:line="240" w:lineRule="auto"/>
              <w:ind w:left="340" w:right="-426"/>
              <w:jc w:val="both"/>
              <w:rPr>
                <w:rFonts w:ascii="Arial" w:hAnsi="Arial" w:cs="Arial"/>
                <w:sz w:val="16"/>
                <w:szCs w:val="16"/>
              </w:rPr>
            </w:pPr>
            <w:r w:rsidRPr="0037590D">
              <w:rPr>
                <w:rFonts w:ascii="Arial" w:hAnsi="Arial" w:cs="Arial"/>
                <w:sz w:val="16"/>
                <w:szCs w:val="16"/>
              </w:rPr>
              <w:t>867</w:t>
            </w:r>
          </w:p>
        </w:tc>
        <w:tc>
          <w:tcPr>
            <w:tcW w:w="1570" w:type="dxa"/>
            <w:tcBorders>
              <w:bottom w:val="nil"/>
            </w:tcBorders>
          </w:tcPr>
          <w:p w:rsidR="00352140" w:rsidRPr="0037590D" w:rsidRDefault="00352140" w:rsidP="00D6673D">
            <w:pPr>
              <w:pStyle w:val="TableParagraph"/>
              <w:spacing w:before="2" w:line="240" w:lineRule="auto"/>
              <w:ind w:left="340" w:right="-426"/>
              <w:jc w:val="both"/>
              <w:rPr>
                <w:rFonts w:ascii="Arial" w:hAnsi="Arial" w:cs="Arial"/>
                <w:sz w:val="16"/>
                <w:szCs w:val="16"/>
              </w:rPr>
            </w:pPr>
            <w:r w:rsidRPr="0037590D">
              <w:rPr>
                <w:rFonts w:ascii="Arial" w:hAnsi="Arial" w:cs="Arial"/>
                <w:sz w:val="16"/>
                <w:szCs w:val="16"/>
              </w:rPr>
              <w:t>516</w:t>
            </w:r>
          </w:p>
        </w:tc>
      </w:tr>
      <w:tr w:rsidR="00352140" w:rsidTr="0037590D">
        <w:trPr>
          <w:trHeight w:val="288"/>
        </w:trPr>
        <w:tc>
          <w:tcPr>
            <w:tcW w:w="1569" w:type="dxa"/>
            <w:tcBorders>
              <w:top w:val="nil"/>
              <w:bottom w:val="nil"/>
            </w:tcBorders>
          </w:tcPr>
          <w:p w:rsidR="00352140" w:rsidRPr="0037590D" w:rsidRDefault="00352140" w:rsidP="00D6673D">
            <w:pPr>
              <w:pStyle w:val="TableParagraph"/>
              <w:spacing w:line="240" w:lineRule="auto"/>
              <w:ind w:left="340" w:right="-426"/>
              <w:jc w:val="both"/>
              <w:rPr>
                <w:rFonts w:ascii="Arial" w:hAnsi="Arial" w:cs="Arial"/>
                <w:sz w:val="16"/>
                <w:szCs w:val="16"/>
              </w:rPr>
            </w:pPr>
            <w:r w:rsidRPr="0037590D">
              <w:rPr>
                <w:rFonts w:ascii="Arial" w:hAnsi="Arial" w:cs="Arial"/>
                <w:sz w:val="16"/>
                <w:szCs w:val="16"/>
              </w:rPr>
              <w:t>2016/2017</w:t>
            </w:r>
          </w:p>
        </w:tc>
        <w:tc>
          <w:tcPr>
            <w:tcW w:w="1569" w:type="dxa"/>
            <w:tcBorders>
              <w:top w:val="nil"/>
              <w:bottom w:val="nil"/>
            </w:tcBorders>
          </w:tcPr>
          <w:p w:rsidR="00352140" w:rsidRPr="0037590D" w:rsidRDefault="00352140" w:rsidP="00D6673D">
            <w:pPr>
              <w:pStyle w:val="TableParagraph"/>
              <w:spacing w:line="240" w:lineRule="auto"/>
              <w:ind w:left="340" w:right="-426"/>
              <w:jc w:val="both"/>
              <w:rPr>
                <w:rFonts w:ascii="Arial" w:hAnsi="Arial" w:cs="Arial"/>
                <w:sz w:val="16"/>
                <w:szCs w:val="16"/>
              </w:rPr>
            </w:pPr>
            <w:r w:rsidRPr="0037590D">
              <w:rPr>
                <w:rFonts w:ascii="Arial" w:hAnsi="Arial" w:cs="Arial"/>
                <w:sz w:val="16"/>
                <w:szCs w:val="16"/>
              </w:rPr>
              <w:t>733</w:t>
            </w:r>
          </w:p>
        </w:tc>
        <w:tc>
          <w:tcPr>
            <w:tcW w:w="1570" w:type="dxa"/>
            <w:tcBorders>
              <w:top w:val="nil"/>
              <w:bottom w:val="nil"/>
            </w:tcBorders>
          </w:tcPr>
          <w:p w:rsidR="00352140" w:rsidRPr="0037590D" w:rsidRDefault="00352140" w:rsidP="00D6673D">
            <w:pPr>
              <w:pStyle w:val="TableParagraph"/>
              <w:spacing w:line="240" w:lineRule="auto"/>
              <w:ind w:left="340" w:right="-426"/>
              <w:jc w:val="both"/>
              <w:rPr>
                <w:rFonts w:ascii="Arial" w:hAnsi="Arial" w:cs="Arial"/>
                <w:sz w:val="16"/>
                <w:szCs w:val="16"/>
              </w:rPr>
            </w:pPr>
            <w:r w:rsidRPr="0037590D">
              <w:rPr>
                <w:rFonts w:ascii="Arial" w:hAnsi="Arial" w:cs="Arial"/>
                <w:sz w:val="16"/>
                <w:szCs w:val="16"/>
              </w:rPr>
              <w:t>600</w:t>
            </w:r>
          </w:p>
        </w:tc>
      </w:tr>
      <w:tr w:rsidR="00352140" w:rsidTr="0037590D">
        <w:trPr>
          <w:trHeight w:val="288"/>
        </w:trPr>
        <w:tc>
          <w:tcPr>
            <w:tcW w:w="1569" w:type="dxa"/>
            <w:tcBorders>
              <w:top w:val="nil"/>
              <w:bottom w:val="nil"/>
            </w:tcBorders>
          </w:tcPr>
          <w:p w:rsidR="00352140" w:rsidRPr="0037590D" w:rsidRDefault="00352140" w:rsidP="00D6673D">
            <w:pPr>
              <w:pStyle w:val="TableParagraph"/>
              <w:spacing w:line="240" w:lineRule="auto"/>
              <w:ind w:left="340" w:right="-426"/>
              <w:jc w:val="both"/>
              <w:rPr>
                <w:rFonts w:ascii="Arial" w:hAnsi="Arial" w:cs="Arial"/>
                <w:sz w:val="16"/>
                <w:szCs w:val="16"/>
              </w:rPr>
            </w:pPr>
            <w:r w:rsidRPr="0037590D">
              <w:rPr>
                <w:rFonts w:ascii="Arial" w:hAnsi="Arial" w:cs="Arial"/>
                <w:sz w:val="16"/>
                <w:szCs w:val="16"/>
              </w:rPr>
              <w:t>2017/2018</w:t>
            </w:r>
          </w:p>
        </w:tc>
        <w:tc>
          <w:tcPr>
            <w:tcW w:w="1569" w:type="dxa"/>
            <w:tcBorders>
              <w:top w:val="nil"/>
              <w:bottom w:val="nil"/>
            </w:tcBorders>
          </w:tcPr>
          <w:p w:rsidR="00352140" w:rsidRPr="0037590D" w:rsidRDefault="00352140" w:rsidP="00D6673D">
            <w:pPr>
              <w:pStyle w:val="TableParagraph"/>
              <w:spacing w:line="240" w:lineRule="auto"/>
              <w:ind w:left="340" w:right="-426"/>
              <w:jc w:val="both"/>
              <w:rPr>
                <w:rFonts w:ascii="Arial" w:hAnsi="Arial" w:cs="Arial"/>
                <w:sz w:val="16"/>
                <w:szCs w:val="16"/>
              </w:rPr>
            </w:pPr>
            <w:r w:rsidRPr="0037590D">
              <w:rPr>
                <w:rFonts w:ascii="Arial" w:hAnsi="Arial" w:cs="Arial"/>
                <w:sz w:val="16"/>
                <w:szCs w:val="16"/>
              </w:rPr>
              <w:t>650</w:t>
            </w:r>
          </w:p>
        </w:tc>
        <w:tc>
          <w:tcPr>
            <w:tcW w:w="1570" w:type="dxa"/>
            <w:tcBorders>
              <w:top w:val="nil"/>
              <w:bottom w:val="nil"/>
            </w:tcBorders>
          </w:tcPr>
          <w:p w:rsidR="00352140" w:rsidRPr="0037590D" w:rsidRDefault="00352140" w:rsidP="00D6673D">
            <w:pPr>
              <w:pStyle w:val="TableParagraph"/>
              <w:spacing w:line="240" w:lineRule="auto"/>
              <w:ind w:left="340" w:right="-426"/>
              <w:jc w:val="both"/>
              <w:rPr>
                <w:rFonts w:ascii="Arial" w:hAnsi="Arial" w:cs="Arial"/>
                <w:sz w:val="16"/>
                <w:szCs w:val="16"/>
              </w:rPr>
            </w:pPr>
            <w:r w:rsidRPr="0037590D">
              <w:rPr>
                <w:rFonts w:ascii="Arial" w:hAnsi="Arial" w:cs="Arial"/>
                <w:sz w:val="16"/>
                <w:szCs w:val="16"/>
              </w:rPr>
              <w:t>776</w:t>
            </w:r>
          </w:p>
        </w:tc>
      </w:tr>
      <w:tr w:rsidR="00352140" w:rsidTr="0037590D">
        <w:trPr>
          <w:trHeight w:val="259"/>
        </w:trPr>
        <w:tc>
          <w:tcPr>
            <w:tcW w:w="1569" w:type="dxa"/>
            <w:tcBorders>
              <w:top w:val="nil"/>
            </w:tcBorders>
          </w:tcPr>
          <w:p w:rsidR="00352140" w:rsidRPr="0037590D" w:rsidRDefault="00352140" w:rsidP="00D6673D">
            <w:pPr>
              <w:pStyle w:val="TableParagraph"/>
              <w:spacing w:line="240" w:lineRule="auto"/>
              <w:ind w:left="340" w:right="-426"/>
              <w:jc w:val="both"/>
              <w:rPr>
                <w:rFonts w:ascii="Arial" w:hAnsi="Arial" w:cs="Arial"/>
                <w:sz w:val="16"/>
                <w:szCs w:val="16"/>
              </w:rPr>
            </w:pPr>
            <w:r w:rsidRPr="0037590D">
              <w:rPr>
                <w:rFonts w:ascii="Arial" w:hAnsi="Arial" w:cs="Arial"/>
                <w:sz w:val="16"/>
                <w:szCs w:val="16"/>
              </w:rPr>
              <w:t>2018/2019</w:t>
            </w:r>
          </w:p>
        </w:tc>
        <w:tc>
          <w:tcPr>
            <w:tcW w:w="1569" w:type="dxa"/>
            <w:tcBorders>
              <w:top w:val="nil"/>
            </w:tcBorders>
          </w:tcPr>
          <w:p w:rsidR="00352140" w:rsidRPr="0037590D" w:rsidRDefault="00352140" w:rsidP="00D6673D">
            <w:pPr>
              <w:pStyle w:val="TableParagraph"/>
              <w:spacing w:line="240" w:lineRule="auto"/>
              <w:ind w:left="340" w:right="-426"/>
              <w:jc w:val="both"/>
              <w:rPr>
                <w:rFonts w:ascii="Arial" w:hAnsi="Arial" w:cs="Arial"/>
                <w:sz w:val="16"/>
                <w:szCs w:val="16"/>
              </w:rPr>
            </w:pPr>
            <w:r w:rsidRPr="0037590D">
              <w:rPr>
                <w:rFonts w:ascii="Arial" w:hAnsi="Arial" w:cs="Arial"/>
                <w:sz w:val="16"/>
                <w:szCs w:val="16"/>
              </w:rPr>
              <w:t>569</w:t>
            </w:r>
          </w:p>
        </w:tc>
        <w:tc>
          <w:tcPr>
            <w:tcW w:w="1570" w:type="dxa"/>
            <w:tcBorders>
              <w:top w:val="nil"/>
            </w:tcBorders>
          </w:tcPr>
          <w:p w:rsidR="00352140" w:rsidRPr="0037590D" w:rsidRDefault="00352140" w:rsidP="00D6673D">
            <w:pPr>
              <w:pStyle w:val="TableParagraph"/>
              <w:spacing w:line="240" w:lineRule="auto"/>
              <w:ind w:left="340" w:right="-426"/>
              <w:jc w:val="both"/>
              <w:rPr>
                <w:rFonts w:ascii="Arial" w:hAnsi="Arial" w:cs="Arial"/>
                <w:sz w:val="16"/>
                <w:szCs w:val="16"/>
              </w:rPr>
            </w:pPr>
            <w:r w:rsidRPr="0037590D">
              <w:rPr>
                <w:rFonts w:ascii="Arial" w:hAnsi="Arial" w:cs="Arial"/>
                <w:sz w:val="16"/>
                <w:szCs w:val="16"/>
              </w:rPr>
              <w:t>830</w:t>
            </w:r>
          </w:p>
        </w:tc>
      </w:tr>
    </w:tbl>
    <w:p w:rsidR="00D86767" w:rsidRDefault="00D86767" w:rsidP="00D6673D">
      <w:pPr>
        <w:pStyle w:val="Textkrper"/>
        <w:tabs>
          <w:tab w:val="left" w:pos="4928"/>
        </w:tabs>
        <w:spacing w:before="28"/>
        <w:ind w:left="340" w:right="-426"/>
        <w:jc w:val="both"/>
        <w:rPr>
          <w:rFonts w:eastAsia="Times New Roman" w:cs="Times New Roman"/>
          <w:sz w:val="20"/>
          <w:lang w:bidi="ar-SA"/>
        </w:rPr>
      </w:pPr>
    </w:p>
    <w:p w:rsidR="00352140" w:rsidRPr="0037590D" w:rsidRDefault="00352140" w:rsidP="00D6673D">
      <w:pPr>
        <w:pStyle w:val="Textkrper"/>
        <w:tabs>
          <w:tab w:val="left" w:pos="4928"/>
        </w:tabs>
        <w:spacing w:before="28"/>
        <w:ind w:left="340" w:right="-426"/>
        <w:jc w:val="both"/>
        <w:rPr>
          <w:rFonts w:eastAsia="Times New Roman" w:cs="Times New Roman"/>
          <w:sz w:val="20"/>
          <w:lang w:bidi="ar-SA"/>
        </w:rPr>
      </w:pPr>
      <w:r w:rsidRPr="0037590D">
        <w:rPr>
          <w:rFonts w:eastAsia="Times New Roman" w:cs="Times New Roman"/>
          <w:sz w:val="20"/>
          <w:lang w:bidi="ar-SA"/>
        </w:rPr>
        <w:t>Für das Schuljahr 2019/2020 liegen noch kei</w:t>
      </w:r>
      <w:r w:rsidR="00BD2540">
        <w:rPr>
          <w:rFonts w:eastAsia="Times New Roman" w:cs="Times New Roman"/>
          <w:sz w:val="20"/>
          <w:lang w:bidi="ar-SA"/>
        </w:rPr>
        <w:t>ne amtlichen Daten zu den Abgän</w:t>
      </w:r>
      <w:r w:rsidRPr="0037590D">
        <w:rPr>
          <w:rFonts w:eastAsia="Times New Roman" w:cs="Times New Roman"/>
          <w:sz w:val="20"/>
          <w:lang w:bidi="ar-SA"/>
        </w:rPr>
        <w:t>gerinnen und Abgängern Beruflicher Oberschulen vor.</w:t>
      </w:r>
    </w:p>
    <w:p w:rsidR="00352140" w:rsidRPr="0037590D" w:rsidRDefault="00352140" w:rsidP="00D6673D">
      <w:pPr>
        <w:pStyle w:val="Textkrper"/>
        <w:tabs>
          <w:tab w:val="left" w:pos="4928"/>
        </w:tabs>
        <w:spacing w:before="28"/>
        <w:ind w:left="340" w:right="-426"/>
        <w:jc w:val="both"/>
        <w:rPr>
          <w:rFonts w:eastAsia="Times New Roman" w:cs="Times New Roman"/>
          <w:sz w:val="20"/>
          <w:lang w:bidi="ar-SA"/>
        </w:rPr>
      </w:pPr>
    </w:p>
    <w:p w:rsidR="00352140" w:rsidRPr="00D86767" w:rsidRDefault="00D86767" w:rsidP="00D6673D">
      <w:pPr>
        <w:pStyle w:val="Textkrper"/>
        <w:tabs>
          <w:tab w:val="left" w:pos="4928"/>
        </w:tabs>
        <w:spacing w:before="28"/>
        <w:ind w:left="340" w:right="-426"/>
        <w:jc w:val="both"/>
        <w:rPr>
          <w:rFonts w:eastAsia="Times New Roman" w:cs="Times New Roman"/>
          <w:b/>
          <w:sz w:val="20"/>
          <w:lang w:bidi="ar-SA"/>
        </w:rPr>
      </w:pPr>
      <w:r w:rsidRPr="00D86767">
        <w:rPr>
          <w:rFonts w:eastAsia="Times New Roman" w:cs="Times New Roman"/>
          <w:b/>
          <w:sz w:val="20"/>
          <w:lang w:bidi="ar-SA"/>
        </w:rPr>
        <w:t xml:space="preserve">5. </w:t>
      </w:r>
      <w:r w:rsidR="00352140" w:rsidRPr="00D86767">
        <w:rPr>
          <w:rFonts w:eastAsia="Times New Roman" w:cs="Times New Roman"/>
          <w:b/>
          <w:sz w:val="20"/>
          <w:lang w:bidi="ar-SA"/>
        </w:rPr>
        <w:t>Voraussetzungen der zentralen Abschlussprüfungen</w:t>
      </w:r>
    </w:p>
    <w:p w:rsidR="00352140" w:rsidRPr="0037590D" w:rsidRDefault="00352140" w:rsidP="00D6673D">
      <w:pPr>
        <w:pStyle w:val="Textkrper"/>
        <w:tabs>
          <w:tab w:val="left" w:pos="4928"/>
        </w:tabs>
        <w:spacing w:before="28"/>
        <w:ind w:left="340" w:right="-426"/>
        <w:jc w:val="both"/>
        <w:rPr>
          <w:rFonts w:eastAsia="Times New Roman" w:cs="Times New Roman"/>
          <w:sz w:val="20"/>
          <w:lang w:bidi="ar-SA"/>
        </w:rPr>
      </w:pPr>
    </w:p>
    <w:p w:rsidR="00352140" w:rsidRPr="0037590D" w:rsidRDefault="00352140" w:rsidP="00D6673D">
      <w:pPr>
        <w:pStyle w:val="Textkrper"/>
        <w:tabs>
          <w:tab w:val="left" w:pos="4928"/>
        </w:tabs>
        <w:spacing w:before="28"/>
        <w:ind w:left="340" w:right="-426"/>
        <w:jc w:val="both"/>
        <w:rPr>
          <w:rFonts w:eastAsia="Times New Roman" w:cs="Times New Roman"/>
          <w:b/>
          <w:sz w:val="20"/>
          <w:lang w:bidi="ar-SA"/>
        </w:rPr>
      </w:pPr>
      <w:r w:rsidRPr="0037590D">
        <w:rPr>
          <w:rFonts w:eastAsia="Times New Roman" w:cs="Times New Roman"/>
          <w:b/>
          <w:sz w:val="20"/>
          <w:lang w:bidi="ar-SA"/>
        </w:rPr>
        <w:t>Frage 5.1: Inwiefern sieht das StMUK an den jeweiligen Schularten FOS/BOS und Gymnasien aktuell eine veränderte Situation zur Abschlussprüfung 2020 hinsichtlich der Voraussetzungen der zentralen Abschlussprüfungen?</w:t>
      </w:r>
    </w:p>
    <w:p w:rsidR="00352140" w:rsidRPr="0037590D" w:rsidRDefault="00352140" w:rsidP="00D6673D">
      <w:pPr>
        <w:pStyle w:val="Textkrper"/>
        <w:tabs>
          <w:tab w:val="left" w:pos="4928"/>
        </w:tabs>
        <w:spacing w:before="28"/>
        <w:ind w:left="340" w:right="-426"/>
        <w:jc w:val="both"/>
        <w:rPr>
          <w:rFonts w:eastAsia="Times New Roman" w:cs="Times New Roman"/>
          <w:sz w:val="20"/>
          <w:lang w:bidi="ar-SA"/>
        </w:rPr>
      </w:pPr>
    </w:p>
    <w:p w:rsidR="00352140" w:rsidRPr="0037590D" w:rsidRDefault="00352140" w:rsidP="00D6673D">
      <w:pPr>
        <w:pStyle w:val="Textkrper"/>
        <w:tabs>
          <w:tab w:val="left" w:pos="4928"/>
        </w:tabs>
        <w:spacing w:before="28"/>
        <w:ind w:left="340" w:right="-426"/>
        <w:jc w:val="both"/>
        <w:rPr>
          <w:rFonts w:eastAsia="Times New Roman" w:cs="Times New Roman"/>
          <w:sz w:val="20"/>
          <w:lang w:bidi="ar-SA"/>
        </w:rPr>
      </w:pPr>
      <w:r w:rsidRPr="0037590D">
        <w:rPr>
          <w:rFonts w:eastAsia="Times New Roman" w:cs="Times New Roman"/>
          <w:sz w:val="20"/>
          <w:lang w:bidi="ar-SA"/>
        </w:rPr>
        <w:t>Mit Beschluss der KMK vom 21.</w:t>
      </w:r>
      <w:r w:rsidR="00BD2540">
        <w:rPr>
          <w:rFonts w:eastAsia="Times New Roman" w:cs="Times New Roman"/>
          <w:sz w:val="20"/>
          <w:lang w:bidi="ar-SA"/>
        </w:rPr>
        <w:t>01.</w:t>
      </w:r>
      <w:r w:rsidRPr="0037590D">
        <w:rPr>
          <w:rFonts w:eastAsia="Times New Roman" w:cs="Times New Roman"/>
          <w:sz w:val="20"/>
          <w:lang w:bidi="ar-SA"/>
        </w:rPr>
        <w:t>2021 wurde eine Reihe von Maßnahmen vereinbart, die faire Rahmenbedingungen für die Abschlussklassen gewährleisten</w:t>
      </w:r>
      <w:r w:rsidR="00537EB9">
        <w:rPr>
          <w:rFonts w:eastAsia="Times New Roman" w:cs="Times New Roman"/>
          <w:sz w:val="20"/>
          <w:lang w:bidi="ar-SA"/>
        </w:rPr>
        <w:t xml:space="preserve"> </w:t>
      </w:r>
      <w:r w:rsidRPr="0037590D">
        <w:rPr>
          <w:rFonts w:eastAsia="Times New Roman" w:cs="Times New Roman"/>
          <w:sz w:val="20"/>
          <w:lang w:bidi="ar-SA"/>
        </w:rPr>
        <w:t>und d</w:t>
      </w:r>
      <w:r w:rsidR="00BD2540">
        <w:rPr>
          <w:rFonts w:eastAsia="Times New Roman" w:cs="Times New Roman"/>
          <w:sz w:val="20"/>
          <w:lang w:bidi="ar-SA"/>
        </w:rPr>
        <w:t xml:space="preserve">ie Schülerinnen und Schüler in </w:t>
      </w:r>
      <w:r w:rsidRPr="0037590D">
        <w:rPr>
          <w:rFonts w:eastAsia="Times New Roman" w:cs="Times New Roman"/>
          <w:sz w:val="20"/>
          <w:lang w:bidi="ar-SA"/>
        </w:rPr>
        <w:t>ihrer Prüfungsvorbereitung unterstützen, ohne das von der Kultusministerkonferenz definierte Anspruchsniveau abzusenken. Bayern trägt diesen Beschluss – auch</w:t>
      </w:r>
      <w:r w:rsidR="00BD2540">
        <w:rPr>
          <w:rFonts w:eastAsia="Times New Roman" w:cs="Times New Roman"/>
          <w:sz w:val="20"/>
          <w:lang w:bidi="ar-SA"/>
        </w:rPr>
        <w:t xml:space="preserve"> durch die getroffenen Regelun</w:t>
      </w:r>
      <w:r w:rsidRPr="0037590D">
        <w:rPr>
          <w:rFonts w:eastAsia="Times New Roman" w:cs="Times New Roman"/>
          <w:sz w:val="20"/>
          <w:lang w:bidi="ar-SA"/>
        </w:rPr>
        <w:t>gen (vgl. Antwort zu Ziffer 1.3) – mit Blick auf ein qualitätvolles und vergleichbares Abitur dezidiert mit. Damit werden auch für den Abiturjahrgang 2021 vergleichbare und faire Rahmenbedingungen im Hinblick auf die Voraussetzungen der zentralen Abschlussprüfungen geschaffen.</w:t>
      </w:r>
    </w:p>
    <w:p w:rsidR="00352140" w:rsidRPr="0037590D" w:rsidRDefault="00352140" w:rsidP="00D6673D">
      <w:pPr>
        <w:pStyle w:val="Textkrper"/>
        <w:tabs>
          <w:tab w:val="left" w:pos="4928"/>
        </w:tabs>
        <w:spacing w:before="28"/>
        <w:ind w:left="340" w:right="-426"/>
        <w:jc w:val="both"/>
        <w:rPr>
          <w:rFonts w:eastAsia="Times New Roman" w:cs="Times New Roman"/>
          <w:sz w:val="20"/>
          <w:lang w:bidi="ar-SA"/>
        </w:rPr>
      </w:pPr>
    </w:p>
    <w:p w:rsidR="00352140" w:rsidRPr="00BD2540" w:rsidRDefault="00352140" w:rsidP="00BD2540">
      <w:pPr>
        <w:pStyle w:val="Textkrper"/>
        <w:tabs>
          <w:tab w:val="left" w:pos="4928"/>
        </w:tabs>
        <w:spacing w:before="28"/>
        <w:ind w:left="340" w:right="-426"/>
        <w:jc w:val="both"/>
        <w:rPr>
          <w:rFonts w:eastAsia="Times New Roman" w:cs="Times New Roman"/>
          <w:b/>
          <w:sz w:val="20"/>
          <w:lang w:bidi="ar-SA"/>
        </w:rPr>
      </w:pPr>
      <w:r w:rsidRPr="0037590D">
        <w:rPr>
          <w:rFonts w:eastAsia="Times New Roman" w:cs="Times New Roman"/>
          <w:b/>
          <w:sz w:val="20"/>
          <w:lang w:bidi="ar-SA"/>
        </w:rPr>
        <w:t>Frage 5.2: Was sind die konkreten Maßnahmen, die seitens des StMUK ergriffen wurden, um den Standard der Prüfungen zu wahren und auch eine Vergleichbarkeit zwischen den Jahrgängen insb.</w:t>
      </w:r>
      <w:r w:rsidR="00BD2540">
        <w:rPr>
          <w:rFonts w:eastAsia="Times New Roman" w:cs="Times New Roman"/>
          <w:b/>
          <w:sz w:val="20"/>
          <w:lang w:bidi="ar-SA"/>
        </w:rPr>
        <w:t xml:space="preserve"> </w:t>
      </w:r>
      <w:r w:rsidRPr="00BD2540">
        <w:rPr>
          <w:rFonts w:eastAsia="Times New Roman" w:cs="Times New Roman"/>
          <w:b/>
          <w:sz w:val="20"/>
          <w:lang w:bidi="ar-SA"/>
        </w:rPr>
        <w:t>2020/2021 aber auch den nicht von Corona beeinträchtigten Jahrgängen herzustellen?</w:t>
      </w:r>
    </w:p>
    <w:p w:rsidR="00352140" w:rsidRPr="0037590D" w:rsidRDefault="00352140" w:rsidP="00D6673D">
      <w:pPr>
        <w:pStyle w:val="Textkrper"/>
        <w:spacing w:before="6"/>
        <w:ind w:left="340" w:right="-426"/>
        <w:jc w:val="both"/>
        <w:rPr>
          <w:rFonts w:eastAsia="Times New Roman" w:cs="Times New Roman"/>
          <w:sz w:val="20"/>
          <w:lang w:bidi="ar-SA"/>
        </w:rPr>
      </w:pPr>
    </w:p>
    <w:p w:rsidR="00352140" w:rsidRPr="0037590D" w:rsidRDefault="00352140" w:rsidP="00D86767">
      <w:pPr>
        <w:pStyle w:val="Textkrper"/>
        <w:ind w:left="340" w:right="-425"/>
        <w:jc w:val="both"/>
        <w:rPr>
          <w:rFonts w:eastAsia="Times New Roman" w:cs="Times New Roman"/>
          <w:sz w:val="20"/>
          <w:lang w:bidi="ar-SA"/>
        </w:rPr>
      </w:pPr>
      <w:r w:rsidRPr="0037590D">
        <w:rPr>
          <w:rFonts w:eastAsia="Times New Roman" w:cs="Times New Roman"/>
          <w:sz w:val="20"/>
          <w:lang w:bidi="ar-SA"/>
        </w:rPr>
        <w:t>Es wird insbesondere auf die Antworten zu den Ziffern 1.3, 3.2 und 4.1 verwiesen.</w:t>
      </w:r>
    </w:p>
    <w:p w:rsidR="00352140" w:rsidRPr="0037590D" w:rsidRDefault="00352140" w:rsidP="00D6673D">
      <w:pPr>
        <w:pStyle w:val="Textkrper"/>
        <w:ind w:left="340" w:right="-426"/>
        <w:jc w:val="both"/>
        <w:rPr>
          <w:rFonts w:eastAsia="Times New Roman" w:cs="Times New Roman"/>
          <w:sz w:val="20"/>
          <w:lang w:bidi="ar-SA"/>
        </w:rPr>
      </w:pPr>
    </w:p>
    <w:p w:rsidR="00352140" w:rsidRPr="0037590D" w:rsidRDefault="00352140" w:rsidP="00D6673D">
      <w:pPr>
        <w:pStyle w:val="Textkrper"/>
        <w:ind w:left="340" w:right="-426"/>
        <w:jc w:val="both"/>
        <w:rPr>
          <w:rFonts w:eastAsia="Times New Roman" w:cs="Times New Roman"/>
          <w:b/>
          <w:sz w:val="20"/>
          <w:lang w:bidi="ar-SA"/>
        </w:rPr>
      </w:pPr>
      <w:r w:rsidRPr="0037590D">
        <w:rPr>
          <w:rFonts w:eastAsia="Times New Roman" w:cs="Times New Roman"/>
          <w:b/>
          <w:sz w:val="20"/>
          <w:lang w:bidi="ar-SA"/>
        </w:rPr>
        <w:t>Frage 5.3: Wie viele Schüler wiederholen aktuell und in den beiden vorhergehenden Schuljahren eine Jahrgangsstufe an den jeweiligen Schularten und der dazugehörigen Oberstufe (bitte aufschlüsse</w:t>
      </w:r>
      <w:r w:rsidR="00DF675B">
        <w:rPr>
          <w:rFonts w:eastAsia="Times New Roman" w:cs="Times New Roman"/>
          <w:b/>
          <w:sz w:val="20"/>
          <w:lang w:bidi="ar-SA"/>
        </w:rPr>
        <w:t>ln nach Schulart, Kursjahr und –</w:t>
      </w:r>
      <w:r w:rsidRPr="0037590D">
        <w:rPr>
          <w:rFonts w:eastAsia="Times New Roman" w:cs="Times New Roman"/>
          <w:b/>
          <w:sz w:val="20"/>
          <w:lang w:bidi="ar-SA"/>
        </w:rPr>
        <w:t xml:space="preserve"> Fre</w:t>
      </w:r>
      <w:r w:rsidR="00DF675B">
        <w:rPr>
          <w:rFonts w:eastAsia="Times New Roman" w:cs="Times New Roman"/>
          <w:b/>
          <w:sz w:val="20"/>
          <w:lang w:bidi="ar-SA"/>
        </w:rPr>
        <w:t>iwilligkeit bzw. Notwendigkeit –</w:t>
      </w:r>
      <w:r w:rsidRPr="0037590D">
        <w:rPr>
          <w:rFonts w:eastAsia="Times New Roman" w:cs="Times New Roman"/>
          <w:b/>
          <w:sz w:val="20"/>
          <w:lang w:bidi="ar-SA"/>
        </w:rPr>
        <w:t xml:space="preserve"> der Wiederholung)?</w:t>
      </w:r>
    </w:p>
    <w:p w:rsidR="00352140" w:rsidRPr="0037590D" w:rsidRDefault="00352140" w:rsidP="00D6673D">
      <w:pPr>
        <w:pStyle w:val="Textkrper"/>
        <w:ind w:left="340" w:right="-426"/>
        <w:jc w:val="both"/>
        <w:rPr>
          <w:rFonts w:eastAsia="Times New Roman" w:cs="Times New Roman"/>
          <w:sz w:val="20"/>
          <w:lang w:bidi="ar-SA"/>
        </w:rPr>
      </w:pPr>
    </w:p>
    <w:p w:rsidR="00352140" w:rsidRPr="0037590D" w:rsidRDefault="00352140" w:rsidP="00D6673D">
      <w:pPr>
        <w:pStyle w:val="Textkrper"/>
        <w:ind w:left="340" w:right="-426"/>
        <w:jc w:val="both"/>
        <w:rPr>
          <w:rFonts w:eastAsia="Times New Roman" w:cs="Times New Roman"/>
          <w:sz w:val="20"/>
          <w:lang w:bidi="ar-SA"/>
        </w:rPr>
      </w:pPr>
      <w:r w:rsidRPr="0037590D">
        <w:rPr>
          <w:rFonts w:eastAsia="Times New Roman" w:cs="Times New Roman"/>
          <w:sz w:val="20"/>
          <w:lang w:bidi="ar-SA"/>
        </w:rPr>
        <w:t>Den beiliegenden Tabe</w:t>
      </w:r>
      <w:r w:rsidR="00DF675B">
        <w:rPr>
          <w:rFonts w:eastAsia="Times New Roman" w:cs="Times New Roman"/>
          <w:sz w:val="20"/>
          <w:lang w:bidi="ar-SA"/>
        </w:rPr>
        <w:t>llen</w:t>
      </w:r>
      <w:r w:rsidRPr="0037590D">
        <w:rPr>
          <w:rFonts w:eastAsia="Times New Roman" w:cs="Times New Roman"/>
          <w:sz w:val="20"/>
          <w:lang w:bidi="ar-SA"/>
        </w:rPr>
        <w:t xml:space="preserve"> 1 bis 3</w:t>
      </w:r>
      <w:hyperlink r:id="rId19" w:history="1">
        <w:r w:rsidR="00413D64" w:rsidRPr="00537EB9">
          <w:rPr>
            <w:rStyle w:val="Hyperlink"/>
            <w:rFonts w:eastAsia="Times New Roman" w:cs="Times New Roman"/>
            <w:lang w:bidi="ar-SA"/>
          </w:rPr>
          <w:t>**)</w:t>
        </w:r>
      </w:hyperlink>
      <w:r w:rsidRPr="0037590D">
        <w:rPr>
          <w:rFonts w:eastAsia="Times New Roman" w:cs="Times New Roman"/>
          <w:sz w:val="20"/>
          <w:lang w:bidi="ar-SA"/>
        </w:rPr>
        <w:t xml:space="preserve"> zu </w:t>
      </w:r>
      <w:r w:rsidR="00DF675B">
        <w:rPr>
          <w:rFonts w:eastAsia="Times New Roman" w:cs="Times New Roman"/>
          <w:sz w:val="20"/>
          <w:lang w:bidi="ar-SA"/>
        </w:rPr>
        <w:t>Frage 5.3 kann die Anzahl der</w:t>
      </w:r>
      <w:r w:rsidRPr="0037590D">
        <w:rPr>
          <w:rFonts w:eastAsia="Times New Roman" w:cs="Times New Roman"/>
          <w:sz w:val="20"/>
          <w:lang w:bidi="ar-SA"/>
        </w:rPr>
        <w:t xml:space="preserve"> Schülerinnen und Schüler an Gymnasien (Jahrgangsstufen 11 </w:t>
      </w:r>
      <w:r w:rsidR="00DF675B">
        <w:rPr>
          <w:rFonts w:eastAsia="Times New Roman" w:cs="Times New Roman"/>
          <w:sz w:val="20"/>
          <w:lang w:bidi="ar-SA"/>
        </w:rPr>
        <w:t>und 12), Fachoberschulen (Jahr</w:t>
      </w:r>
      <w:r w:rsidRPr="0037590D">
        <w:rPr>
          <w:rFonts w:eastAsia="Times New Roman" w:cs="Times New Roman"/>
          <w:sz w:val="20"/>
          <w:lang w:bidi="ar-SA"/>
        </w:rPr>
        <w:t>gangsstufen 11 bis 13) und Berufsoberschulen (Jah</w:t>
      </w:r>
      <w:r w:rsidR="00DF675B">
        <w:rPr>
          <w:rFonts w:eastAsia="Times New Roman" w:cs="Times New Roman"/>
          <w:sz w:val="20"/>
          <w:lang w:bidi="ar-SA"/>
        </w:rPr>
        <w:t>rgangsstufen 12 und 13) entnom</w:t>
      </w:r>
      <w:r w:rsidRPr="0037590D">
        <w:rPr>
          <w:rFonts w:eastAsia="Times New Roman" w:cs="Times New Roman"/>
          <w:sz w:val="20"/>
          <w:lang w:bidi="ar-SA"/>
        </w:rPr>
        <w:t>men werden, die die Jahrgangsstufe pflichtgemäß oder aus sonstigen Gründen an derselben Schulart wiederholten. Ein pflichtgemäßes Wiederholen liegt vor, wenn im Vorjahr das Ziel der Jahrgangsstufe nicht erreicht u</w:t>
      </w:r>
      <w:r w:rsidR="00DF675B">
        <w:rPr>
          <w:rFonts w:eastAsia="Times New Roman" w:cs="Times New Roman"/>
          <w:sz w:val="20"/>
          <w:lang w:bidi="ar-SA"/>
        </w:rPr>
        <w:t>nd damit die Erlaubnis zum Vor</w:t>
      </w:r>
      <w:r w:rsidRPr="0037590D">
        <w:rPr>
          <w:rFonts w:eastAsia="Times New Roman" w:cs="Times New Roman"/>
          <w:sz w:val="20"/>
          <w:lang w:bidi="ar-SA"/>
        </w:rPr>
        <w:t>rücken nicht erteilt wurde. Für das Gymnasium können die entsprechenden Daten zu den Schuljahren 2018/2019 bis 2020/2021 ausgewiesen werden. Für die Fach- und Berufsoberschule liegen noch keine Amtlichen Schuldaten zum Schuljahr 2020/2021</w:t>
      </w:r>
      <w:r w:rsidR="00DF675B">
        <w:rPr>
          <w:rFonts w:eastAsia="Times New Roman" w:cs="Times New Roman"/>
          <w:sz w:val="20"/>
          <w:lang w:bidi="ar-SA"/>
        </w:rPr>
        <w:t xml:space="preserve"> </w:t>
      </w:r>
      <w:r w:rsidRPr="0037590D">
        <w:rPr>
          <w:rFonts w:eastAsia="Times New Roman" w:cs="Times New Roman"/>
          <w:sz w:val="20"/>
          <w:lang w:bidi="ar-SA"/>
        </w:rPr>
        <w:t>vor. Ersatzweise wurden für diese</w:t>
      </w:r>
      <w:r w:rsidR="00DF675B">
        <w:rPr>
          <w:rFonts w:eastAsia="Times New Roman" w:cs="Times New Roman"/>
          <w:sz w:val="20"/>
          <w:lang w:bidi="ar-SA"/>
        </w:rPr>
        <w:t xml:space="preserve"> b</w:t>
      </w:r>
      <w:r w:rsidRPr="0037590D">
        <w:rPr>
          <w:rFonts w:eastAsia="Times New Roman" w:cs="Times New Roman"/>
          <w:sz w:val="20"/>
          <w:lang w:bidi="ar-SA"/>
        </w:rPr>
        <w:t>eiden Schularten daher jeweils die entsprechenden Daten für die Schuljahre 2017/2018 bis 2019/2020 ausgewiesen.</w:t>
      </w:r>
    </w:p>
    <w:p w:rsidR="00352140" w:rsidRPr="0037590D" w:rsidRDefault="00352140" w:rsidP="00D6673D">
      <w:pPr>
        <w:pStyle w:val="Textkrper"/>
        <w:ind w:left="340" w:right="-426"/>
        <w:jc w:val="both"/>
        <w:rPr>
          <w:rFonts w:eastAsia="Times New Roman" w:cs="Times New Roman"/>
          <w:sz w:val="20"/>
          <w:lang w:bidi="ar-SA"/>
        </w:rPr>
      </w:pPr>
    </w:p>
    <w:p w:rsidR="004379F0" w:rsidRDefault="004379F0">
      <w:pPr>
        <w:rPr>
          <w:b/>
        </w:rPr>
      </w:pPr>
      <w:r>
        <w:rPr>
          <w:b/>
        </w:rPr>
        <w:br w:type="page"/>
      </w:r>
    </w:p>
    <w:p w:rsidR="00352140" w:rsidRPr="00D86767" w:rsidRDefault="00D86767" w:rsidP="00D6673D">
      <w:pPr>
        <w:pStyle w:val="Textkrper"/>
        <w:ind w:left="340" w:right="-426"/>
        <w:jc w:val="both"/>
        <w:rPr>
          <w:rFonts w:eastAsia="Times New Roman" w:cs="Times New Roman"/>
          <w:b/>
          <w:sz w:val="20"/>
          <w:lang w:bidi="ar-SA"/>
        </w:rPr>
      </w:pPr>
      <w:r w:rsidRPr="00D86767">
        <w:rPr>
          <w:rFonts w:eastAsia="Times New Roman" w:cs="Times New Roman"/>
          <w:b/>
          <w:sz w:val="20"/>
          <w:lang w:bidi="ar-SA"/>
        </w:rPr>
        <w:lastRenderedPageBreak/>
        <w:t xml:space="preserve">6. </w:t>
      </w:r>
      <w:r w:rsidR="00352140" w:rsidRPr="00D86767">
        <w:rPr>
          <w:rFonts w:eastAsia="Times New Roman" w:cs="Times New Roman"/>
          <w:b/>
          <w:sz w:val="20"/>
          <w:lang w:bidi="ar-SA"/>
        </w:rPr>
        <w:t>Anforderungen der zentralen Abschlussprüfungen</w:t>
      </w:r>
    </w:p>
    <w:p w:rsidR="00352140" w:rsidRPr="0037590D" w:rsidRDefault="00352140" w:rsidP="00D6673D">
      <w:pPr>
        <w:pStyle w:val="Textkrper"/>
        <w:ind w:left="340" w:right="-426"/>
        <w:jc w:val="both"/>
        <w:rPr>
          <w:rFonts w:eastAsia="Times New Roman" w:cs="Times New Roman"/>
          <w:sz w:val="20"/>
          <w:lang w:bidi="ar-SA"/>
        </w:rPr>
      </w:pPr>
    </w:p>
    <w:p w:rsidR="00352140" w:rsidRPr="0037590D" w:rsidRDefault="00352140" w:rsidP="00D6673D">
      <w:pPr>
        <w:pStyle w:val="Textkrper"/>
        <w:ind w:left="340" w:right="-426"/>
        <w:jc w:val="both"/>
        <w:rPr>
          <w:rFonts w:eastAsia="Times New Roman" w:cs="Times New Roman"/>
          <w:b/>
          <w:sz w:val="20"/>
          <w:lang w:bidi="ar-SA"/>
        </w:rPr>
      </w:pPr>
      <w:r w:rsidRPr="0037590D">
        <w:rPr>
          <w:rFonts w:eastAsia="Times New Roman" w:cs="Times New Roman"/>
          <w:b/>
          <w:sz w:val="20"/>
          <w:lang w:bidi="ar-SA"/>
        </w:rPr>
        <w:t>Frage 6.1: Welche abweichenden Anforderungen gelten hinsichtlich der Abschlussprüf</w:t>
      </w:r>
      <w:r w:rsidR="00DF675B">
        <w:rPr>
          <w:rFonts w:eastAsia="Times New Roman" w:cs="Times New Roman"/>
          <w:b/>
          <w:sz w:val="20"/>
          <w:lang w:bidi="ar-SA"/>
        </w:rPr>
        <w:t xml:space="preserve">ungen an FOS/BOS und Gymnasien </w:t>
      </w:r>
      <w:r w:rsidRPr="0037590D">
        <w:rPr>
          <w:rFonts w:eastAsia="Times New Roman" w:cs="Times New Roman"/>
          <w:b/>
          <w:sz w:val="20"/>
          <w:lang w:bidi="ar-SA"/>
        </w:rPr>
        <w:t xml:space="preserve">jeweils </w:t>
      </w:r>
      <w:r w:rsidR="00DF675B">
        <w:rPr>
          <w:rFonts w:eastAsia="Times New Roman" w:cs="Times New Roman"/>
          <w:b/>
          <w:sz w:val="20"/>
          <w:lang w:bidi="ar-SA"/>
        </w:rPr>
        <w:t>vor dem Hintergrund der Coronap</w:t>
      </w:r>
      <w:r w:rsidRPr="0037590D">
        <w:rPr>
          <w:rFonts w:eastAsia="Times New Roman" w:cs="Times New Roman"/>
          <w:b/>
          <w:sz w:val="20"/>
          <w:lang w:bidi="ar-SA"/>
        </w:rPr>
        <w:t>andemie (</w:t>
      </w:r>
      <w:r w:rsidR="00DF675B">
        <w:rPr>
          <w:rFonts w:eastAsia="Times New Roman" w:cs="Times New Roman"/>
          <w:b/>
          <w:sz w:val="20"/>
          <w:lang w:bidi="ar-SA"/>
        </w:rPr>
        <w:t>z. B.</w:t>
      </w:r>
      <w:r w:rsidRPr="0037590D">
        <w:rPr>
          <w:rFonts w:eastAsia="Times New Roman" w:cs="Times New Roman"/>
          <w:b/>
          <w:sz w:val="20"/>
          <w:lang w:bidi="ar-SA"/>
        </w:rPr>
        <w:t xml:space="preserve"> Notenschlüssel und Erwartungshorizonte für die Zentralprüfungen)?</w:t>
      </w:r>
    </w:p>
    <w:p w:rsidR="00352140" w:rsidRPr="0037590D" w:rsidRDefault="00352140" w:rsidP="00D6673D">
      <w:pPr>
        <w:pStyle w:val="Textkrper"/>
        <w:spacing w:before="1"/>
        <w:ind w:left="340" w:right="-426"/>
        <w:jc w:val="both"/>
        <w:rPr>
          <w:rFonts w:eastAsia="Times New Roman" w:cs="Times New Roman"/>
          <w:sz w:val="20"/>
          <w:lang w:bidi="ar-SA"/>
        </w:rPr>
      </w:pPr>
    </w:p>
    <w:p w:rsidR="00352140" w:rsidRPr="0037590D" w:rsidRDefault="00352140" w:rsidP="00D86767">
      <w:pPr>
        <w:pStyle w:val="Textkrper"/>
        <w:ind w:left="340" w:right="-425"/>
        <w:jc w:val="both"/>
        <w:rPr>
          <w:rFonts w:eastAsia="Times New Roman" w:cs="Times New Roman"/>
          <w:sz w:val="20"/>
          <w:lang w:bidi="ar-SA"/>
        </w:rPr>
      </w:pPr>
      <w:r w:rsidRPr="0037590D">
        <w:rPr>
          <w:rFonts w:eastAsia="Times New Roman" w:cs="Times New Roman"/>
          <w:sz w:val="20"/>
          <w:lang w:bidi="ar-SA"/>
        </w:rPr>
        <w:t>Es wird auf die Antworten zu den Ziffern 1.2 und 1.3 verwiesen.</w:t>
      </w:r>
    </w:p>
    <w:p w:rsidR="00352140" w:rsidRPr="0037590D" w:rsidRDefault="00352140" w:rsidP="00D6673D">
      <w:pPr>
        <w:pStyle w:val="Textkrper"/>
        <w:ind w:left="340" w:right="-426"/>
        <w:jc w:val="both"/>
        <w:rPr>
          <w:rFonts w:eastAsia="Times New Roman" w:cs="Times New Roman"/>
          <w:sz w:val="20"/>
          <w:lang w:bidi="ar-SA"/>
        </w:rPr>
      </w:pPr>
    </w:p>
    <w:p w:rsidR="00352140" w:rsidRPr="0037590D" w:rsidRDefault="00352140" w:rsidP="00D6673D">
      <w:pPr>
        <w:pStyle w:val="berschrift1"/>
        <w:ind w:left="340" w:right="-426"/>
        <w:jc w:val="both"/>
        <w:rPr>
          <w:rFonts w:eastAsia="Times New Roman" w:cs="Times New Roman"/>
          <w:bCs w:val="0"/>
          <w:sz w:val="20"/>
          <w:lang w:bidi="ar-SA"/>
        </w:rPr>
      </w:pPr>
      <w:r w:rsidRPr="0037590D">
        <w:rPr>
          <w:rFonts w:eastAsia="Times New Roman" w:cs="Times New Roman"/>
          <w:bCs w:val="0"/>
          <w:sz w:val="20"/>
          <w:lang w:bidi="ar-SA"/>
        </w:rPr>
        <w:t>Frage 6.2: Wie lautet das Konzept des StMUK die Abschlussprüfungen an die veränderte Un</w:t>
      </w:r>
      <w:r w:rsidR="00AB3B23">
        <w:rPr>
          <w:rFonts w:eastAsia="Times New Roman" w:cs="Times New Roman"/>
          <w:bCs w:val="0"/>
          <w:sz w:val="20"/>
          <w:lang w:bidi="ar-SA"/>
        </w:rPr>
        <w:t>terrichtswirklichkeit (Wechsel-</w:t>
      </w:r>
      <w:r w:rsidR="00F90CFF">
        <w:rPr>
          <w:rFonts w:eastAsia="Times New Roman" w:cs="Times New Roman"/>
          <w:bCs w:val="0"/>
          <w:sz w:val="20"/>
          <w:lang w:bidi="ar-SA"/>
        </w:rPr>
        <w:t xml:space="preserve">, </w:t>
      </w:r>
      <w:r w:rsidRPr="0037590D">
        <w:rPr>
          <w:rFonts w:eastAsia="Times New Roman" w:cs="Times New Roman"/>
          <w:bCs w:val="0"/>
          <w:sz w:val="20"/>
          <w:lang w:bidi="ar-SA"/>
        </w:rPr>
        <w:t>Distanzunterricht) anzupassen?</w:t>
      </w:r>
    </w:p>
    <w:p w:rsidR="00352140" w:rsidRPr="0037590D" w:rsidRDefault="00352140" w:rsidP="00D6673D">
      <w:pPr>
        <w:pStyle w:val="Textkrper"/>
        <w:spacing w:before="2"/>
        <w:ind w:left="340" w:right="-426"/>
        <w:jc w:val="both"/>
        <w:rPr>
          <w:rFonts w:eastAsia="Times New Roman" w:cs="Times New Roman"/>
          <w:sz w:val="20"/>
          <w:lang w:bidi="ar-SA"/>
        </w:rPr>
      </w:pPr>
    </w:p>
    <w:p w:rsidR="00352140" w:rsidRPr="0037590D" w:rsidRDefault="00352140" w:rsidP="00D86767">
      <w:pPr>
        <w:pStyle w:val="Textkrper"/>
        <w:ind w:left="340" w:right="-425"/>
        <w:jc w:val="both"/>
        <w:rPr>
          <w:rFonts w:eastAsia="Times New Roman" w:cs="Times New Roman"/>
          <w:sz w:val="20"/>
          <w:lang w:bidi="ar-SA"/>
        </w:rPr>
      </w:pPr>
      <w:r w:rsidRPr="0037590D">
        <w:rPr>
          <w:rFonts w:eastAsia="Times New Roman" w:cs="Times New Roman"/>
          <w:sz w:val="20"/>
          <w:lang w:bidi="ar-SA"/>
        </w:rPr>
        <w:t>Es wird auf die Antwort zu den Ziffer 1.2 und 1.3 verwiesen.</w:t>
      </w:r>
    </w:p>
    <w:p w:rsidR="00352140" w:rsidRPr="0037590D" w:rsidRDefault="00352140" w:rsidP="00D6673D">
      <w:pPr>
        <w:pStyle w:val="Textkrper"/>
        <w:ind w:left="340" w:right="-426"/>
        <w:jc w:val="both"/>
        <w:rPr>
          <w:rFonts w:eastAsia="Times New Roman" w:cs="Times New Roman"/>
          <w:sz w:val="20"/>
          <w:lang w:bidi="ar-SA"/>
        </w:rPr>
      </w:pPr>
    </w:p>
    <w:p w:rsidR="00352140" w:rsidRPr="0037590D" w:rsidRDefault="00352140" w:rsidP="00D6673D">
      <w:pPr>
        <w:pStyle w:val="berschrift1"/>
        <w:spacing w:before="1"/>
        <w:ind w:left="340" w:right="-426"/>
        <w:jc w:val="both"/>
        <w:rPr>
          <w:rFonts w:eastAsia="Times New Roman" w:cs="Times New Roman"/>
          <w:bCs w:val="0"/>
          <w:sz w:val="20"/>
          <w:lang w:bidi="ar-SA"/>
        </w:rPr>
      </w:pPr>
      <w:r w:rsidRPr="0037590D">
        <w:rPr>
          <w:rFonts w:eastAsia="Times New Roman" w:cs="Times New Roman"/>
          <w:bCs w:val="0"/>
          <w:sz w:val="20"/>
          <w:lang w:bidi="ar-SA"/>
        </w:rPr>
        <w:t>Frage 6.3: Inwiefern gibt es konkrete Maßnahmen seitens des StMUK, um Schülern im Falle einer Quarantäneanordnung zeitnahe Ersatztermine für die zentrale Abschlussprüfung zu garantieren?</w:t>
      </w:r>
    </w:p>
    <w:p w:rsidR="00352140" w:rsidRPr="0037590D" w:rsidRDefault="00352140" w:rsidP="00D6673D">
      <w:pPr>
        <w:pStyle w:val="Textkrper"/>
        <w:spacing w:before="5"/>
        <w:ind w:left="340" w:right="-426"/>
        <w:jc w:val="both"/>
        <w:rPr>
          <w:rFonts w:eastAsia="Times New Roman" w:cs="Times New Roman"/>
          <w:sz w:val="20"/>
          <w:lang w:bidi="ar-SA"/>
        </w:rPr>
      </w:pPr>
    </w:p>
    <w:p w:rsidR="00352140" w:rsidRPr="0037590D" w:rsidRDefault="00352140" w:rsidP="00D86767">
      <w:pPr>
        <w:pStyle w:val="Textkrper"/>
        <w:ind w:left="340" w:right="-425"/>
        <w:jc w:val="both"/>
        <w:rPr>
          <w:rFonts w:eastAsia="Times New Roman" w:cs="Times New Roman"/>
          <w:sz w:val="20"/>
          <w:lang w:bidi="ar-SA"/>
        </w:rPr>
      </w:pPr>
      <w:r w:rsidRPr="0037590D">
        <w:rPr>
          <w:rFonts w:eastAsia="Times New Roman" w:cs="Times New Roman"/>
          <w:sz w:val="20"/>
          <w:lang w:bidi="ar-SA"/>
        </w:rPr>
        <w:t xml:space="preserve">Am </w:t>
      </w:r>
      <w:r w:rsidRPr="0037590D">
        <w:rPr>
          <w:rFonts w:eastAsia="Times New Roman" w:cs="Times New Roman"/>
          <w:sz w:val="20"/>
          <w:u w:val="single"/>
          <w:lang w:bidi="ar-SA"/>
        </w:rPr>
        <w:t>Gymnasium</w:t>
      </w:r>
      <w:r w:rsidRPr="0037590D">
        <w:rPr>
          <w:rFonts w:eastAsia="Times New Roman" w:cs="Times New Roman"/>
          <w:sz w:val="20"/>
          <w:lang w:bidi="ar-SA"/>
        </w:rPr>
        <w:t xml:space="preserve"> werden – wie in jedem Abiturjahr – zeitnah Ersatztermine für die schriftlichen Abiturprüfungen angeboten. Nachtermine für mündliche Abiturprüf</w:t>
      </w:r>
      <w:r w:rsidR="00AB3B23">
        <w:rPr>
          <w:rFonts w:eastAsia="Times New Roman" w:cs="Times New Roman"/>
          <w:sz w:val="20"/>
          <w:lang w:bidi="ar-SA"/>
        </w:rPr>
        <w:t xml:space="preserve">ungen werden gegebenenfalls von der jeweiligen </w:t>
      </w:r>
      <w:r w:rsidRPr="0037590D">
        <w:rPr>
          <w:rFonts w:eastAsia="Times New Roman" w:cs="Times New Roman"/>
          <w:sz w:val="20"/>
          <w:lang w:bidi="ar-SA"/>
        </w:rPr>
        <w:t>Schule terminiert.</w:t>
      </w:r>
    </w:p>
    <w:p w:rsidR="00352140" w:rsidRPr="0037590D" w:rsidRDefault="00352140" w:rsidP="00D6673D">
      <w:pPr>
        <w:pStyle w:val="Textkrper"/>
        <w:spacing w:before="1"/>
        <w:ind w:left="340" w:right="-426"/>
        <w:jc w:val="both"/>
        <w:rPr>
          <w:rFonts w:eastAsia="Times New Roman" w:cs="Times New Roman"/>
          <w:sz w:val="20"/>
          <w:lang w:bidi="ar-SA"/>
        </w:rPr>
      </w:pPr>
    </w:p>
    <w:p w:rsidR="00352140" w:rsidRPr="0037590D" w:rsidRDefault="00352140" w:rsidP="00D6673D">
      <w:pPr>
        <w:pStyle w:val="Textkrper"/>
        <w:ind w:left="340" w:right="-426"/>
        <w:jc w:val="both"/>
        <w:rPr>
          <w:rFonts w:eastAsia="Times New Roman" w:cs="Times New Roman"/>
          <w:sz w:val="20"/>
          <w:lang w:bidi="ar-SA"/>
        </w:rPr>
      </w:pPr>
      <w:r w:rsidRPr="0037590D">
        <w:rPr>
          <w:rFonts w:eastAsia="Times New Roman" w:cs="Times New Roman"/>
          <w:sz w:val="20"/>
          <w:lang w:bidi="ar-SA"/>
        </w:rPr>
        <w:t xml:space="preserve">An </w:t>
      </w:r>
      <w:r w:rsidRPr="0037590D">
        <w:rPr>
          <w:rFonts w:eastAsia="Times New Roman" w:cs="Times New Roman"/>
          <w:sz w:val="20"/>
          <w:u w:val="single"/>
          <w:lang w:bidi="ar-SA"/>
        </w:rPr>
        <w:t>Fach- und Berufsoberschulen</w:t>
      </w:r>
      <w:r w:rsidRPr="0037590D">
        <w:rPr>
          <w:rFonts w:eastAsia="Times New Roman" w:cs="Times New Roman"/>
          <w:sz w:val="20"/>
          <w:lang w:bidi="ar-SA"/>
        </w:rPr>
        <w:t xml:space="preserve"> werden ebenfalls zeitnah Ersatztermine für die schriftliche Fachabitur- und Abiturprüfung angeboten, falls dies notwendig wird. Die schriftlichen Nachtermine werden durch die Dienststellen der Ministerialbeauftragten koordiniert. Die mündlichen Prüfungen werden gegebenenfalls von der jeweiligen Schule terminiert.</w:t>
      </w:r>
    </w:p>
    <w:p w:rsidR="00352140" w:rsidRPr="005216DD" w:rsidRDefault="00D86767" w:rsidP="00D86767">
      <w:pPr>
        <w:pStyle w:val="berschrift1"/>
        <w:tabs>
          <w:tab w:val="left" w:pos="538"/>
          <w:tab w:val="left" w:pos="539"/>
        </w:tabs>
        <w:spacing w:before="92"/>
        <w:ind w:left="567" w:right="-425" w:hanging="227"/>
        <w:jc w:val="both"/>
        <w:rPr>
          <w:rFonts w:eastAsia="Times New Roman" w:cs="Times New Roman"/>
          <w:bCs w:val="0"/>
          <w:sz w:val="20"/>
          <w:lang w:bidi="ar-SA"/>
        </w:rPr>
      </w:pPr>
      <w:r>
        <w:rPr>
          <w:rFonts w:eastAsia="Times New Roman" w:cs="Times New Roman"/>
          <w:bCs w:val="0"/>
          <w:sz w:val="20"/>
          <w:lang w:bidi="ar-SA"/>
        </w:rPr>
        <w:t xml:space="preserve">7. </w:t>
      </w:r>
      <w:r w:rsidR="00352140" w:rsidRPr="005216DD">
        <w:rPr>
          <w:rFonts w:eastAsia="Times New Roman" w:cs="Times New Roman"/>
          <w:bCs w:val="0"/>
          <w:sz w:val="20"/>
          <w:lang w:bidi="ar-SA"/>
        </w:rPr>
        <w:t>Durchführung bzw. Ablegung und Ableistung der zentralen</w:t>
      </w:r>
      <w:r w:rsidR="00AB3B23">
        <w:rPr>
          <w:rFonts w:eastAsia="Times New Roman" w:cs="Times New Roman"/>
          <w:bCs w:val="0"/>
          <w:sz w:val="20"/>
          <w:lang w:bidi="ar-SA"/>
        </w:rPr>
        <w:t xml:space="preserve"> Abschlussprü</w:t>
      </w:r>
      <w:r w:rsidR="00352140" w:rsidRPr="005216DD">
        <w:rPr>
          <w:rFonts w:eastAsia="Times New Roman" w:cs="Times New Roman"/>
          <w:bCs w:val="0"/>
          <w:sz w:val="20"/>
          <w:lang w:bidi="ar-SA"/>
        </w:rPr>
        <w:t>fungen</w:t>
      </w:r>
    </w:p>
    <w:p w:rsidR="00352140" w:rsidRPr="005216DD" w:rsidRDefault="00352140" w:rsidP="00D6673D">
      <w:pPr>
        <w:pStyle w:val="Textkrper"/>
        <w:spacing w:before="1"/>
        <w:ind w:left="340" w:right="-426"/>
        <w:jc w:val="both"/>
        <w:rPr>
          <w:rFonts w:eastAsia="Times New Roman" w:cs="Times New Roman"/>
          <w:sz w:val="20"/>
          <w:lang w:bidi="ar-SA"/>
        </w:rPr>
      </w:pPr>
    </w:p>
    <w:p w:rsidR="00352140" w:rsidRPr="005216DD" w:rsidRDefault="00352140" w:rsidP="00D6673D">
      <w:pPr>
        <w:ind w:left="340" w:right="-426"/>
        <w:jc w:val="both"/>
        <w:rPr>
          <w:b/>
        </w:rPr>
      </w:pPr>
      <w:r w:rsidRPr="005216DD">
        <w:rPr>
          <w:b/>
        </w:rPr>
        <w:t>Frage 7.1: Welche besonderen Sicherheits- und Hygienekonzepte liegen neben dem Rahmenhygieneplan zur Durchführung der Abschlussprüfungen vor?</w:t>
      </w:r>
    </w:p>
    <w:p w:rsidR="00352140" w:rsidRPr="005216DD" w:rsidRDefault="00352140" w:rsidP="00D6673D">
      <w:pPr>
        <w:pStyle w:val="Textkrper"/>
        <w:spacing w:before="7"/>
        <w:ind w:left="340" w:right="-426"/>
        <w:jc w:val="both"/>
        <w:rPr>
          <w:rFonts w:eastAsia="Times New Roman" w:cs="Times New Roman"/>
          <w:sz w:val="20"/>
          <w:lang w:bidi="ar-SA"/>
        </w:rPr>
      </w:pPr>
    </w:p>
    <w:p w:rsidR="00352140" w:rsidRPr="005216DD" w:rsidRDefault="00352140" w:rsidP="00D86767">
      <w:pPr>
        <w:pStyle w:val="Textkrper"/>
        <w:ind w:left="340" w:right="-425"/>
        <w:jc w:val="both"/>
        <w:rPr>
          <w:rFonts w:eastAsia="Times New Roman" w:cs="Times New Roman"/>
          <w:sz w:val="20"/>
          <w:lang w:bidi="ar-SA"/>
        </w:rPr>
      </w:pPr>
      <w:r w:rsidRPr="005216DD">
        <w:rPr>
          <w:rFonts w:eastAsia="Times New Roman" w:cs="Times New Roman"/>
          <w:sz w:val="20"/>
          <w:lang w:bidi="ar-SA"/>
        </w:rPr>
        <w:t xml:space="preserve">Das </w:t>
      </w:r>
      <w:r w:rsidR="00AB3B23">
        <w:rPr>
          <w:rFonts w:eastAsia="Times New Roman" w:cs="Times New Roman"/>
          <w:sz w:val="20"/>
          <w:lang w:bidi="ar-SA"/>
        </w:rPr>
        <w:t>StMUK</w:t>
      </w:r>
      <w:r w:rsidRPr="005216DD">
        <w:rPr>
          <w:rFonts w:eastAsia="Times New Roman" w:cs="Times New Roman"/>
          <w:sz w:val="20"/>
          <w:lang w:bidi="ar-SA"/>
        </w:rPr>
        <w:t xml:space="preserve"> passt den Rahmenhygieneplan in Abstimmung mit dem Staatsministerium für Gesundheit und Pflege</w:t>
      </w:r>
      <w:r w:rsidR="00AB3B23">
        <w:rPr>
          <w:rFonts w:eastAsia="Times New Roman" w:cs="Times New Roman"/>
          <w:sz w:val="20"/>
          <w:lang w:bidi="ar-SA"/>
        </w:rPr>
        <w:t xml:space="preserve"> (StMGP)</w:t>
      </w:r>
      <w:r w:rsidRPr="005216DD">
        <w:rPr>
          <w:rFonts w:eastAsia="Times New Roman" w:cs="Times New Roman"/>
          <w:sz w:val="20"/>
          <w:lang w:bidi="ar-SA"/>
        </w:rPr>
        <w:t xml:space="preserve"> unter Berücksichtigung der jeweils geltenden gesundheitsrechtlichen Bestimmungen sehr sorgfältig an. Dieser wird an den Schulen in Rücksicht auf die jeweiligen Verhältnisse vor Ort umgesetzt. Aufgrund der Dynamik des Infektionsgeschehens und der de</w:t>
      </w:r>
      <w:r w:rsidR="00AB3B23">
        <w:rPr>
          <w:rFonts w:eastAsia="Times New Roman" w:cs="Times New Roman"/>
          <w:sz w:val="20"/>
          <w:lang w:bidi="ar-SA"/>
        </w:rPr>
        <w:t>shalb möglicherweise gebotenen Anpassungen</w:t>
      </w:r>
      <w:r w:rsidRPr="005216DD">
        <w:rPr>
          <w:rFonts w:eastAsia="Times New Roman" w:cs="Times New Roman"/>
          <w:sz w:val="20"/>
          <w:lang w:bidi="ar-SA"/>
        </w:rPr>
        <w:t xml:space="preserve"> sowohl der gesundheits</w:t>
      </w:r>
      <w:r w:rsidR="00AB3B23">
        <w:rPr>
          <w:rFonts w:eastAsia="Times New Roman" w:cs="Times New Roman"/>
          <w:sz w:val="20"/>
          <w:lang w:bidi="ar-SA"/>
        </w:rPr>
        <w:t xml:space="preserve">rechtlichen Vorgaben als auch des </w:t>
      </w:r>
      <w:r w:rsidRPr="005216DD">
        <w:rPr>
          <w:rFonts w:eastAsia="Times New Roman" w:cs="Times New Roman"/>
          <w:sz w:val="20"/>
          <w:lang w:bidi="ar-SA"/>
        </w:rPr>
        <w:t>Rahmenhygieneplans lassen sich aus heutiger Sicht noc</w:t>
      </w:r>
      <w:r w:rsidR="00AB3B23">
        <w:rPr>
          <w:rFonts w:eastAsia="Times New Roman" w:cs="Times New Roman"/>
          <w:sz w:val="20"/>
          <w:lang w:bidi="ar-SA"/>
        </w:rPr>
        <w:t>h keine verbindlichen Aussagen</w:t>
      </w:r>
      <w:r w:rsidRPr="005216DD">
        <w:rPr>
          <w:rFonts w:eastAsia="Times New Roman" w:cs="Times New Roman"/>
          <w:sz w:val="20"/>
          <w:lang w:bidi="ar-SA"/>
        </w:rPr>
        <w:t xml:space="preserve"> zu den für die jeweiligen Abschlussprüfungen geltenden Vorgaben treffen.</w:t>
      </w:r>
    </w:p>
    <w:p w:rsidR="00352140" w:rsidRPr="005216DD" w:rsidRDefault="00352140" w:rsidP="00D6673D">
      <w:pPr>
        <w:pStyle w:val="Textkrper"/>
        <w:spacing w:before="10"/>
        <w:ind w:left="340" w:right="-426"/>
        <w:jc w:val="both"/>
        <w:rPr>
          <w:rFonts w:eastAsia="Times New Roman" w:cs="Times New Roman"/>
          <w:sz w:val="20"/>
          <w:lang w:bidi="ar-SA"/>
        </w:rPr>
      </w:pPr>
    </w:p>
    <w:p w:rsidR="00352140" w:rsidRPr="005216DD" w:rsidRDefault="00352140" w:rsidP="00D6673D">
      <w:pPr>
        <w:pStyle w:val="Textkrper"/>
        <w:spacing w:before="1"/>
        <w:ind w:left="340" w:right="-426"/>
        <w:jc w:val="both"/>
        <w:rPr>
          <w:rFonts w:eastAsia="Times New Roman" w:cs="Times New Roman"/>
          <w:sz w:val="20"/>
          <w:lang w:bidi="ar-SA"/>
        </w:rPr>
      </w:pPr>
      <w:r w:rsidRPr="005216DD">
        <w:rPr>
          <w:rFonts w:eastAsia="Times New Roman" w:cs="Times New Roman"/>
          <w:sz w:val="20"/>
          <w:lang w:bidi="ar-SA"/>
        </w:rPr>
        <w:t>Vorgesehen ist Folgendes: Tritt während der Prüfungsphase (nicht während regulärer Leistungsnachweise) ei</w:t>
      </w:r>
      <w:r w:rsidR="00AB3B23">
        <w:rPr>
          <w:rFonts w:eastAsia="Times New Roman" w:cs="Times New Roman"/>
          <w:sz w:val="20"/>
          <w:lang w:bidi="ar-SA"/>
        </w:rPr>
        <w:t>n bestätigter Fall einer COVID-</w:t>
      </w:r>
      <w:r w:rsidRPr="005216DD">
        <w:rPr>
          <w:rFonts w:eastAsia="Times New Roman" w:cs="Times New Roman"/>
          <w:sz w:val="20"/>
          <w:lang w:bidi="ar-SA"/>
        </w:rPr>
        <w:t>19-Erkrankung in einer Abschlussklasse bei einer Schülerin oder einem Schüler oder einer Lehrkraft auf, so werden alle KP 1 prioritär a</w:t>
      </w:r>
      <w:r w:rsidR="00F90CFF">
        <w:rPr>
          <w:rFonts w:eastAsia="Times New Roman" w:cs="Times New Roman"/>
          <w:sz w:val="20"/>
          <w:lang w:bidi="ar-SA"/>
        </w:rPr>
        <w:t>uf SARS- CoV-2 getestet. Alle Kontaktpersonen der Kategorie </w:t>
      </w:r>
      <w:r w:rsidRPr="005216DD">
        <w:rPr>
          <w:rFonts w:eastAsia="Times New Roman" w:cs="Times New Roman"/>
          <w:sz w:val="20"/>
          <w:lang w:bidi="ar-SA"/>
        </w:rPr>
        <w:t>1 dürfen, auch ohne vorliegendes SARS-CoV-2- Testergebnis die Quarantäne zur Teilnahme an den Abschlussprüfungen unter strikter Einhaltung des Hygienekonzepts sowie ausgedehnten Abstandsregelungen (Sicherheitsabstand von &gt; 2 m) unterbrechen.</w:t>
      </w:r>
    </w:p>
    <w:p w:rsidR="00352140" w:rsidRPr="005216DD" w:rsidRDefault="00352140" w:rsidP="00D6673D">
      <w:pPr>
        <w:pStyle w:val="Textkrper"/>
        <w:spacing w:before="1"/>
        <w:ind w:left="340" w:right="-426"/>
        <w:jc w:val="both"/>
        <w:rPr>
          <w:rFonts w:eastAsia="Times New Roman" w:cs="Times New Roman"/>
          <w:sz w:val="20"/>
          <w:lang w:bidi="ar-SA"/>
        </w:rPr>
      </w:pPr>
    </w:p>
    <w:p w:rsidR="00352140" w:rsidRPr="005216DD" w:rsidRDefault="00352140" w:rsidP="00D6673D">
      <w:pPr>
        <w:pStyle w:val="berschrift1"/>
        <w:ind w:left="340" w:right="-426"/>
        <w:jc w:val="both"/>
        <w:rPr>
          <w:rFonts w:eastAsia="Times New Roman" w:cs="Times New Roman"/>
          <w:bCs w:val="0"/>
          <w:sz w:val="20"/>
          <w:lang w:bidi="ar-SA"/>
        </w:rPr>
      </w:pPr>
      <w:r w:rsidRPr="005216DD">
        <w:rPr>
          <w:rFonts w:eastAsia="Times New Roman" w:cs="Times New Roman"/>
          <w:bCs w:val="0"/>
          <w:sz w:val="20"/>
          <w:lang w:bidi="ar-SA"/>
        </w:rPr>
        <w:t>Frage 7.2: Inwiefern ist die Abschlussprüfung an den jeweiligen Schularten im Falle einer Corona-Infektion vor, während und nach der Prüfung wiederholbar (bitte Konzepte unter Nennung der Regelungen darstellen)?</w:t>
      </w:r>
    </w:p>
    <w:p w:rsidR="00352140" w:rsidRPr="005216DD" w:rsidRDefault="00352140" w:rsidP="00EE2E76">
      <w:pPr>
        <w:pStyle w:val="Textkrper"/>
        <w:tabs>
          <w:tab w:val="left" w:pos="4928"/>
        </w:tabs>
        <w:spacing w:before="240"/>
        <w:ind w:left="340" w:right="-425"/>
        <w:jc w:val="both"/>
        <w:rPr>
          <w:rFonts w:eastAsia="Times New Roman" w:cs="Times New Roman"/>
          <w:sz w:val="20"/>
          <w:lang w:bidi="ar-SA"/>
        </w:rPr>
      </w:pPr>
      <w:r w:rsidRPr="005216DD">
        <w:rPr>
          <w:rFonts w:eastAsia="Times New Roman" w:cs="Times New Roman"/>
          <w:sz w:val="20"/>
          <w:lang w:bidi="ar-SA"/>
        </w:rPr>
        <w:t>A</w:t>
      </w:r>
      <w:r w:rsidR="00AB3B23">
        <w:rPr>
          <w:rFonts w:eastAsia="Times New Roman" w:cs="Times New Roman"/>
          <w:sz w:val="20"/>
          <w:lang w:bidi="ar-SA"/>
        </w:rPr>
        <w:t>m</w:t>
      </w:r>
      <w:r w:rsidR="00DF2AD3">
        <w:rPr>
          <w:rFonts w:eastAsia="Times New Roman" w:cs="Times New Roman"/>
          <w:sz w:val="20"/>
          <w:lang w:bidi="ar-SA"/>
        </w:rPr>
        <w:t xml:space="preserve"> Gymnasium ist die Teilnahme an </w:t>
      </w:r>
      <w:r w:rsidRPr="005216DD">
        <w:rPr>
          <w:rFonts w:eastAsia="Times New Roman" w:cs="Times New Roman"/>
          <w:sz w:val="20"/>
          <w:lang w:bidi="ar-SA"/>
        </w:rPr>
        <w:t>der Abiturprüfung möglich, sobald die Zulassungs</w:t>
      </w:r>
      <w:r w:rsidRPr="005216DD">
        <w:rPr>
          <w:rFonts w:eastAsia="Times New Roman" w:cs="Times New Roman"/>
          <w:sz w:val="20"/>
          <w:lang w:bidi="ar-SA"/>
        </w:rPr>
        <w:lastRenderedPageBreak/>
        <w:t>voraussetzungen gemäß § 44 GSO erfüllt sind. Gemäß § 56</w:t>
      </w:r>
      <w:r w:rsidR="00DF2AD3">
        <w:rPr>
          <w:rFonts w:eastAsia="Times New Roman" w:cs="Times New Roman"/>
          <w:sz w:val="20"/>
          <w:lang w:bidi="ar-SA"/>
        </w:rPr>
        <w:t xml:space="preserve"> </w:t>
      </w:r>
      <w:r w:rsidRPr="005216DD">
        <w:rPr>
          <w:rFonts w:eastAsia="Times New Roman" w:cs="Times New Roman"/>
          <w:sz w:val="20"/>
          <w:lang w:bidi="ar-SA"/>
        </w:rPr>
        <w:t>GSO gilt im Falle der Verhinderung der Teilnahme: Erkrankungen, die die Teilnahme einer Schülerin oder eines Schülers an der Abiturprüfung verhindern, sind unverzüglich durch ärztliches Attest nachzuweisen; die Schule kann die Vorlage eines schulärztlichen Zeugnisses verlangen.</w:t>
      </w:r>
    </w:p>
    <w:p w:rsidR="00352140" w:rsidRPr="005216DD" w:rsidRDefault="00352140" w:rsidP="00D6673D">
      <w:pPr>
        <w:pStyle w:val="Textkrper"/>
        <w:ind w:left="340" w:right="-426"/>
        <w:jc w:val="both"/>
        <w:rPr>
          <w:rFonts w:eastAsia="Times New Roman" w:cs="Times New Roman"/>
          <w:sz w:val="20"/>
          <w:lang w:bidi="ar-SA"/>
        </w:rPr>
      </w:pPr>
      <w:r w:rsidRPr="005216DD">
        <w:rPr>
          <w:rFonts w:eastAsia="Times New Roman" w:cs="Times New Roman"/>
          <w:sz w:val="20"/>
          <w:lang w:bidi="ar-SA"/>
        </w:rPr>
        <w:t>Gemäß § 26 GSO können gesundheitliche Gründe der Schülerin oder des Schülers, denen zufolge die Prüfungsleistung nicht gewertet werden soll, nach Beginn der Prüfung in der Regel nicht mehr anerkannt werden. Eine Erkrankung nach der Prüfung ist für die Prüfungsleistung in der Regel unerheblich.</w:t>
      </w:r>
    </w:p>
    <w:p w:rsidR="00352140" w:rsidRPr="005216DD" w:rsidRDefault="00352140" w:rsidP="00D6673D">
      <w:pPr>
        <w:pStyle w:val="Textkrper"/>
        <w:spacing w:before="240"/>
        <w:ind w:left="340" w:right="-426"/>
        <w:jc w:val="both"/>
        <w:rPr>
          <w:rFonts w:eastAsia="Times New Roman" w:cs="Times New Roman"/>
          <w:sz w:val="20"/>
          <w:lang w:bidi="ar-SA"/>
        </w:rPr>
      </w:pPr>
      <w:r w:rsidRPr="005216DD">
        <w:rPr>
          <w:rFonts w:eastAsia="Times New Roman" w:cs="Times New Roman"/>
          <w:sz w:val="20"/>
          <w:lang w:bidi="ar-SA"/>
        </w:rPr>
        <w:t xml:space="preserve">An </w:t>
      </w:r>
      <w:r w:rsidRPr="005216DD">
        <w:rPr>
          <w:rFonts w:eastAsia="Times New Roman" w:cs="Times New Roman"/>
          <w:sz w:val="20"/>
          <w:u w:val="single"/>
          <w:lang w:bidi="ar-SA"/>
        </w:rPr>
        <w:t>Fach- und Berufsoberschulen</w:t>
      </w:r>
      <w:r w:rsidRPr="005216DD">
        <w:rPr>
          <w:rFonts w:eastAsia="Times New Roman" w:cs="Times New Roman"/>
          <w:sz w:val="20"/>
          <w:lang w:bidi="ar-SA"/>
        </w:rPr>
        <w:t xml:space="preserve"> ist die Teilnahme a</w:t>
      </w:r>
      <w:r w:rsidR="00AB3B23">
        <w:rPr>
          <w:rFonts w:eastAsia="Times New Roman" w:cs="Times New Roman"/>
          <w:sz w:val="20"/>
          <w:lang w:bidi="ar-SA"/>
        </w:rPr>
        <w:t>n den schriftlichen und prakti</w:t>
      </w:r>
      <w:r w:rsidRPr="005216DD">
        <w:rPr>
          <w:rFonts w:eastAsia="Times New Roman" w:cs="Times New Roman"/>
          <w:sz w:val="20"/>
          <w:lang w:bidi="ar-SA"/>
        </w:rPr>
        <w:t xml:space="preserve">schen Abschlussprüfungen möglich, wenn keine </w:t>
      </w:r>
      <w:r w:rsidR="00AB3B23">
        <w:rPr>
          <w:rFonts w:eastAsia="Times New Roman" w:cs="Times New Roman"/>
          <w:sz w:val="20"/>
          <w:lang w:bidi="ar-SA"/>
        </w:rPr>
        <w:t>Bedingungen nach § 31 Abs. 2 FO</w:t>
      </w:r>
      <w:r w:rsidRPr="005216DD">
        <w:rPr>
          <w:rFonts w:eastAsia="Times New Roman" w:cs="Times New Roman"/>
          <w:sz w:val="20"/>
          <w:lang w:bidi="ar-SA"/>
        </w:rPr>
        <w:t>BOSO vorliegen, die die Teilnahme ausschließen. Gemäß § 36 Abs. 3 FOBOSO können Schülerinnen und Schüler, die an der Abschlu</w:t>
      </w:r>
      <w:r w:rsidR="00AB3B23">
        <w:rPr>
          <w:rFonts w:eastAsia="Times New Roman" w:cs="Times New Roman"/>
          <w:sz w:val="20"/>
          <w:lang w:bidi="ar-SA"/>
        </w:rPr>
        <w:t>ssprüfung in allen oder einzel</w:t>
      </w:r>
      <w:r w:rsidRPr="005216DD">
        <w:rPr>
          <w:rFonts w:eastAsia="Times New Roman" w:cs="Times New Roman"/>
          <w:sz w:val="20"/>
          <w:lang w:bidi="ar-SA"/>
        </w:rPr>
        <w:t>nen Fächern infolge eines von ihnen nicht zu vertretenden Grundes nicht teilnehmen konnten, die Abschlussprüfung oder die nicht abgelegten Teile der Prüfung mit G</w:t>
      </w:r>
      <w:r w:rsidR="00AB3B23">
        <w:rPr>
          <w:rFonts w:eastAsia="Times New Roman" w:cs="Times New Roman"/>
          <w:sz w:val="20"/>
          <w:lang w:bidi="ar-SA"/>
        </w:rPr>
        <w:t>e</w:t>
      </w:r>
      <w:r w:rsidRPr="005216DD">
        <w:rPr>
          <w:rFonts w:eastAsia="Times New Roman" w:cs="Times New Roman"/>
          <w:sz w:val="20"/>
          <w:lang w:bidi="ar-SA"/>
        </w:rPr>
        <w:t>nehmigung der Ministerialbeauftragten nachholen. Die schriftlichen und praktischen Aufgaben stellt das Staatsministerium. Die oder der Ministerialbeauftragte legt den Nachtermin und die Schule fest, an der die Prüfung n</w:t>
      </w:r>
      <w:r w:rsidR="00AB3B23">
        <w:rPr>
          <w:rFonts w:eastAsia="Times New Roman" w:cs="Times New Roman"/>
          <w:sz w:val="20"/>
          <w:lang w:bidi="ar-SA"/>
        </w:rPr>
        <w:t>achgeholt wird. Sie oder er ent</w:t>
      </w:r>
      <w:r w:rsidRPr="005216DD">
        <w:rPr>
          <w:rFonts w:eastAsia="Times New Roman" w:cs="Times New Roman"/>
          <w:sz w:val="20"/>
          <w:lang w:bidi="ar-SA"/>
        </w:rPr>
        <w:t xml:space="preserve">scheidet auch, ob die nachzuholende verpflichtende mündliche Prüfung im </w:t>
      </w:r>
      <w:r w:rsidR="00AB3B23">
        <w:rPr>
          <w:rFonts w:eastAsia="Times New Roman" w:cs="Times New Roman"/>
          <w:sz w:val="20"/>
          <w:lang w:bidi="ar-SA"/>
        </w:rPr>
        <w:t xml:space="preserve">Fach Englisch als Gruppen- oder Einzelprüfung durchgeführt </w:t>
      </w:r>
      <w:r w:rsidRPr="005216DD">
        <w:rPr>
          <w:rFonts w:eastAsia="Times New Roman" w:cs="Times New Roman"/>
          <w:sz w:val="20"/>
          <w:lang w:bidi="ar-SA"/>
        </w:rPr>
        <w:t>wird. Gesundheitliche Gründe der Schülerin oder des Schülers, denen zufolge die Leistung nicht gewertet werden soll, können nach Beginn der Prüfung in der Regel nicht geltend gemacht werden. Eine Erkrankung nach der Prüfung ist für die Prüfungsleistung in der Regel unerheblich.</w:t>
      </w:r>
    </w:p>
    <w:p w:rsidR="00352140" w:rsidRPr="005216DD" w:rsidRDefault="00352140" w:rsidP="00D6673D">
      <w:pPr>
        <w:pStyle w:val="Textkrper"/>
        <w:spacing w:before="16"/>
        <w:ind w:left="340" w:right="-426"/>
        <w:jc w:val="both"/>
        <w:rPr>
          <w:rFonts w:eastAsia="Times New Roman" w:cs="Times New Roman"/>
          <w:sz w:val="20"/>
          <w:lang w:bidi="ar-SA"/>
        </w:rPr>
      </w:pPr>
    </w:p>
    <w:p w:rsidR="00352140" w:rsidRPr="005216DD" w:rsidRDefault="00352140" w:rsidP="00D6673D">
      <w:pPr>
        <w:pStyle w:val="Textkrper"/>
        <w:spacing w:before="16"/>
        <w:ind w:left="340" w:right="-426"/>
        <w:jc w:val="both"/>
        <w:rPr>
          <w:rFonts w:eastAsia="Times New Roman" w:cs="Times New Roman"/>
          <w:sz w:val="20"/>
          <w:lang w:bidi="ar-SA"/>
        </w:rPr>
      </w:pPr>
      <w:r w:rsidRPr="005216DD">
        <w:rPr>
          <w:rFonts w:eastAsia="Times New Roman" w:cs="Times New Roman"/>
          <w:sz w:val="20"/>
          <w:lang w:bidi="ar-SA"/>
        </w:rPr>
        <w:t>Im Übrigen wird auf die Antwort zu Ziffer 6.3 verwiesen.</w:t>
      </w:r>
    </w:p>
    <w:p w:rsidR="00352140" w:rsidRPr="005216DD" w:rsidRDefault="00352140" w:rsidP="00D6673D">
      <w:pPr>
        <w:pStyle w:val="Textkrper"/>
        <w:spacing w:before="16"/>
        <w:ind w:left="340" w:right="-426"/>
        <w:jc w:val="both"/>
        <w:rPr>
          <w:rFonts w:eastAsia="Times New Roman" w:cs="Times New Roman"/>
          <w:sz w:val="20"/>
          <w:lang w:bidi="ar-SA"/>
        </w:rPr>
      </w:pPr>
    </w:p>
    <w:p w:rsidR="00352140" w:rsidRPr="005216DD" w:rsidRDefault="00352140" w:rsidP="00D6673D">
      <w:pPr>
        <w:pStyle w:val="berschrift1"/>
        <w:spacing w:before="16"/>
        <w:ind w:left="340" w:right="-426"/>
        <w:jc w:val="both"/>
        <w:rPr>
          <w:rFonts w:eastAsia="Times New Roman" w:cs="Times New Roman"/>
          <w:bCs w:val="0"/>
          <w:sz w:val="20"/>
          <w:lang w:bidi="ar-SA"/>
        </w:rPr>
      </w:pPr>
      <w:r w:rsidRPr="005216DD">
        <w:rPr>
          <w:rFonts w:eastAsia="Times New Roman" w:cs="Times New Roman"/>
          <w:bCs w:val="0"/>
          <w:sz w:val="20"/>
          <w:lang w:bidi="ar-SA"/>
        </w:rPr>
        <w:t>Frage 7.3: Inwiefern gibt es eine entsprechende Corona-Klausel, falls Schüler während der Vorbereitungsphase an Corona erkranken und zum Prüfdatum wieder genesen?</w:t>
      </w:r>
    </w:p>
    <w:p w:rsidR="00265CCB" w:rsidRDefault="00352140" w:rsidP="00D6673D">
      <w:pPr>
        <w:pStyle w:val="LTAntwortRessortText"/>
        <w:ind w:right="-426"/>
      </w:pPr>
      <w:r>
        <w:t>Antwort zu Frage 7.3:</w:t>
      </w:r>
    </w:p>
    <w:p w:rsidR="00352140" w:rsidRPr="005216DD" w:rsidRDefault="00352140" w:rsidP="00D6673D">
      <w:pPr>
        <w:pStyle w:val="Textkrper"/>
        <w:tabs>
          <w:tab w:val="left" w:pos="4928"/>
        </w:tabs>
        <w:spacing w:before="28"/>
        <w:ind w:left="340" w:right="-426"/>
        <w:jc w:val="both"/>
        <w:rPr>
          <w:rFonts w:eastAsia="Times New Roman" w:cs="Times New Roman"/>
          <w:sz w:val="20"/>
          <w:lang w:bidi="ar-SA"/>
        </w:rPr>
      </w:pPr>
      <w:r w:rsidRPr="005216DD">
        <w:rPr>
          <w:rFonts w:eastAsia="Times New Roman" w:cs="Times New Roman"/>
          <w:sz w:val="20"/>
          <w:lang w:bidi="ar-SA"/>
        </w:rPr>
        <w:t>Es</w:t>
      </w:r>
      <w:r w:rsidR="00AB3B23">
        <w:rPr>
          <w:rFonts w:eastAsia="Times New Roman" w:cs="Times New Roman"/>
          <w:sz w:val="20"/>
          <w:lang w:bidi="ar-SA"/>
        </w:rPr>
        <w:t xml:space="preserve"> wird auf die</w:t>
      </w:r>
      <w:r w:rsidR="00D86767">
        <w:rPr>
          <w:rFonts w:eastAsia="Times New Roman" w:cs="Times New Roman"/>
          <w:sz w:val="20"/>
          <w:lang w:bidi="ar-SA"/>
        </w:rPr>
        <w:t xml:space="preserve"> Antworten zu den </w:t>
      </w:r>
      <w:r w:rsidRPr="005216DD">
        <w:rPr>
          <w:rFonts w:eastAsia="Times New Roman" w:cs="Times New Roman"/>
          <w:sz w:val="20"/>
          <w:lang w:bidi="ar-SA"/>
        </w:rPr>
        <w:t>Ziffern 7.2 und 6.3 verwiesen.</w:t>
      </w:r>
    </w:p>
    <w:p w:rsidR="00352140" w:rsidRPr="005216DD" w:rsidRDefault="00352140" w:rsidP="00D6673D">
      <w:pPr>
        <w:pStyle w:val="Textkrper"/>
        <w:ind w:left="340" w:right="-426"/>
        <w:jc w:val="both"/>
        <w:rPr>
          <w:rFonts w:eastAsia="Times New Roman" w:cs="Times New Roman"/>
          <w:sz w:val="20"/>
          <w:lang w:bidi="ar-SA"/>
        </w:rPr>
      </w:pPr>
    </w:p>
    <w:p w:rsidR="00352140" w:rsidRPr="00D86767" w:rsidRDefault="00D86767" w:rsidP="00D86767">
      <w:pPr>
        <w:pStyle w:val="berschrift1"/>
        <w:tabs>
          <w:tab w:val="left" w:pos="538"/>
          <w:tab w:val="left" w:pos="539"/>
        </w:tabs>
        <w:spacing w:before="161"/>
        <w:ind w:left="340" w:right="-426"/>
        <w:jc w:val="both"/>
        <w:rPr>
          <w:rFonts w:eastAsia="Times New Roman" w:cs="Times New Roman"/>
          <w:bCs w:val="0"/>
          <w:sz w:val="20"/>
          <w:lang w:bidi="ar-SA"/>
        </w:rPr>
      </w:pPr>
      <w:r w:rsidRPr="00D86767">
        <w:rPr>
          <w:rFonts w:eastAsia="Times New Roman" w:cs="Times New Roman"/>
          <w:bCs w:val="0"/>
          <w:sz w:val="20"/>
          <w:lang w:bidi="ar-SA"/>
        </w:rPr>
        <w:t xml:space="preserve">8. </w:t>
      </w:r>
      <w:r w:rsidR="00352140" w:rsidRPr="00D86767">
        <w:rPr>
          <w:rFonts w:eastAsia="Times New Roman" w:cs="Times New Roman"/>
          <w:bCs w:val="0"/>
          <w:sz w:val="20"/>
          <w:lang w:bidi="ar-SA"/>
        </w:rPr>
        <w:t>Härtefälle</w:t>
      </w:r>
    </w:p>
    <w:p w:rsidR="00352140" w:rsidRPr="005216DD" w:rsidRDefault="00352140" w:rsidP="00D6673D">
      <w:pPr>
        <w:pStyle w:val="Textkrper"/>
        <w:ind w:left="340" w:right="-426"/>
        <w:jc w:val="both"/>
        <w:rPr>
          <w:rFonts w:eastAsia="Times New Roman" w:cs="Times New Roman"/>
          <w:sz w:val="20"/>
          <w:lang w:bidi="ar-SA"/>
        </w:rPr>
      </w:pPr>
    </w:p>
    <w:p w:rsidR="00352140" w:rsidRPr="005216DD" w:rsidRDefault="00352140" w:rsidP="00D6673D">
      <w:pPr>
        <w:spacing w:before="1"/>
        <w:ind w:left="340" w:right="-426"/>
        <w:jc w:val="both"/>
        <w:rPr>
          <w:b/>
        </w:rPr>
      </w:pPr>
      <w:r w:rsidRPr="005216DD">
        <w:rPr>
          <w:b/>
        </w:rPr>
        <w:t>Frage zu 8.1: Welche Konzepte hat das StMUK für Corona-Härtefälle – die bereits 2020 auftraten und noch nicht von bisherigen Härtefallregelungen erfasst waren - neu entwickelt?</w:t>
      </w:r>
    </w:p>
    <w:p w:rsidR="00352140" w:rsidRPr="005216DD" w:rsidRDefault="00352140" w:rsidP="00D6673D">
      <w:pPr>
        <w:pStyle w:val="Textkrper"/>
        <w:spacing w:before="1"/>
        <w:ind w:left="340" w:right="-426"/>
        <w:jc w:val="both"/>
        <w:rPr>
          <w:rFonts w:eastAsia="Times New Roman" w:cs="Times New Roman"/>
          <w:sz w:val="20"/>
          <w:lang w:bidi="ar-SA"/>
        </w:rPr>
      </w:pPr>
    </w:p>
    <w:p w:rsidR="00352140" w:rsidRPr="005C075F" w:rsidRDefault="00352140" w:rsidP="00AB3B23">
      <w:pPr>
        <w:pStyle w:val="Textkrper"/>
        <w:ind w:left="340" w:right="-425"/>
        <w:jc w:val="both"/>
        <w:rPr>
          <w:rFonts w:eastAsia="Times New Roman" w:cs="Times New Roman"/>
          <w:sz w:val="20"/>
          <w:lang w:bidi="ar-SA"/>
        </w:rPr>
      </w:pPr>
      <w:r w:rsidRPr="005C075F">
        <w:rPr>
          <w:rFonts w:eastAsia="Times New Roman" w:cs="Times New Roman"/>
          <w:sz w:val="20"/>
          <w:lang w:bidi="ar-SA"/>
        </w:rPr>
        <w:t xml:space="preserve">Am </w:t>
      </w:r>
      <w:r w:rsidRPr="00474EB3">
        <w:rPr>
          <w:rFonts w:eastAsia="Times New Roman" w:cs="Times New Roman"/>
          <w:sz w:val="20"/>
          <w:u w:val="single"/>
          <w:lang w:bidi="ar-SA"/>
        </w:rPr>
        <w:t>Gymnasium</w:t>
      </w:r>
      <w:r w:rsidRPr="005C075F">
        <w:rPr>
          <w:rFonts w:eastAsia="Times New Roman" w:cs="Times New Roman"/>
          <w:sz w:val="20"/>
          <w:lang w:bidi="ar-SA"/>
        </w:rPr>
        <w:t xml:space="preserve"> wurde für den Abiturjahrgang 2020 (l</w:t>
      </w:r>
      <w:r w:rsidR="00AB3B23">
        <w:rPr>
          <w:rFonts w:eastAsia="Times New Roman" w:cs="Times New Roman"/>
          <w:sz w:val="20"/>
          <w:lang w:bidi="ar-SA"/>
        </w:rPr>
        <w:t>etztjährige Q12) neben der Ver</w:t>
      </w:r>
      <w:r w:rsidRPr="005C075F">
        <w:rPr>
          <w:rFonts w:eastAsia="Times New Roman" w:cs="Times New Roman"/>
          <w:sz w:val="20"/>
          <w:lang w:bidi="ar-SA"/>
        </w:rPr>
        <w:t>schiebung der Abiturprüfung und Ausnahmeregelunge</w:t>
      </w:r>
      <w:r w:rsidR="00AB3B23">
        <w:rPr>
          <w:rFonts w:eastAsia="Times New Roman" w:cs="Times New Roman"/>
          <w:sz w:val="20"/>
          <w:lang w:bidi="ar-SA"/>
        </w:rPr>
        <w:t>n im Hinblick auf die Abiturzu</w:t>
      </w:r>
      <w:r w:rsidRPr="005C075F">
        <w:rPr>
          <w:rFonts w:eastAsia="Times New Roman" w:cs="Times New Roman"/>
          <w:sz w:val="20"/>
          <w:lang w:bidi="ar-SA"/>
        </w:rPr>
        <w:t>lassung insbesondere die Günstigerregelung zur Ermittlung der Halbjahresleistung</w:t>
      </w:r>
    </w:p>
    <w:p w:rsidR="00352140" w:rsidRPr="005C075F" w:rsidRDefault="00352140" w:rsidP="00D6673D">
      <w:pPr>
        <w:pStyle w:val="Textkrper"/>
        <w:ind w:left="340" w:right="-426"/>
        <w:jc w:val="both"/>
        <w:rPr>
          <w:rFonts w:eastAsia="Times New Roman" w:cs="Times New Roman"/>
          <w:sz w:val="20"/>
          <w:lang w:bidi="ar-SA"/>
        </w:rPr>
      </w:pPr>
      <w:r w:rsidRPr="005C075F">
        <w:rPr>
          <w:rFonts w:eastAsia="Times New Roman" w:cs="Times New Roman"/>
          <w:sz w:val="20"/>
          <w:lang w:bidi="ar-SA"/>
        </w:rPr>
        <w:t>im Kurshalbjahr 12/2 vorgesehen. Für den Abiturjahrgang 2021 (diesjährige Q12) wurden die bereits im vorhergehenden Schuljahr</w:t>
      </w:r>
      <w:r w:rsidR="00AB3B23">
        <w:rPr>
          <w:rFonts w:eastAsia="Times New Roman" w:cs="Times New Roman"/>
          <w:sz w:val="20"/>
          <w:lang w:bidi="ar-SA"/>
        </w:rPr>
        <w:t xml:space="preserve"> getroffenen Maßnahmen – dem In</w:t>
      </w:r>
      <w:r w:rsidRPr="005C075F">
        <w:rPr>
          <w:rFonts w:eastAsia="Times New Roman" w:cs="Times New Roman"/>
          <w:sz w:val="20"/>
          <w:lang w:bidi="ar-SA"/>
        </w:rPr>
        <w:t>fektionsgeschehen und den damit verbundenen Beeinträchtigungen des Schul- und Unterrichtsbetriebs entsprechend – sukzessive erweitert.</w:t>
      </w:r>
    </w:p>
    <w:p w:rsidR="00352140" w:rsidRPr="005C075F" w:rsidRDefault="00352140" w:rsidP="00AB3B23">
      <w:pPr>
        <w:pStyle w:val="Textkrper"/>
        <w:spacing w:before="240"/>
        <w:ind w:left="340" w:right="-425"/>
        <w:jc w:val="both"/>
        <w:rPr>
          <w:rFonts w:eastAsia="Times New Roman" w:cs="Times New Roman"/>
          <w:sz w:val="20"/>
          <w:lang w:bidi="ar-SA"/>
        </w:rPr>
      </w:pPr>
      <w:r w:rsidRPr="005C075F">
        <w:rPr>
          <w:rFonts w:eastAsia="Times New Roman" w:cs="Times New Roman"/>
          <w:sz w:val="20"/>
          <w:lang w:bidi="ar-SA"/>
        </w:rPr>
        <w:t>Im Übrigen wird auf die Antwort zu Ziffer 1.3 verwiesen.</w:t>
      </w:r>
    </w:p>
    <w:p w:rsidR="00352140" w:rsidRPr="006F0CA8" w:rsidRDefault="00352140" w:rsidP="00D6673D">
      <w:pPr>
        <w:pStyle w:val="Textkrper"/>
        <w:ind w:left="340" w:right="-426"/>
        <w:jc w:val="both"/>
        <w:rPr>
          <w:rFonts w:eastAsia="Times New Roman" w:cs="Times New Roman"/>
          <w:sz w:val="20"/>
          <w:lang w:bidi="ar-SA"/>
        </w:rPr>
      </w:pPr>
      <w:r w:rsidRPr="005C075F">
        <w:rPr>
          <w:rFonts w:eastAsia="Times New Roman" w:cs="Times New Roman"/>
          <w:sz w:val="20"/>
          <w:lang w:bidi="ar-SA"/>
        </w:rPr>
        <w:t xml:space="preserve">An </w:t>
      </w:r>
      <w:r w:rsidRPr="00474EB3">
        <w:rPr>
          <w:rFonts w:eastAsia="Times New Roman" w:cs="Times New Roman"/>
          <w:sz w:val="20"/>
          <w:u w:val="single"/>
          <w:lang w:bidi="ar-SA"/>
        </w:rPr>
        <w:t>Fach- und Berufsoberschulen</w:t>
      </w:r>
      <w:r w:rsidRPr="005C075F">
        <w:rPr>
          <w:rFonts w:eastAsia="Times New Roman" w:cs="Times New Roman"/>
          <w:sz w:val="20"/>
          <w:lang w:bidi="ar-SA"/>
        </w:rPr>
        <w:t xml:space="preserve"> wurde für den Fachabitur- und Abiturjahrgang 2020 (letztjährige FOSBOS 12 und 13) neben der Verschiebung der Abiturprüfung und Ausnahmeregelungen im Hinblick auf die Fachabitu</w:t>
      </w:r>
      <w:r w:rsidR="00AB3B23">
        <w:rPr>
          <w:rFonts w:eastAsia="Times New Roman" w:cs="Times New Roman"/>
          <w:sz w:val="20"/>
          <w:lang w:bidi="ar-SA"/>
        </w:rPr>
        <w:t>r- und Abiturzulassung insbeson</w:t>
      </w:r>
      <w:r w:rsidRPr="005C075F">
        <w:rPr>
          <w:rFonts w:eastAsia="Times New Roman" w:cs="Times New Roman"/>
          <w:sz w:val="20"/>
          <w:lang w:bidi="ar-SA"/>
        </w:rPr>
        <w:t>dere die</w:t>
      </w:r>
      <w:r w:rsidRPr="006F0CA8">
        <w:rPr>
          <w:rFonts w:eastAsia="Times New Roman" w:cs="Times New Roman"/>
          <w:sz w:val="20"/>
          <w:lang w:bidi="ar-SA"/>
        </w:rPr>
        <w:t xml:space="preserve"> Günstiger</w:t>
      </w:r>
      <w:r w:rsidR="00AB3B23">
        <w:rPr>
          <w:rFonts w:eastAsia="Times New Roman" w:cs="Times New Roman"/>
          <w:sz w:val="20"/>
          <w:lang w:bidi="ar-SA"/>
        </w:rPr>
        <w:t xml:space="preserve">regelung zur Ermittlung </w:t>
      </w:r>
      <w:r w:rsidRPr="006F0CA8">
        <w:rPr>
          <w:rFonts w:eastAsia="Times New Roman" w:cs="Times New Roman"/>
          <w:sz w:val="20"/>
          <w:lang w:bidi="ar-SA"/>
        </w:rPr>
        <w:t>der Halbjahresleistung im Kurshalbjahr 12/2 vorgesehen. Für den</w:t>
      </w:r>
      <w:r w:rsidR="00AB3B23">
        <w:rPr>
          <w:rFonts w:eastAsia="Times New Roman" w:cs="Times New Roman"/>
          <w:sz w:val="20"/>
          <w:lang w:bidi="ar-SA"/>
        </w:rPr>
        <w:t xml:space="preserve"> Fachabitur- und Abiturjahrgang 2021 (diesjährige </w:t>
      </w:r>
      <w:r w:rsidR="00EE2E76">
        <w:rPr>
          <w:rFonts w:eastAsia="Times New Roman" w:cs="Times New Roman"/>
          <w:sz w:val="20"/>
          <w:lang w:bidi="ar-SA"/>
        </w:rPr>
        <w:t>FOS/</w:t>
      </w:r>
      <w:r w:rsidRPr="006F0CA8">
        <w:rPr>
          <w:rFonts w:eastAsia="Times New Roman" w:cs="Times New Roman"/>
          <w:sz w:val="20"/>
          <w:lang w:bidi="ar-SA"/>
        </w:rPr>
        <w:t>BOS 12 und 13) wurden die bereits im vorhergehe</w:t>
      </w:r>
      <w:r w:rsidR="00AB3B23">
        <w:rPr>
          <w:rFonts w:eastAsia="Times New Roman" w:cs="Times New Roman"/>
          <w:sz w:val="20"/>
          <w:lang w:bidi="ar-SA"/>
        </w:rPr>
        <w:t>nden Schuljahr getroffenen Maß</w:t>
      </w:r>
      <w:r w:rsidRPr="006F0CA8">
        <w:rPr>
          <w:rFonts w:eastAsia="Times New Roman" w:cs="Times New Roman"/>
          <w:sz w:val="20"/>
          <w:lang w:bidi="ar-SA"/>
        </w:rPr>
        <w:t>nahmen – dem Infek</w:t>
      </w:r>
      <w:r w:rsidRPr="006F0CA8">
        <w:rPr>
          <w:rFonts w:eastAsia="Times New Roman" w:cs="Times New Roman"/>
          <w:sz w:val="20"/>
          <w:lang w:bidi="ar-SA"/>
        </w:rPr>
        <w:lastRenderedPageBreak/>
        <w:t>tionsgeschehen und den damit verbundenen Beeinträchtigungen des Schul- und Unterrichtsbetriebs entsprechend – sukzessive erweitert.</w:t>
      </w:r>
    </w:p>
    <w:p w:rsidR="00352140" w:rsidRPr="006F0CA8" w:rsidRDefault="00352140" w:rsidP="00D6673D">
      <w:pPr>
        <w:pStyle w:val="Textkrper"/>
        <w:spacing w:before="6"/>
        <w:ind w:left="340" w:right="-426"/>
        <w:jc w:val="both"/>
        <w:rPr>
          <w:rFonts w:eastAsia="Times New Roman" w:cs="Times New Roman"/>
          <w:sz w:val="20"/>
          <w:lang w:bidi="ar-SA"/>
        </w:rPr>
      </w:pPr>
    </w:p>
    <w:p w:rsidR="00352140" w:rsidRPr="006F0CA8" w:rsidRDefault="00352140" w:rsidP="00D6673D">
      <w:pPr>
        <w:pStyle w:val="Textkrper"/>
        <w:ind w:left="340" w:right="-426"/>
        <w:jc w:val="both"/>
        <w:rPr>
          <w:rFonts w:eastAsia="Times New Roman" w:cs="Times New Roman"/>
          <w:sz w:val="20"/>
          <w:lang w:bidi="ar-SA"/>
        </w:rPr>
      </w:pPr>
      <w:r w:rsidRPr="006F0CA8">
        <w:rPr>
          <w:rFonts w:eastAsia="Times New Roman" w:cs="Times New Roman"/>
          <w:sz w:val="20"/>
          <w:lang w:bidi="ar-SA"/>
        </w:rPr>
        <w:t>Im Übrigen wird ebenfalls auf die Antwort zu Ziffer 1.3 verwiesen.</w:t>
      </w:r>
    </w:p>
    <w:p w:rsidR="00265CCB" w:rsidRPr="00474EB3" w:rsidRDefault="00352140" w:rsidP="00D6673D">
      <w:pPr>
        <w:pStyle w:val="LTAntwortRessortText"/>
        <w:ind w:right="-426"/>
        <w:rPr>
          <w:b/>
        </w:rPr>
      </w:pPr>
      <w:r w:rsidRPr="00474EB3">
        <w:rPr>
          <w:b/>
        </w:rPr>
        <w:t>Frage 8.2: Wie lauten die exakten Härtefallregelungen für die Abschlussjahrgänge 2021 an FOS/BOS und Gymnasien?</w:t>
      </w:r>
    </w:p>
    <w:p w:rsidR="00352140" w:rsidRPr="006F0CA8" w:rsidRDefault="00352140" w:rsidP="00D6673D">
      <w:pPr>
        <w:pStyle w:val="Textkrper"/>
        <w:spacing w:before="28"/>
        <w:ind w:left="340" w:right="-426"/>
        <w:jc w:val="both"/>
        <w:rPr>
          <w:rFonts w:eastAsia="Times New Roman" w:cs="Times New Roman"/>
          <w:sz w:val="20"/>
          <w:lang w:bidi="ar-SA"/>
        </w:rPr>
      </w:pPr>
    </w:p>
    <w:p w:rsidR="00352140" w:rsidRPr="00DF2AD3" w:rsidRDefault="00352140" w:rsidP="00474EB3">
      <w:pPr>
        <w:ind w:left="340" w:right="-425"/>
        <w:jc w:val="both"/>
        <w:rPr>
          <w:i/>
        </w:rPr>
      </w:pPr>
      <w:r w:rsidRPr="006F0CA8">
        <w:t>Neben den unter 1.3 genannten Maßnahmen läss</w:t>
      </w:r>
      <w:r w:rsidR="00AB3B23">
        <w:t>t § 45 der Bayerischen Schulord</w:t>
      </w:r>
      <w:r w:rsidRPr="006F0CA8">
        <w:t xml:space="preserve">nung (BaySchO) stets auch individuelle Härtefallregelungen zu: </w:t>
      </w:r>
      <w:r w:rsidR="00AB3B23">
        <w:rPr>
          <w:i/>
        </w:rPr>
        <w:t>„Das Staatsministe</w:t>
      </w:r>
      <w:r w:rsidRPr="00DF2AD3">
        <w:rPr>
          <w:i/>
        </w:rPr>
        <w:t>rium oder die von ihm beauftragte Stelle kann von einzelnen Bestimmungen der Schulordnungen Ausnahmen gewähren, wenn die Anwendung der Bestimmungen im Einzelfall zu einer unbilligen Härte führen würde und Abweichungen auch unter dem Gesichtspunkt der Gleichbehandlung unbedenklich erscheint.“</w:t>
      </w:r>
    </w:p>
    <w:p w:rsidR="00352140" w:rsidRPr="00DF2AD3" w:rsidRDefault="00352140" w:rsidP="00D6673D">
      <w:pPr>
        <w:pStyle w:val="Textkrper"/>
        <w:spacing w:before="1"/>
        <w:ind w:left="340" w:right="-426"/>
        <w:jc w:val="both"/>
        <w:rPr>
          <w:rFonts w:eastAsia="Times New Roman" w:cs="Times New Roman"/>
          <w:sz w:val="20"/>
          <w:lang w:bidi="ar-SA"/>
        </w:rPr>
      </w:pPr>
    </w:p>
    <w:p w:rsidR="00352140" w:rsidRPr="00DF2AD3" w:rsidRDefault="00352140" w:rsidP="00D6673D">
      <w:pPr>
        <w:pStyle w:val="Textkrper"/>
        <w:ind w:left="340" w:right="-426"/>
        <w:jc w:val="both"/>
        <w:rPr>
          <w:rFonts w:eastAsia="Times New Roman" w:cs="Times New Roman"/>
          <w:sz w:val="20"/>
          <w:lang w:bidi="ar-SA"/>
        </w:rPr>
      </w:pPr>
      <w:r w:rsidRPr="00DF2AD3">
        <w:rPr>
          <w:rFonts w:eastAsia="Times New Roman" w:cs="Times New Roman"/>
          <w:sz w:val="20"/>
          <w:lang w:bidi="ar-SA"/>
        </w:rPr>
        <w:t>§ 46b BaySchO ermöglicht es dem Staatsministerium zudem während des Bestehens einer epidemischen Lage von nationaler Tragweite nach § 5 des Infektionsschutzgesetzes oder eines coronabedingten Katastrophenfa</w:t>
      </w:r>
      <w:r w:rsidR="00EE2E76">
        <w:rPr>
          <w:rFonts w:eastAsia="Times New Roman" w:cs="Times New Roman"/>
          <w:sz w:val="20"/>
          <w:lang w:bidi="ar-SA"/>
        </w:rPr>
        <w:t>lls in Bayern</w:t>
      </w:r>
      <w:r w:rsidRPr="00DF2AD3">
        <w:rPr>
          <w:rFonts w:eastAsia="Times New Roman" w:cs="Times New Roman"/>
          <w:sz w:val="20"/>
          <w:lang w:bidi="ar-SA"/>
        </w:rPr>
        <w:t>, Abweichungen von den Bes</w:t>
      </w:r>
      <w:r w:rsidR="00AB3B23">
        <w:rPr>
          <w:rFonts w:eastAsia="Times New Roman" w:cs="Times New Roman"/>
          <w:sz w:val="20"/>
          <w:lang w:bidi="ar-SA"/>
        </w:rPr>
        <w:t>timmungen der</w:t>
      </w:r>
      <w:r w:rsidRPr="00DF2AD3">
        <w:rPr>
          <w:rFonts w:eastAsia="Times New Roman" w:cs="Times New Roman"/>
          <w:sz w:val="20"/>
          <w:lang w:bidi="ar-SA"/>
        </w:rPr>
        <w:t xml:space="preserve"> BaySchO oder anderer Schulordnungen nach dem Bayerischen Gesetz über das Erziehungs- und Unterrichtswesen in bestimmten Bereichen anzuordnen, soweit dies zur Minderung von Infektionsgefahren oder zum Ausgleich coronabedingter Unterrichts- oder Prüfungserschwernisse erforderlich ist; von der (nicht absch</w:t>
      </w:r>
      <w:r w:rsidR="00AB3B23">
        <w:rPr>
          <w:rFonts w:eastAsia="Times New Roman" w:cs="Times New Roman"/>
          <w:sz w:val="20"/>
          <w:lang w:bidi="ar-SA"/>
        </w:rPr>
        <w:t xml:space="preserve">ließenden) Aufzählung in §46b </w:t>
      </w:r>
      <w:r w:rsidRPr="00DF2AD3">
        <w:rPr>
          <w:rFonts w:eastAsia="Times New Roman" w:cs="Times New Roman"/>
          <w:sz w:val="20"/>
          <w:lang w:bidi="ar-SA"/>
        </w:rPr>
        <w:t>Abs. 1 BaySchO umfasst sind u.</w:t>
      </w:r>
      <w:r w:rsidR="00AB3B23">
        <w:rPr>
          <w:rFonts w:eastAsia="Times New Roman" w:cs="Times New Roman"/>
          <w:sz w:val="20"/>
          <w:lang w:bidi="ar-SA"/>
        </w:rPr>
        <w:t> </w:t>
      </w:r>
      <w:r w:rsidRPr="00DF2AD3">
        <w:rPr>
          <w:rFonts w:eastAsia="Times New Roman" w:cs="Times New Roman"/>
          <w:sz w:val="20"/>
          <w:lang w:bidi="ar-SA"/>
        </w:rPr>
        <w:t>a. die Regelungen zu Abschlussprüfungen einschließlich der Termine, der Teilnahme und der Berechnung der Prüfungsgesamtnoten.</w:t>
      </w:r>
    </w:p>
    <w:p w:rsidR="00352140" w:rsidRPr="00DF2AD3" w:rsidRDefault="00352140" w:rsidP="00D6673D">
      <w:pPr>
        <w:pStyle w:val="Textkrper"/>
        <w:ind w:left="340" w:right="-426"/>
        <w:jc w:val="both"/>
        <w:rPr>
          <w:rFonts w:eastAsia="Times New Roman" w:cs="Times New Roman"/>
          <w:sz w:val="20"/>
          <w:lang w:bidi="ar-SA"/>
        </w:rPr>
      </w:pPr>
      <w:r w:rsidRPr="00DF2AD3">
        <w:rPr>
          <w:rFonts w:eastAsia="Times New Roman" w:cs="Times New Roman"/>
          <w:sz w:val="20"/>
          <w:lang w:bidi="ar-SA"/>
        </w:rPr>
        <w:t>Die Anordnung der Abweichung ergeht dabei als Allgemeinverfügung und kann lan</w:t>
      </w:r>
      <w:r w:rsidR="00AB3B23">
        <w:rPr>
          <w:rFonts w:eastAsia="Times New Roman" w:cs="Times New Roman"/>
          <w:sz w:val="20"/>
          <w:lang w:bidi="ar-SA"/>
        </w:rPr>
        <w:t>-</w:t>
      </w:r>
      <w:r w:rsidR="00AB3B23">
        <w:rPr>
          <w:rFonts w:eastAsia="Times New Roman" w:cs="Times New Roman"/>
          <w:sz w:val="20"/>
          <w:lang w:bidi="ar-SA"/>
        </w:rPr>
        <w:br/>
      </w:r>
      <w:r w:rsidRPr="00DF2AD3">
        <w:rPr>
          <w:rFonts w:eastAsia="Times New Roman" w:cs="Times New Roman"/>
          <w:sz w:val="20"/>
          <w:lang w:bidi="ar-SA"/>
        </w:rPr>
        <w:t>des-, bezirks- oder landkreisscharf ergehen, sie ist im Bayerischen Ministerial</w:t>
      </w:r>
      <w:r w:rsidR="00AB3B23">
        <w:rPr>
          <w:rFonts w:eastAsia="Times New Roman" w:cs="Times New Roman"/>
          <w:sz w:val="20"/>
          <w:lang w:bidi="ar-SA"/>
        </w:rPr>
        <w:t>blatt zu veröffentlichen (vgl.</w:t>
      </w:r>
      <w:r w:rsidRPr="00DF2AD3">
        <w:rPr>
          <w:rFonts w:eastAsia="Times New Roman" w:cs="Times New Roman"/>
          <w:sz w:val="20"/>
          <w:lang w:bidi="ar-SA"/>
        </w:rPr>
        <w:t xml:space="preserve"> hierzu etwa die Bekanntmachung des </w:t>
      </w:r>
      <w:r w:rsidR="00AB3B23">
        <w:rPr>
          <w:rFonts w:eastAsia="Times New Roman" w:cs="Times New Roman"/>
          <w:sz w:val="20"/>
          <w:lang w:bidi="ar-SA"/>
        </w:rPr>
        <w:t xml:space="preserve">StMUK </w:t>
      </w:r>
      <w:r w:rsidRPr="00DF2AD3">
        <w:rPr>
          <w:rFonts w:eastAsia="Times New Roman" w:cs="Times New Roman"/>
          <w:sz w:val="20"/>
          <w:lang w:bidi="ar-SA"/>
        </w:rPr>
        <w:t>üb</w:t>
      </w:r>
      <w:r w:rsidR="00AB3B23">
        <w:rPr>
          <w:rFonts w:eastAsia="Times New Roman" w:cs="Times New Roman"/>
          <w:sz w:val="20"/>
          <w:lang w:bidi="ar-SA"/>
        </w:rPr>
        <w:t xml:space="preserve">er den Vollzug der Bayerischen </w:t>
      </w:r>
      <w:r w:rsidRPr="00DF2AD3">
        <w:rPr>
          <w:rFonts w:eastAsia="Times New Roman" w:cs="Times New Roman"/>
          <w:sz w:val="20"/>
          <w:lang w:bidi="ar-SA"/>
        </w:rPr>
        <w:t xml:space="preserve">Schulordnung </w:t>
      </w:r>
      <w:r w:rsidR="00AB3B23">
        <w:rPr>
          <w:rFonts w:eastAsia="Times New Roman" w:cs="Times New Roman"/>
          <w:sz w:val="20"/>
          <w:lang w:bidi="ar-SA"/>
        </w:rPr>
        <w:t>(BaySchO) –</w:t>
      </w:r>
      <w:r w:rsidRPr="00DF2AD3">
        <w:rPr>
          <w:rFonts w:eastAsia="Times New Roman" w:cs="Times New Roman"/>
          <w:sz w:val="20"/>
          <w:lang w:bidi="ar-SA"/>
        </w:rPr>
        <w:t xml:space="preserve"> Allgemeinverfügung zur Änderung der Schu</w:t>
      </w:r>
      <w:r w:rsidR="00AB3B23">
        <w:rPr>
          <w:rFonts w:eastAsia="Times New Roman" w:cs="Times New Roman"/>
          <w:sz w:val="20"/>
          <w:lang w:bidi="ar-SA"/>
        </w:rPr>
        <w:t>lordnungen in Folge der Coronap</w:t>
      </w:r>
      <w:r w:rsidRPr="00DF2AD3">
        <w:rPr>
          <w:rFonts w:eastAsia="Times New Roman" w:cs="Times New Roman"/>
          <w:sz w:val="20"/>
          <w:lang w:bidi="ar-SA"/>
        </w:rPr>
        <w:t xml:space="preserve">andemie vom </w:t>
      </w:r>
      <w:r w:rsidR="00AB3B23">
        <w:rPr>
          <w:rFonts w:eastAsia="Times New Roman" w:cs="Times New Roman"/>
          <w:sz w:val="20"/>
          <w:lang w:bidi="ar-SA"/>
        </w:rPr>
        <w:t>04.02.</w:t>
      </w:r>
      <w:r w:rsidRPr="00DF2AD3">
        <w:rPr>
          <w:rFonts w:eastAsia="Times New Roman" w:cs="Times New Roman"/>
          <w:sz w:val="20"/>
          <w:lang w:bidi="ar-SA"/>
        </w:rPr>
        <w:t>2021 (BayMBl. Nr. 97), die durch Bekanntmachung vom 26.</w:t>
      </w:r>
      <w:r w:rsidR="00AB3B23">
        <w:rPr>
          <w:rFonts w:eastAsia="Times New Roman" w:cs="Times New Roman"/>
          <w:sz w:val="20"/>
          <w:lang w:bidi="ar-SA"/>
        </w:rPr>
        <w:t>02.</w:t>
      </w:r>
      <w:r w:rsidRPr="00DF2AD3">
        <w:rPr>
          <w:rFonts w:eastAsia="Times New Roman" w:cs="Times New Roman"/>
          <w:sz w:val="20"/>
          <w:lang w:bidi="ar-SA"/>
        </w:rPr>
        <w:t xml:space="preserve">2021 (BayMBl. Nr. 154) geändert worden ist; abrufbar unter </w:t>
      </w:r>
      <w:hyperlink r:id="rId20" w:history="1">
        <w:r w:rsidR="00AB3B23" w:rsidRPr="00AB3B23">
          <w:rPr>
            <w:rStyle w:val="LTHyperlinkZchn"/>
            <w:b w:val="0"/>
            <w:sz w:val="18"/>
            <w:lang w:bidi="ar-SA"/>
          </w:rPr>
          <w:t>https://www.gesetze-bayern.de/Content/Document/BayVV_2230_1_1_1_K_11819/true</w:t>
        </w:r>
      </w:hyperlink>
      <w:r w:rsidRPr="00DF2AD3">
        <w:rPr>
          <w:rFonts w:eastAsia="Times New Roman" w:cs="Times New Roman"/>
          <w:sz w:val="20"/>
          <w:lang w:bidi="ar-SA"/>
        </w:rPr>
        <w:t>).</w:t>
      </w:r>
    </w:p>
    <w:p w:rsidR="00352140" w:rsidRPr="00DF2AD3" w:rsidRDefault="00352140" w:rsidP="00D6673D">
      <w:pPr>
        <w:pStyle w:val="Textkrper"/>
        <w:ind w:left="340" w:right="-426"/>
        <w:jc w:val="both"/>
        <w:rPr>
          <w:rFonts w:eastAsia="Times New Roman" w:cs="Times New Roman"/>
          <w:sz w:val="20"/>
          <w:lang w:bidi="ar-SA"/>
        </w:rPr>
      </w:pPr>
    </w:p>
    <w:p w:rsidR="00352140" w:rsidRPr="00DF2AD3" w:rsidRDefault="00352140" w:rsidP="00D6673D">
      <w:pPr>
        <w:pStyle w:val="Textkrper"/>
        <w:spacing w:before="93"/>
        <w:ind w:left="340" w:right="-426"/>
        <w:jc w:val="both"/>
        <w:rPr>
          <w:rFonts w:eastAsia="Times New Roman" w:cs="Times New Roman"/>
          <w:sz w:val="20"/>
          <w:lang w:bidi="ar-SA"/>
        </w:rPr>
      </w:pPr>
      <w:r w:rsidRPr="00DF2AD3">
        <w:rPr>
          <w:rFonts w:eastAsia="Times New Roman" w:cs="Times New Roman"/>
          <w:sz w:val="20"/>
          <w:lang w:bidi="ar-SA"/>
        </w:rPr>
        <w:t>Über die nötigen Abweichungen entscheidet das Sta</w:t>
      </w:r>
      <w:r w:rsidR="00474EB3">
        <w:rPr>
          <w:rFonts w:eastAsia="Times New Roman" w:cs="Times New Roman"/>
          <w:sz w:val="20"/>
          <w:lang w:bidi="ar-SA"/>
        </w:rPr>
        <w:t>atsministerium jeweils zu gege</w:t>
      </w:r>
      <w:r w:rsidRPr="00DF2AD3">
        <w:rPr>
          <w:rFonts w:eastAsia="Times New Roman" w:cs="Times New Roman"/>
          <w:sz w:val="20"/>
          <w:lang w:bidi="ar-SA"/>
        </w:rPr>
        <w:t>bener Zeit.</w:t>
      </w:r>
    </w:p>
    <w:p w:rsidR="00352140" w:rsidRPr="00DF2AD3" w:rsidRDefault="00352140" w:rsidP="00D6673D">
      <w:pPr>
        <w:pStyle w:val="Textkrper"/>
        <w:spacing w:before="4"/>
        <w:ind w:left="340" w:right="-426"/>
        <w:jc w:val="both"/>
        <w:rPr>
          <w:rFonts w:eastAsia="Times New Roman" w:cs="Times New Roman"/>
          <w:sz w:val="20"/>
          <w:lang w:bidi="ar-SA"/>
        </w:rPr>
      </w:pPr>
    </w:p>
    <w:p w:rsidR="00352140" w:rsidRPr="00474EB3" w:rsidRDefault="00352140" w:rsidP="00D6673D">
      <w:pPr>
        <w:pStyle w:val="berschrift1"/>
        <w:ind w:left="340" w:right="-426"/>
        <w:jc w:val="both"/>
        <w:rPr>
          <w:rFonts w:eastAsia="Times New Roman" w:cs="Times New Roman"/>
          <w:bCs w:val="0"/>
          <w:sz w:val="20"/>
          <w:lang w:bidi="ar-SA"/>
        </w:rPr>
      </w:pPr>
      <w:r w:rsidRPr="00474EB3">
        <w:rPr>
          <w:rFonts w:eastAsia="Times New Roman" w:cs="Times New Roman"/>
          <w:bCs w:val="0"/>
          <w:sz w:val="20"/>
          <w:lang w:bidi="ar-SA"/>
        </w:rPr>
        <w:t>Frage 8.3: Wie verbindlich sind die Härtefallregelungen für die Akteure an den FOS/BOS und den Gymnasien?</w:t>
      </w:r>
    </w:p>
    <w:p w:rsidR="002215F6" w:rsidRDefault="00352140" w:rsidP="00EE2E76">
      <w:pPr>
        <w:pStyle w:val="Textkrper"/>
        <w:spacing w:before="240"/>
        <w:ind w:left="340" w:right="-425"/>
        <w:jc w:val="both"/>
        <w:rPr>
          <w:rFonts w:eastAsia="Times New Roman" w:cs="Times New Roman"/>
          <w:sz w:val="20"/>
          <w:lang w:bidi="ar-SA"/>
        </w:rPr>
      </w:pPr>
      <w:r w:rsidRPr="00DF2AD3">
        <w:rPr>
          <w:rFonts w:eastAsia="Times New Roman" w:cs="Times New Roman"/>
          <w:sz w:val="20"/>
          <w:lang w:bidi="ar-SA"/>
        </w:rPr>
        <w:t>Härtefallregelungen sind auf Basis der ihnen jeweils zugrundeliegenden Sach- und Entscheidungsgrundlage für alle beteiligten Akteure verbindlich.</w:t>
      </w:r>
    </w:p>
    <w:p w:rsidR="002215F6" w:rsidRDefault="002215F6" w:rsidP="007B6F46">
      <w:pPr>
        <w:pStyle w:val="Textkrper"/>
        <w:ind w:left="340" w:right="-425"/>
        <w:jc w:val="both"/>
        <w:rPr>
          <w:rFonts w:eastAsia="Times New Roman" w:cs="Times New Roman"/>
          <w:sz w:val="20"/>
          <w:lang w:bidi="ar-SA"/>
        </w:rPr>
      </w:pPr>
    </w:p>
    <w:p w:rsidR="002215F6" w:rsidRDefault="002215F6" w:rsidP="007B6F46">
      <w:pPr>
        <w:pStyle w:val="Textkrper"/>
        <w:ind w:left="340" w:right="-425"/>
        <w:jc w:val="both"/>
        <w:rPr>
          <w:rFonts w:eastAsia="Times New Roman" w:cs="Times New Roman"/>
          <w:sz w:val="20"/>
          <w:lang w:bidi="ar-SA"/>
        </w:rPr>
      </w:pPr>
      <w:r>
        <w:rPr>
          <w:rFonts w:eastAsia="Times New Roman" w:cs="Times New Roman"/>
          <w:sz w:val="20"/>
          <w:lang w:bidi="ar-SA"/>
        </w:rPr>
        <w:t>*) Von einem Abdru</w:t>
      </w:r>
      <w:r w:rsidR="00413D64">
        <w:rPr>
          <w:rFonts w:eastAsia="Times New Roman" w:cs="Times New Roman"/>
          <w:sz w:val="20"/>
          <w:lang w:bidi="ar-SA"/>
        </w:rPr>
        <w:t>ck wurde abgesehen. Die Tabelle</w:t>
      </w:r>
      <w:r>
        <w:rPr>
          <w:rFonts w:eastAsia="Times New Roman" w:cs="Times New Roman"/>
          <w:sz w:val="20"/>
          <w:lang w:bidi="ar-SA"/>
        </w:rPr>
        <w:t xml:space="preserve"> zu 3.3 </w:t>
      </w:r>
      <w:r w:rsidR="00413D64">
        <w:rPr>
          <w:rFonts w:eastAsia="Times New Roman" w:cs="Times New Roman"/>
          <w:sz w:val="20"/>
          <w:lang w:bidi="ar-SA"/>
        </w:rPr>
        <w:t>ist</w:t>
      </w:r>
      <w:r>
        <w:rPr>
          <w:rFonts w:eastAsia="Times New Roman" w:cs="Times New Roman"/>
          <w:sz w:val="20"/>
          <w:lang w:bidi="ar-SA"/>
        </w:rPr>
        <w:t xml:space="preserve"> als pdf-Dokument </w:t>
      </w:r>
      <w:hyperlink r:id="rId21" w:history="1">
        <w:r w:rsidRPr="00537EB9">
          <w:rPr>
            <w:rStyle w:val="LTHyperlinkZchn"/>
            <w:b w:val="0"/>
            <w:sz w:val="20"/>
          </w:rPr>
          <w:t>hier</w:t>
        </w:r>
      </w:hyperlink>
      <w:r>
        <w:rPr>
          <w:rFonts w:eastAsia="Times New Roman" w:cs="Times New Roman"/>
          <w:sz w:val="20"/>
          <w:lang w:bidi="ar-SA"/>
        </w:rPr>
        <w:t xml:space="preserve"> einsehbar.</w:t>
      </w:r>
    </w:p>
    <w:p w:rsidR="007E0861" w:rsidRDefault="00413D64" w:rsidP="007B6F46">
      <w:pPr>
        <w:pStyle w:val="Textkrper"/>
        <w:ind w:left="340" w:right="-425"/>
        <w:jc w:val="both"/>
      </w:pPr>
      <w:r>
        <w:rPr>
          <w:rFonts w:eastAsia="Times New Roman" w:cs="Times New Roman"/>
          <w:sz w:val="20"/>
          <w:lang w:bidi="ar-SA"/>
        </w:rPr>
        <w:t xml:space="preserve">**) Von einem Abdruck wurde abgesehen. Die Tabellen zu 5.3 sind als pdf-Dokument </w:t>
      </w:r>
      <w:hyperlink r:id="rId22" w:history="1">
        <w:r w:rsidRPr="00537EB9">
          <w:rPr>
            <w:rStyle w:val="LTHyperlinkZchn"/>
            <w:b w:val="0"/>
            <w:sz w:val="20"/>
            <w:lang w:bidi="ar-SA"/>
          </w:rPr>
          <w:t>hier</w:t>
        </w:r>
      </w:hyperlink>
      <w:r>
        <w:rPr>
          <w:rFonts w:eastAsia="Times New Roman" w:cs="Times New Roman"/>
          <w:sz w:val="20"/>
          <w:lang w:bidi="ar-SA"/>
        </w:rPr>
        <w:t xml:space="preserve"> einsehbar.</w:t>
      </w:r>
      <w:bookmarkStart w:id="27" w:name="Frage_Nr_13_Ende"/>
      <w:bookmarkEnd w:id="27"/>
      <w:r w:rsidR="007E0861">
        <w:br w:type="page"/>
      </w:r>
    </w:p>
    <w:tbl>
      <w:tblPr>
        <w:tblStyle w:val="Tabellenraster"/>
        <w:tblW w:w="133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8"/>
        <w:gridCol w:w="5698"/>
        <w:gridCol w:w="5698"/>
      </w:tblGrid>
      <w:tr w:rsidR="00BE1E41" w:rsidTr="00BE1E41">
        <w:tc>
          <w:tcPr>
            <w:tcW w:w="1918" w:type="dxa"/>
          </w:tcPr>
          <w:p w:rsidR="00BE1E41" w:rsidRDefault="00BE1E41" w:rsidP="00BE1E41">
            <w:pPr>
              <w:pStyle w:val="LTAnfrageInitiator"/>
            </w:pPr>
            <w:r>
              <w:lastRenderedPageBreak/>
              <w:t>Abgeordnete</w:t>
            </w:r>
            <w:r>
              <w:rPr>
                <w:b/>
              </w:rPr>
              <w:br/>
              <w:t>Anna</w:t>
            </w:r>
            <w:r>
              <w:rPr>
                <w:b/>
              </w:rPr>
              <w:br/>
              <w:t>Schwamberger</w:t>
            </w:r>
            <w:r>
              <w:rPr>
                <w:b/>
              </w:rPr>
              <w:br/>
            </w:r>
            <w:r>
              <w:t>(BÜNDNIS 90/DIE GRÜNEN)</w:t>
            </w:r>
            <w:bookmarkStart w:id="28" w:name="Frage_Nr_14"/>
            <w:bookmarkEnd w:id="28"/>
          </w:p>
        </w:tc>
        <w:tc>
          <w:tcPr>
            <w:tcW w:w="5698" w:type="dxa"/>
          </w:tcPr>
          <w:p w:rsidR="00BE1E41" w:rsidRPr="00E044EA" w:rsidRDefault="00BE1E41" w:rsidP="00E044EA">
            <w:pPr>
              <w:pStyle w:val="LTAnfrageText"/>
            </w:pPr>
            <w:r w:rsidRPr="00E044EA">
              <w:t>Nachdem Ende 2020 berichtet wurde, dass das Staatsministerium für Unterricht und Kultus die Lizenz für das Videokonferenztool Microsoft (MS) Teams für bayerische Schulen bis Ende April 2021 verlängert hat, mehr als 350 Schulen diese Möglichkeit nutzen und ab Mai diesen Jahres an allen Schulen dauerhaft ein vom Freistaat bereits ausgeschriebenes Kommunikationswerkzeug zur Verfügung stehen soll, frage ich die Staatsregierung, welche Kriterien wurden für das neue Kommunikationstool in der Ausschreibung benannt (bitte um differenzierte Beschreibung), welche Unternehmen haben bisher ein Angebot abgegeben (bitte um namentliche Nennung der Unternehmen) und für welches Tool wurde sich entschieden (bitte um Begründung)?</w:t>
            </w:r>
          </w:p>
        </w:tc>
        <w:tc>
          <w:tcPr>
            <w:tcW w:w="5698" w:type="dxa"/>
          </w:tcPr>
          <w:p w:rsidR="00BE1E41" w:rsidRDefault="00BE1E41" w:rsidP="00BE1E41">
            <w:pPr>
              <w:pStyle w:val="LTAnfrageText"/>
            </w:pPr>
          </w:p>
        </w:tc>
      </w:tr>
    </w:tbl>
    <w:p w:rsidR="007E0861" w:rsidRDefault="007E0861" w:rsidP="007E0861">
      <w:pPr>
        <w:pStyle w:val="LTUeberschrAntwortRessort"/>
      </w:pPr>
      <w:r>
        <w:t>Antwort des Staatsministeriums für Unterricht und Kultus</w:t>
      </w:r>
    </w:p>
    <w:p w:rsidR="007E0861" w:rsidRDefault="007E0861" w:rsidP="007E0861">
      <w:pPr>
        <w:pStyle w:val="LTAntwortRessortText"/>
      </w:pPr>
      <w:r>
        <w:t>Die nationale Bekanntmachung der Kriterien für das ausgeschriebene Videokonferenztool</w:t>
      </w:r>
      <w:r w:rsidR="0012690B">
        <w:t xml:space="preserve"> </w:t>
      </w:r>
      <w:r>
        <w:t>erfolgte am 05.11.2020 auf der eVergabeplattform auftraege.bayern.de unter</w:t>
      </w:r>
      <w:r w:rsidR="0012690B">
        <w:t xml:space="preserve"> </w:t>
      </w:r>
      <w:r>
        <w:t xml:space="preserve">der folgenden URL: </w:t>
      </w:r>
      <w:hyperlink r:id="rId23" w:history="1">
        <w:r w:rsidRPr="007E2FED">
          <w:rPr>
            <w:rStyle w:val="LTHyperlinkZchn"/>
            <w:b w:val="0"/>
          </w:rPr>
          <w:t>https://www.auftraege.bayern.de/Dashboards/Dashboard_off?BL=09</w:t>
        </w:r>
      </w:hyperlink>
      <w:r>
        <w:t>.</w:t>
      </w:r>
    </w:p>
    <w:p w:rsidR="007E0861" w:rsidRDefault="007E0861" w:rsidP="0012690B">
      <w:pPr>
        <w:pStyle w:val="LTAntwortRessortText"/>
        <w:spacing w:before="0"/>
      </w:pPr>
      <w:r>
        <w:t>Informationen sowohl zu erfolgreichen als auch zu unterlegenen Bietern unterliegen</w:t>
      </w:r>
      <w:r w:rsidR="0012690B">
        <w:t xml:space="preserve"> </w:t>
      </w:r>
      <w:r>
        <w:t>nach § 5 Verordnung über die Vergabe öffentlich</w:t>
      </w:r>
      <w:r w:rsidR="007E2FED">
        <w:t>er Aufträge (Vergabeverordnung –</w:t>
      </w:r>
      <w:r w:rsidR="0012690B">
        <w:t xml:space="preserve"> </w:t>
      </w:r>
      <w:r>
        <w:t>VgV) der Pflicht zur Wahrung des Betriebs- und Geschäftsgeheimnisses. Dokumente</w:t>
      </w:r>
      <w:r w:rsidR="0012690B">
        <w:t xml:space="preserve"> </w:t>
      </w:r>
      <w:r>
        <w:t>laufender Vergabeverfahren unterliegen gleichfalls der Geheimhaltungspflicht. Nach</w:t>
      </w:r>
      <w:r w:rsidR="0012690B">
        <w:t xml:space="preserve"> </w:t>
      </w:r>
      <w:r>
        <w:t>dem Zuschlag wird über das Ergebnis des Vergabeverfahrens durch Veröffentlichung</w:t>
      </w:r>
      <w:r w:rsidR="0012690B">
        <w:t xml:space="preserve"> </w:t>
      </w:r>
      <w:r>
        <w:t>im Amtsblatt der EU informiert. Dies geschieht ebenfalls unter Beachtung des § 5</w:t>
      </w:r>
      <w:r w:rsidR="0012690B">
        <w:t xml:space="preserve"> </w:t>
      </w:r>
      <w:r w:rsidR="007E2FED">
        <w:t>VgV</w:t>
      </w:r>
      <w:r>
        <w:t xml:space="preserve"> zum Schutz der Geschäftsgeheimnisse der Bieter und zum Schutz der Bieter</w:t>
      </w:r>
      <w:r w:rsidR="0012690B">
        <w:t xml:space="preserve"> </w:t>
      </w:r>
      <w:r>
        <w:t>vor zukünftigen Wettbewerbseinschränkungen.</w:t>
      </w:r>
    </w:p>
    <w:p w:rsidR="007E0861" w:rsidRDefault="007E0861">
      <w:bookmarkStart w:id="29" w:name="Frage_Nr_14_Ende"/>
      <w:bookmarkEnd w:id="29"/>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E1E41" w:rsidTr="00BE1E41">
        <w:tc>
          <w:tcPr>
            <w:tcW w:w="1883" w:type="dxa"/>
          </w:tcPr>
          <w:p w:rsidR="00BE1E41" w:rsidRDefault="00BE1E41" w:rsidP="00BE1E41">
            <w:pPr>
              <w:pStyle w:val="LTAnfrageInitiator"/>
            </w:pPr>
            <w:r>
              <w:lastRenderedPageBreak/>
              <w:t>Abgeordnete</w:t>
            </w:r>
            <w:r>
              <w:rPr>
                <w:b/>
              </w:rPr>
              <w:br/>
              <w:t>Gabriele</w:t>
            </w:r>
            <w:r>
              <w:rPr>
                <w:b/>
              </w:rPr>
              <w:br/>
              <w:t>Triebel</w:t>
            </w:r>
            <w:r>
              <w:rPr>
                <w:b/>
              </w:rPr>
              <w:br/>
            </w:r>
            <w:r>
              <w:t>(BÜNDNIS 90/DIE GRÜNEN)</w:t>
            </w:r>
            <w:bookmarkStart w:id="30" w:name="Frage_Nr_15"/>
            <w:bookmarkEnd w:id="30"/>
          </w:p>
        </w:tc>
        <w:tc>
          <w:tcPr>
            <w:tcW w:w="5733" w:type="dxa"/>
          </w:tcPr>
          <w:p w:rsidR="00BE1E41" w:rsidRPr="00E044EA" w:rsidRDefault="00BE1E41" w:rsidP="00E044EA">
            <w:pPr>
              <w:pStyle w:val="LTAnfrageText"/>
            </w:pPr>
            <w:r w:rsidRPr="00E044EA">
              <w:t>Ich frage die Staatsregierung, auf welche Art und Weise sind der Stiftungsrat der Stiftung Bayerische Gedenkstätten, der Vorsitzende des Stiftungsrats, der Stiftungsdirektor, das Kuratorium der Stiftung, der wissenschaftliche Beirat der Stiftung, das Staatsministerium für Unterricht und Kultus in seiner Funktion als Rechtsaufsicht, der Personalrat der KZ-Gedenkstätte Dachau sowie die Leiterin der KZ-Gedenkstätte Dachau in das Bewerbungsverfahren mit eingebunden, wie wird die Stelle der pädagogischen Leitung nun neu ausgeschrieben (Ausschreibungskriterien und Ausschreibungswege) und wer entscheidet über die Stellenbesetzung?</w:t>
            </w:r>
          </w:p>
        </w:tc>
        <w:tc>
          <w:tcPr>
            <w:tcW w:w="5733" w:type="dxa"/>
          </w:tcPr>
          <w:p w:rsidR="00BE1E41" w:rsidRDefault="00BE1E41" w:rsidP="00BE1E41">
            <w:pPr>
              <w:pStyle w:val="LTAnfrageText"/>
            </w:pPr>
          </w:p>
        </w:tc>
      </w:tr>
    </w:tbl>
    <w:p w:rsidR="007E0861" w:rsidRDefault="007E0861" w:rsidP="007E0861">
      <w:pPr>
        <w:pStyle w:val="LTUeberschrAntwortRessort"/>
      </w:pPr>
      <w:r>
        <w:t>Antwort des Staatsministeriums für Unterricht und Kultus</w:t>
      </w:r>
    </w:p>
    <w:p w:rsidR="007E0861" w:rsidRDefault="007E0861" w:rsidP="007E0861">
      <w:pPr>
        <w:pStyle w:val="LTAntwortRessortText"/>
      </w:pPr>
      <w:r>
        <w:t>Derzeit gibt es kein laufendes Bewerbungsverfahren bzgl. der anfragegegenständlichen</w:t>
      </w:r>
      <w:r w:rsidR="0012690B">
        <w:t xml:space="preserve"> </w:t>
      </w:r>
      <w:r>
        <w:t>Stelle der Leitung der Pädagogischen Abteilung in der KZ-Gedenkstätte</w:t>
      </w:r>
      <w:r w:rsidR="0012690B">
        <w:t xml:space="preserve"> </w:t>
      </w:r>
      <w:r>
        <w:t>Dachau.</w:t>
      </w:r>
    </w:p>
    <w:p w:rsidR="007E0861" w:rsidRDefault="007E0861" w:rsidP="007E0861">
      <w:pPr>
        <w:pStyle w:val="LTAntwortRessortText"/>
      </w:pPr>
      <w:r>
        <w:t>Grundsätzlich sind die Rechtsgrundlagen für ei</w:t>
      </w:r>
      <w:r w:rsidR="0070116F">
        <w:t xml:space="preserve">ne Befassung bzw. Einbindung der </w:t>
      </w:r>
      <w:r>
        <w:t>genannten Stiftungsorgane der Stiftung Bayerische Gedenkstätten im Gesetz über</w:t>
      </w:r>
      <w:r w:rsidR="0012690B">
        <w:t xml:space="preserve"> </w:t>
      </w:r>
      <w:r>
        <w:t xml:space="preserve">die Errichtung der </w:t>
      </w:r>
      <w:r w:rsidR="00102307">
        <w:t>„</w:t>
      </w:r>
      <w:r>
        <w:t>Stiftung Bayerische Gedenkstätten</w:t>
      </w:r>
      <w:r w:rsidR="00102307">
        <w:t>“</w:t>
      </w:r>
      <w:r>
        <w:t xml:space="preserve"> (Gedenkstättenstiftungsgesetz</w:t>
      </w:r>
      <w:r w:rsidR="0012690B">
        <w:t xml:space="preserve"> </w:t>
      </w:r>
      <w:r w:rsidR="007E2FED">
        <w:t>–</w:t>
      </w:r>
      <w:r>
        <w:t xml:space="preserve"> GedStG) festgelegt. Demnach fasst der Stiftungsrat Beschlüsse über alle</w:t>
      </w:r>
      <w:r w:rsidR="0012690B">
        <w:t xml:space="preserve"> </w:t>
      </w:r>
      <w:r>
        <w:t>grundsätzlichen Angelegenheiten (Art. 8 Abs. 1 BayGedStG). So beschließt der Stiftungsrat</w:t>
      </w:r>
      <w:r w:rsidR="0012690B">
        <w:t xml:space="preserve"> </w:t>
      </w:r>
      <w:r>
        <w:t>gemäß Art. 8 Abs. 2 Satz 1 BayGedStG unter anderem die Haushalts- und</w:t>
      </w:r>
      <w:r w:rsidR="0012690B">
        <w:t xml:space="preserve"> </w:t>
      </w:r>
      <w:r>
        <w:t>Stellenpläne der Stiftung und der Gedenkstätten sowie die Einstellung, Einstufung</w:t>
      </w:r>
      <w:r w:rsidR="0012690B">
        <w:t xml:space="preserve"> </w:t>
      </w:r>
      <w:r>
        <w:t>und Entlassung des Stiftungsdirektors, der Leiterinnen/Leiter der Gedenkstätten und</w:t>
      </w:r>
      <w:r w:rsidR="0012690B">
        <w:t xml:space="preserve"> </w:t>
      </w:r>
      <w:r>
        <w:t>anderer leitender Mitarbeiterinnen und Mitarbeiter.</w:t>
      </w:r>
    </w:p>
    <w:p w:rsidR="007E0861" w:rsidRDefault="007E0861" w:rsidP="00526778">
      <w:pPr>
        <w:pStyle w:val="LTAntwortRessortText"/>
        <w:spacing w:before="0"/>
      </w:pPr>
      <w:r>
        <w:t>Die Vorsitzenden des Kuratoriums und des Wissenschaftlichen Beirats sowie auch</w:t>
      </w:r>
      <w:r w:rsidR="0012690B">
        <w:t xml:space="preserve"> </w:t>
      </w:r>
      <w:r>
        <w:t>die Leitungen der Gedenkstätten nehmen mit beratender Stimme an den Sitzungen</w:t>
      </w:r>
      <w:r w:rsidR="0012690B">
        <w:t xml:space="preserve"> </w:t>
      </w:r>
      <w:r>
        <w:t>teil (Art. 7 Abs. 3 S 1 GedStG).</w:t>
      </w:r>
    </w:p>
    <w:p w:rsidR="007E0861" w:rsidRDefault="007E0861" w:rsidP="00526778">
      <w:pPr>
        <w:pStyle w:val="LTAntwortRessortText"/>
        <w:spacing w:before="0"/>
      </w:pPr>
      <w:r>
        <w:t>Dem Stiftungsdirektor obliegt die Leitung der Stiftung (Art. 9 Abs. 1 S. 1 GedStG). Er</w:t>
      </w:r>
      <w:r w:rsidR="0012690B">
        <w:t xml:space="preserve"> </w:t>
      </w:r>
      <w:r>
        <w:t>vertritt die Stiftung nach außen und führt in Zusammenarbeit mit den Leitern der Gedenkstätten</w:t>
      </w:r>
      <w:r w:rsidR="0012690B">
        <w:t xml:space="preserve"> </w:t>
      </w:r>
      <w:r>
        <w:t>die laufenden Geschäfte (Art. 9 Abs. 1 S. 2GedstG). Ferner ist er Dienstvorgesetzter</w:t>
      </w:r>
      <w:r w:rsidR="0012690B">
        <w:t xml:space="preserve"> </w:t>
      </w:r>
      <w:r>
        <w:t>der Beschäftigten der Stiftung (Art. 9 Abs. 2 GedStG).</w:t>
      </w:r>
    </w:p>
    <w:p w:rsidR="007E0861" w:rsidRDefault="007E0861" w:rsidP="007E0861">
      <w:pPr>
        <w:pStyle w:val="LTAntwortRessortText"/>
      </w:pPr>
      <w:r>
        <w:t>In seiner Funktion als Stiftungsaufsichtsbehörde hat das Staatsministerium für Unterricht</w:t>
      </w:r>
      <w:r w:rsidR="0012690B">
        <w:t xml:space="preserve"> </w:t>
      </w:r>
      <w:r>
        <w:t>und Kultus die Stiftung Bayerische Gedenkstätten bei der Erfüllung ihrer Aufgaben</w:t>
      </w:r>
      <w:r w:rsidR="0012690B">
        <w:t xml:space="preserve"> </w:t>
      </w:r>
      <w:r>
        <w:t>verständnisvoll zu beraten, zu fördern und zu schützen sowie die Entschlusskraft</w:t>
      </w:r>
      <w:r w:rsidR="0012690B">
        <w:t xml:space="preserve"> </w:t>
      </w:r>
      <w:r>
        <w:t>und die Selbstverantwortung der Stiftungsorgane stärken (Art. 11 Bayerisches Stiftungsgesetz</w:t>
      </w:r>
      <w:r w:rsidR="0012690B">
        <w:t xml:space="preserve"> </w:t>
      </w:r>
      <w:r w:rsidR="007E2FED">
        <w:t>–</w:t>
      </w:r>
      <w:r>
        <w:t xml:space="preserve"> BayStG) und seine Überwachungs- und Kontrollfunktion nach den</w:t>
      </w:r>
      <w:r w:rsidR="0012690B">
        <w:t xml:space="preserve"> </w:t>
      </w:r>
      <w:r>
        <w:t>weiteren Maßgaben des BayStG auszuüben.</w:t>
      </w:r>
    </w:p>
    <w:p w:rsidR="007E0861" w:rsidRDefault="007E0861" w:rsidP="007E0861">
      <w:pPr>
        <w:pStyle w:val="LTAntwortRessortText"/>
      </w:pPr>
      <w:r>
        <w:t>Die Beteiligung des Personalrats richtet sich nach dem Bayerischen Personalvertretungsgesetz</w:t>
      </w:r>
      <w:r w:rsidR="0012690B">
        <w:t xml:space="preserve"> </w:t>
      </w:r>
      <w:r>
        <w:t>(BayPVG). Bei Neueinstellungen ist insbesondere das gesetzliche Mitbestimmungsrecht</w:t>
      </w:r>
      <w:r w:rsidR="0012690B">
        <w:t xml:space="preserve"> </w:t>
      </w:r>
      <w:r>
        <w:t>des Art. 75 Abs. 1 Nr. 1, Abs. 2, Art. 70 BayPVG zu beachten.</w:t>
      </w:r>
    </w:p>
    <w:p w:rsidR="007E0861" w:rsidRDefault="007E0861" w:rsidP="007E0861">
      <w:pPr>
        <w:pStyle w:val="LTAntwortRessortText"/>
      </w:pPr>
      <w:r>
        <w:t>Ausschreibungen für die Besetzung leitender Positionen an den Gedenkstätten werden</w:t>
      </w:r>
      <w:r w:rsidR="0012690B">
        <w:t xml:space="preserve"> </w:t>
      </w:r>
      <w:r>
        <w:t>im Regelfall von der Leitung der KZ-Gedenkstätte in Abstimmung mit dem Stiftungsdirektor</w:t>
      </w:r>
      <w:r w:rsidR="0012690B">
        <w:t xml:space="preserve"> </w:t>
      </w:r>
      <w:r>
        <w:t>der Stiftung Bayerische Gedenkstätten vorgenommen.</w:t>
      </w:r>
    </w:p>
    <w:p w:rsidR="007E0861" w:rsidRDefault="007E0861" w:rsidP="007E0861">
      <w:pPr>
        <w:pStyle w:val="LTAntwortRessortText"/>
      </w:pPr>
      <w:r>
        <w:lastRenderedPageBreak/>
        <w:t>Im Übrigen wird auf die Beantwortung der Anfr</w:t>
      </w:r>
      <w:r w:rsidR="0070116F">
        <w:t>age zum Plenum am 24.02.2021 (</w:t>
      </w:r>
      <w:r>
        <w:t>Drs.</w:t>
      </w:r>
      <w:r w:rsidR="0012690B">
        <w:t xml:space="preserve"> </w:t>
      </w:r>
      <w:r>
        <w:t>18/14190) des Abgeordneten Hep Monatzeder (Fraktion BÜNDNIS 90/DIEGRÜNEN) verwiesen.</w:t>
      </w:r>
    </w:p>
    <w:p w:rsidR="007E0861" w:rsidRDefault="007E0861">
      <w:bookmarkStart w:id="31" w:name="Frage_Nr_15_Ende"/>
      <w:bookmarkEnd w:id="31"/>
      <w:r>
        <w:br w:type="page"/>
      </w:r>
    </w:p>
    <w:p w:rsidR="007E0861" w:rsidRDefault="007E0861" w:rsidP="007E0861">
      <w:pPr>
        <w:pStyle w:val="LTUeberschrRessort"/>
      </w:pPr>
      <w:r>
        <w:lastRenderedPageBreak/>
        <w:t>Geschäftsbereich des Staatsministeriums für Wissenschaft und Kunst</w:t>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BE1E41" w:rsidTr="00BE1E41">
        <w:tc>
          <w:tcPr>
            <w:tcW w:w="1860" w:type="dxa"/>
          </w:tcPr>
          <w:p w:rsidR="00BE1E41" w:rsidRDefault="00BE1E41" w:rsidP="00BE1E41">
            <w:pPr>
              <w:pStyle w:val="LTAnfrageInitiator"/>
            </w:pPr>
            <w:r>
              <w:t>Abgeordneter</w:t>
            </w:r>
            <w:r>
              <w:rPr>
                <w:b/>
              </w:rPr>
              <w:br/>
              <w:t>Christian</w:t>
            </w:r>
            <w:r>
              <w:rPr>
                <w:b/>
              </w:rPr>
              <w:br/>
              <w:t>Flisek</w:t>
            </w:r>
            <w:r>
              <w:rPr>
                <w:b/>
              </w:rPr>
              <w:br/>
            </w:r>
            <w:r>
              <w:t>(SPD)</w:t>
            </w:r>
            <w:bookmarkStart w:id="32" w:name="Frage_Nr_16"/>
            <w:bookmarkEnd w:id="32"/>
          </w:p>
        </w:tc>
        <w:tc>
          <w:tcPr>
            <w:tcW w:w="5756" w:type="dxa"/>
          </w:tcPr>
          <w:p w:rsidR="00BE1E41" w:rsidRPr="00E044EA" w:rsidRDefault="00BE1E41" w:rsidP="00E044EA">
            <w:pPr>
              <w:pStyle w:val="LTAnfrageText"/>
            </w:pPr>
            <w:r w:rsidRPr="00E044EA">
              <w:t>Im Hinblick auf die Pläne, die Corona-Sonderregelungen für die Studierenden im bayerischen Hochschulgesetz auch für das Sommersemester 2021 zu verlängern, frage ich die Staatsregierung, wie viele Studierende seit dem Sommersemester 2020 jeweils ein Bachelor- oder Masterstudium an einer bayerischen Hochschule aufgenommen haben, wie hoch der Anteil der digital durchgeführten Prüfungen in den Bachelor- und Masterstudiengängen ist und welche Strategie die Staatsregierung im Hinblick darauf verfolgt, die Anerkennung und Gleichwertigkeit der unter Corona-Bedingungen entstandenen Abschlüsse zu garantieren?</w:t>
            </w:r>
          </w:p>
        </w:tc>
        <w:tc>
          <w:tcPr>
            <w:tcW w:w="5756" w:type="dxa"/>
          </w:tcPr>
          <w:p w:rsidR="00BE1E41" w:rsidRDefault="00BE1E41" w:rsidP="00BE1E41">
            <w:pPr>
              <w:pStyle w:val="LTAnfrageText"/>
            </w:pPr>
          </w:p>
        </w:tc>
      </w:tr>
    </w:tbl>
    <w:p w:rsidR="007E0861" w:rsidRDefault="007E0861" w:rsidP="007E0861">
      <w:pPr>
        <w:pStyle w:val="LTUeberschrAntwortRessort"/>
      </w:pPr>
      <w:r>
        <w:t>Antwort des Staatsministeriums für Wissenschaft und Kunst</w:t>
      </w:r>
    </w:p>
    <w:p w:rsidR="007E0861" w:rsidRDefault="007E0861" w:rsidP="007E0861">
      <w:pPr>
        <w:pStyle w:val="LTAntwortRessortText"/>
      </w:pPr>
      <w:r>
        <w:t>Im Sommersemester 2020 haben sich an den bayerischen Hoc</w:t>
      </w:r>
      <w:r w:rsidR="007E2FED">
        <w:t>hschulen insgesamt 25 </w:t>
      </w:r>
      <w:r>
        <w:t>798 Studentinnen und Studenten in das erste Fachsemester eines Studi</w:t>
      </w:r>
      <w:r w:rsidR="007E2FED">
        <w:t>engangs immatrikuliert, davon 8 </w:t>
      </w:r>
      <w:r>
        <w:t>495 m</w:t>
      </w:r>
      <w:r w:rsidR="007E2FED">
        <w:t>it angestrebtem Bachelor- und 9 </w:t>
      </w:r>
      <w:r>
        <w:t>591 mit angestrebtem Master-Abschluss (die verbleibende Differenz entfällt auf sonstige Abschlüsse, insb. Staatsexamen). Für das Wintersemester 2020/2021 liegen derzeit nur vorläufige, nicht weiter differenzierte Zahlen vor; danach haben sich im Wi</w:t>
      </w:r>
      <w:r w:rsidR="007E2FED">
        <w:t>ntersemester 2020/2021 rund 110 </w:t>
      </w:r>
      <w:r>
        <w:t>000 Studentinnen und Studenten in das erste Fachsemester eines Studiengangs immatrikuliert.</w:t>
      </w:r>
      <w:r w:rsidR="0083333B" w:rsidRPr="0083333B">
        <w:rPr>
          <w:rStyle w:val="Funotenzeichen"/>
        </w:rPr>
        <w:t xml:space="preserve"> </w:t>
      </w:r>
      <w:r w:rsidR="0083333B">
        <w:rPr>
          <w:rStyle w:val="Funotenzeichen"/>
        </w:rPr>
        <w:footnoteReference w:id="1"/>
      </w:r>
    </w:p>
    <w:p w:rsidR="007E0861" w:rsidRDefault="007E0861" w:rsidP="007E0861">
      <w:pPr>
        <w:pStyle w:val="LTAntwortRessortText"/>
      </w:pPr>
      <w:r>
        <w:t xml:space="preserve">Hinsichtlich der Durchführung digitaler Prüfungen hat das Staatsministerium dem Landtag zu den Beschlüssen </w:t>
      </w:r>
      <w:r w:rsidR="00102307">
        <w:t>„</w:t>
      </w:r>
      <w:r>
        <w:t>Aktueller Stand bei den Hochschulprüfungen</w:t>
      </w:r>
      <w:r w:rsidR="00C82F6C">
        <w:t xml:space="preserve"> im Som</w:t>
      </w:r>
      <w:r w:rsidR="007E2FED">
        <w:t>mersemester 2020 –</w:t>
      </w:r>
      <w:r>
        <w:t xml:space="preserve"> Durchführung fair und verlässlich ermöglichen</w:t>
      </w:r>
      <w:r w:rsidR="00102307">
        <w:t>“</w:t>
      </w:r>
      <w:r>
        <w:t xml:space="preserve"> (Drs. 18/9023) und </w:t>
      </w:r>
      <w:r w:rsidR="00102307">
        <w:t>„</w:t>
      </w:r>
      <w:r>
        <w:t>Monitoring und Bericht zu digitalen Prüfungen an staatlichen bayerischen Hochschulen</w:t>
      </w:r>
      <w:r w:rsidR="00102307">
        <w:t>“</w:t>
      </w:r>
      <w:r>
        <w:t xml:space="preserve"> (Drs. 18/9025) im Februar 2021 berichtet. Aus den Rückmeldungen der Hochschulen hat sich dabei ergeben, dass der Umfang digitaler Prüfungsformen stark variiert. Etwa ein Drittel der staatlichen Hoch</w:t>
      </w:r>
      <w:r w:rsidR="00C82F6C">
        <w:t>schulen gab an, nahezu alle Prü</w:t>
      </w:r>
      <w:r>
        <w:t>fungen in dieser Form durchgeführt zu haben; andere boten keine oder nur in Ausnahmefällen digitale Prüfungsformen an. Deta</w:t>
      </w:r>
      <w:r w:rsidR="00C82F6C">
        <w:t>illiertere Zahlen können im Rah</w:t>
      </w:r>
      <w:r>
        <w:t>men der Evaluierung der Erprobungsphase für elektr</w:t>
      </w:r>
      <w:r w:rsidR="007E2FED">
        <w:t>onische Fernprüfungen gem. Art. </w:t>
      </w:r>
      <w:r>
        <w:t xml:space="preserve">61 Abs. 10 Satz 4 </w:t>
      </w:r>
      <w:r w:rsidR="007E2FED">
        <w:t>Bayerisches Hochschulgesetz (</w:t>
      </w:r>
      <w:r>
        <w:t>BayHSchG</w:t>
      </w:r>
      <w:r w:rsidR="007E2FED">
        <w:t>)</w:t>
      </w:r>
      <w:r>
        <w:t xml:space="preserve"> erhoben werden, zu der dem Landtag berichtet werden wird.</w:t>
      </w:r>
    </w:p>
    <w:p w:rsidR="007E0861" w:rsidRDefault="007E0861" w:rsidP="007E0861">
      <w:pPr>
        <w:pStyle w:val="LTAntwortRessortText"/>
      </w:pPr>
      <w:r>
        <w:t xml:space="preserve">Mit den in der Anfrage genannten </w:t>
      </w:r>
      <w:r w:rsidR="00102307">
        <w:t>„</w:t>
      </w:r>
      <w:r>
        <w:t>Corona-Sonderregelungen</w:t>
      </w:r>
      <w:r w:rsidR="00102307">
        <w:t>“</w:t>
      </w:r>
      <w:r>
        <w:t xml:space="preserve"> wird unter anderem die gesetzliche Bestimmung, nach der das Somme</w:t>
      </w:r>
      <w:r w:rsidR="00C82F6C">
        <w:t>rsemester 2020 in Bezug auf prü</w:t>
      </w:r>
      <w:r>
        <w:t>fungsrechtliche Regeltermine und Fristen nicht als</w:t>
      </w:r>
      <w:r w:rsidR="00C82F6C">
        <w:t xml:space="preserve"> Fachsemester gilt, auf das Win</w:t>
      </w:r>
      <w:r>
        <w:t xml:space="preserve">tersemester 2020/2021 sowie das Sommersemester 2021 </w:t>
      </w:r>
      <w:r w:rsidR="00C82F6C">
        <w:t>erstreckt. Damit wird be</w:t>
      </w:r>
      <w:r>
        <w:t>troffenen Studentinnen und Studenten als Ausglei</w:t>
      </w:r>
      <w:r w:rsidR="00C82F6C">
        <w:t>ch für die pandemiebedingte Aus</w:t>
      </w:r>
      <w:r>
        <w:t xml:space="preserve">nahmesituation ein deutlich erweiterter zeitlicher Spielraum für eine angemessene, dem Gebot der Chancengleichheit entsprechende Prüfungsvorbereitung </w:t>
      </w:r>
      <w:r w:rsidR="007E2FED">
        <w:br/>
      </w:r>
      <w:r>
        <w:lastRenderedPageBreak/>
        <w:t>sowie das Ablegen ihrer Prüfungen eröffnet. Die während</w:t>
      </w:r>
      <w:r w:rsidR="00C82F6C">
        <w:t xml:space="preserve"> der Pandemiezeit erworbenen Ab</w:t>
      </w:r>
      <w:r>
        <w:t xml:space="preserve">schlüsse beinhalten die gleichen Berechtigungen, </w:t>
      </w:r>
      <w:r w:rsidR="00102307">
        <w:t>z. B.</w:t>
      </w:r>
      <w:r w:rsidR="00C82F6C">
        <w:t xml:space="preserve"> zum Zugang zu einem Mas</w:t>
      </w:r>
      <w:r>
        <w:t>terstudium oder zu einer Promotion, wie dies vor der Pandemie der Fall war.</w:t>
      </w:r>
    </w:p>
    <w:p w:rsidR="007E0861" w:rsidRDefault="007E0861" w:rsidP="007E0861">
      <w:pPr>
        <w:pStyle w:val="LTAntwortRessortText"/>
      </w:pPr>
      <w:r>
        <w:t>Unabhängig von dieser formellen Gleichwertigkeit</w:t>
      </w:r>
      <w:r w:rsidR="00C82F6C">
        <w:t xml:space="preserve"> haben die bayerischen Hochschu</w:t>
      </w:r>
      <w:r>
        <w:t>len aber auch im Hinblick auf Lehrinhalte und Qualifizierungsziele mit ihrem nach Wahrnehmung des Staatsministeriums heraus</w:t>
      </w:r>
      <w:r w:rsidR="00C82F6C">
        <w:t>ragenden Einsatz bestmöglich ge</w:t>
      </w:r>
      <w:r>
        <w:t xml:space="preserve">währleistet und abgesichert, dass die Studentinnen und Studenten auch während der Ausnahmesituation der </w:t>
      </w:r>
      <w:r w:rsidR="00102307">
        <w:t>COVID-19</w:t>
      </w:r>
      <w:r>
        <w:t xml:space="preserve">-Pandemie ihr Studium in bewährter Qualität </w:t>
      </w:r>
      <w:r w:rsidR="007E2FED">
        <w:t>–</w:t>
      </w:r>
      <w:r>
        <w:t xml:space="preserve"> wenn auch wei</w:t>
      </w:r>
      <w:r w:rsidR="007E2FED">
        <w:t>testgehend in anderen Formaten –</w:t>
      </w:r>
      <w:r>
        <w:t xml:space="preserve"> </w:t>
      </w:r>
      <w:r w:rsidR="00C82F6C">
        <w:t>fortführen und abschließen konn</w:t>
      </w:r>
      <w:r>
        <w:t>ten und können. Auch die pandemiegeprägten Semester sind dadurch gerade keine verlorenen Semester. Es kann deshalb davon ausgegangen werden, dass die hohe Wertigkeit der auch unter Pandemiebedingun</w:t>
      </w:r>
      <w:r w:rsidR="00C82F6C">
        <w:t>gen erworbenen bayerischen Hoch</w:t>
      </w:r>
      <w:r w:rsidR="0083333B">
        <w:t>schulabschlüsse</w:t>
      </w:r>
      <w:r>
        <w:t xml:space="preserve"> auf dem Arbeitsmarkt anerkan</w:t>
      </w:r>
      <w:r w:rsidR="00C82F6C">
        <w:t>nt und den Studentinnen und Stu</w:t>
      </w:r>
      <w:r>
        <w:t>denten somit ein erfolgreicher Berufseinstieg ermöglicht wird.</w:t>
      </w:r>
    </w:p>
    <w:p w:rsidR="00402CF3" w:rsidRDefault="007E0861">
      <w:bookmarkStart w:id="33" w:name="Frage_Nr_16_Ende"/>
      <w:bookmarkEnd w:id="33"/>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402CF3" w:rsidTr="00402CF3">
        <w:tc>
          <w:tcPr>
            <w:tcW w:w="1854" w:type="dxa"/>
          </w:tcPr>
          <w:p w:rsidR="00402CF3" w:rsidRDefault="00402CF3" w:rsidP="00402CF3">
            <w:pPr>
              <w:pStyle w:val="LTAnfrageInitiator"/>
            </w:pPr>
            <w:r>
              <w:lastRenderedPageBreak/>
              <w:t>Abgeordneter</w:t>
            </w:r>
            <w:r>
              <w:rPr>
                <w:b/>
              </w:rPr>
              <w:br/>
              <w:t>Harald</w:t>
            </w:r>
            <w:r>
              <w:rPr>
                <w:b/>
              </w:rPr>
              <w:br/>
              <w:t>Güller</w:t>
            </w:r>
            <w:r>
              <w:rPr>
                <w:b/>
              </w:rPr>
              <w:br/>
            </w:r>
            <w:r>
              <w:t>(SPD)</w:t>
            </w:r>
          </w:p>
        </w:tc>
        <w:tc>
          <w:tcPr>
            <w:tcW w:w="5762" w:type="dxa"/>
          </w:tcPr>
          <w:p w:rsidR="00402CF3" w:rsidRPr="00B72724" w:rsidRDefault="00402CF3" w:rsidP="00402CF3">
            <w:pPr>
              <w:pStyle w:val="LTAnfrageText"/>
            </w:pPr>
            <w:r w:rsidRPr="00B72724">
              <w:t>Nachdem die Staatsregierung den SPD-Vorschlag eines Stipendienprogramms für Künstlerinnen und Künstler am 20.10.2020 in einer Regierungserklärung aufgegriffen und am 27.10.2020 im Kabinett beschlossen hat, wurde der Start immer wieder verschoben, zunächst von dem im Kabinett beschlossenen Termin ab dem 01.01.2021 auf den vom Staatsministerium für Wissenschaft und Kunst angekündigten Termin vom 01.02.2021, dann mit Antwort von Staatsminister für Wissenschaft und Kunst Bernd Sibler im Plenum vom 04.02.2021 („Wir sind jetzt mit dem Stipendienprogramm fertig. Die Antragstellung wird in den nächsten Tagen fertig sein.“) auf einen unmittelbar bevorstehenden Start („Wir werden das in den nächsten Tagen fertig haben“), um heute, am 15.03.2021, festzustellen, dass die Antragstellung für das Stipendienprogramm immer noch nicht möglich ist und auch kein verbindlicher Starttermin genannt wurde, frage ich die Staatsregierung, warum der Programmstart drei Mal verschoben wurde bzw. Ankündigungen dreimal nicht eingehalten wurden, ab welchem Datum endlich Anträge für das Stipendienprogramm gestellt werden können und wie zufrieden sie damit ist, dass die im Oktober 2020 gemachte Ankündigung, dass das Stipendienprogramms ab dem 01.01.2021 zur Verfügung steht (Kabinettsbeschluss am 27.10.2020) über viereinhalb Monate danach immer noch nicht umgesetzt ist bzw. welche Konsequenzen daraus gezogen werden?</w:t>
            </w:r>
          </w:p>
        </w:tc>
        <w:tc>
          <w:tcPr>
            <w:tcW w:w="5762" w:type="dxa"/>
          </w:tcPr>
          <w:p w:rsidR="00402CF3" w:rsidRDefault="00402CF3" w:rsidP="00402CF3">
            <w:pPr>
              <w:pStyle w:val="LTAnfrageText"/>
            </w:pPr>
          </w:p>
        </w:tc>
      </w:tr>
    </w:tbl>
    <w:p w:rsidR="00402CF3" w:rsidRDefault="00402CF3" w:rsidP="00402CF3">
      <w:pPr>
        <w:pStyle w:val="LTUeberschrAntwortRessort"/>
      </w:pPr>
      <w:r>
        <w:t>Antwort des Staatsministeriums für Wissenschaft und Kunst</w:t>
      </w:r>
    </w:p>
    <w:p w:rsidR="00402CF3" w:rsidRDefault="00402CF3" w:rsidP="00402CF3">
      <w:pPr>
        <w:pStyle w:val="LTAntwortRessortText"/>
      </w:pPr>
      <w:r>
        <w:t>Zur Umsetzung des Stipendienprogramms finden seit Dezember komplexe Abstimmungsprozesse u. a. mit dem Obersten Rechnungshof auf der Basis eines vorher im engen Austausch mit einem aus Vertreterinnen und Vertretern der Kunstbranche, Künstlerverbände und Freien Szene bestehenden Begleitausschuss erarbeiteten Konzeptes statt. Diese Abstimmungsprozesse bewegen sich zwischen den Polen hoher Erwartungen der Kunstbranche an ein maximal niedrigschwelliges Anforderungsprofil für Antragstellung und Bedarfsnachweis einerseits und einer Gestaltung von Richtlinien und Vollzug andererseits, die die rechtlichen Anforderungen erfüllen und im Einklang mit geltendem Förderrecht stehen. Eine Ausgestaltung der Richtlinien als Projektförderung wäre innerhalb der Staatsregierung und auch mit dem Obersten Rechnungshof abgestimmt gewesen und hätte Anfang Februar an den</w:t>
      </w:r>
      <w:r w:rsidR="0083333B">
        <w:t xml:space="preserve"> Start gehen können, ließ aber –</w:t>
      </w:r>
      <w:r>
        <w:t xml:space="preserve"> nach einer Rückkoppelung</w:t>
      </w:r>
      <w:r w:rsidR="0083333B">
        <w:t xml:space="preserve"> mit dem Begleitaus-schuss –</w:t>
      </w:r>
      <w:r>
        <w:t xml:space="preserve"> eine fehlende Akzeptanz der Kulturbranche befürchten.</w:t>
      </w:r>
    </w:p>
    <w:p w:rsidR="00402CF3" w:rsidRDefault="00402CF3" w:rsidP="00402CF3">
      <w:pPr>
        <w:pStyle w:val="LTAntwortRessortText"/>
      </w:pPr>
      <w:r>
        <w:t>Deshalb wurde in der Folge eine weitere Lösung erarbeitet und abgestimmt. Das notwendige Einvernehmen seitens des Obersten Rechnungshofs wurde am 16.03.</w:t>
      </w:r>
      <w:r w:rsidR="007E2FED">
        <w:t>2021</w:t>
      </w:r>
      <w:r>
        <w:t xml:space="preserve"> mitgeteilt. Im Übrigen ist das von den strittigen Fragen wenig berührte elektronische Antragsverfahren seit Januar programmiert und wird in der folgenden Woche nach letzten finalen Anpassungen nach Veröffentlichung</w:t>
      </w:r>
      <w:r w:rsidR="0083333B">
        <w:t xml:space="preserve"> der Richtlinien und einer Test</w:t>
      </w:r>
      <w:r>
        <w:t>phase an den Start gehen.</w:t>
      </w:r>
    </w:p>
    <w:p w:rsidR="00402CF3" w:rsidRDefault="00402CF3" w:rsidP="00402CF3">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BE1E41" w:rsidTr="00BE1E41">
        <w:tc>
          <w:tcPr>
            <w:tcW w:w="1854" w:type="dxa"/>
          </w:tcPr>
          <w:p w:rsidR="00BE1E41" w:rsidRDefault="00BE1E41" w:rsidP="00BE1E41">
            <w:pPr>
              <w:pStyle w:val="LTAnfrageInitiator"/>
            </w:pPr>
            <w:r>
              <w:lastRenderedPageBreak/>
              <w:t>Abgeordneter</w:t>
            </w:r>
            <w:r>
              <w:rPr>
                <w:b/>
              </w:rPr>
              <w:br/>
              <w:t>Volkmar</w:t>
            </w:r>
            <w:r>
              <w:rPr>
                <w:b/>
              </w:rPr>
              <w:br/>
              <w:t>Halbleib</w:t>
            </w:r>
            <w:r>
              <w:rPr>
                <w:b/>
              </w:rPr>
              <w:br/>
            </w:r>
            <w:r>
              <w:t>(SPD)</w:t>
            </w:r>
            <w:bookmarkStart w:id="34" w:name="Frage_Nr_17"/>
            <w:bookmarkEnd w:id="34"/>
          </w:p>
        </w:tc>
        <w:tc>
          <w:tcPr>
            <w:tcW w:w="5762" w:type="dxa"/>
          </w:tcPr>
          <w:p w:rsidR="00BE1E41" w:rsidRPr="00E044EA" w:rsidRDefault="00BE1E41" w:rsidP="00E044EA">
            <w:pPr>
              <w:pStyle w:val="LTAnfrageText"/>
            </w:pPr>
            <w:r w:rsidRPr="00E044EA">
              <w:t xml:space="preserve">Nachdem das Staatministerium für Wissenschaft und Kunst mit Pressemitteilung vom 11.03.2021 mitgeteilt hat, dass für das </w:t>
            </w:r>
            <w:r w:rsidRPr="00E044EA">
              <w:br/>
              <w:t>Soloselbstständigenprogramm rund 5 000 Anträge gestellt bzw. in Vorbereitung sind und von diesen 1 900 bewilligt sind, frage ich die Staatsregierung, wie viele Bewilligungen bzw. noch nicht ausbezahlt sind, was sind die Gründe dafür, aus denen 3 100 Anträge nur „in Vorbereitung“ sind und derzeit (noch) nicht bearbeitet werden bzw. ist es richtig, dass einem Großteil der „in Vorbereitung“ befindlichen Anträge das Argument der (vermeintlichen) „Überkompensation“ entgegengehalten wird, und bis wann die Staatsregierung gedenkt, die grundsätzlichen Hürden des Programms (wie z. B. die vermeintliche „Überkompensation“) zugunsten der Soloselbstständigen zu klären, damit viele Soloselbstständige nicht weiter in ihrer prekären Situation im Ungewissen gelassen werden?</w:t>
            </w:r>
          </w:p>
        </w:tc>
        <w:tc>
          <w:tcPr>
            <w:tcW w:w="5762" w:type="dxa"/>
          </w:tcPr>
          <w:p w:rsidR="00BE1E41" w:rsidRDefault="00BE1E41" w:rsidP="00BE1E41">
            <w:pPr>
              <w:pStyle w:val="LTAnfrageText"/>
            </w:pPr>
          </w:p>
        </w:tc>
      </w:tr>
    </w:tbl>
    <w:p w:rsidR="007E0861" w:rsidRDefault="007E0861" w:rsidP="007E0861">
      <w:pPr>
        <w:pStyle w:val="LTUeberschrAntwortRessort"/>
      </w:pPr>
      <w:r>
        <w:t>Antwort des Staatsministeriums für Wissenschaft und Kunst</w:t>
      </w:r>
    </w:p>
    <w:p w:rsidR="007E0861" w:rsidRDefault="007E0861" w:rsidP="007E0861">
      <w:pPr>
        <w:pStyle w:val="LTAntwortRessortText"/>
      </w:pPr>
      <w:r>
        <w:t>Es wurden aktuell für das Soloselbstständigenprogramm für Künstlerinnen und Künstler sowie Angehörige kulturnaher Beruf</w:t>
      </w:r>
      <w:r w:rsidR="007E2FED">
        <w:t>e 2 956 Anträge abgegeben und 2 </w:t>
      </w:r>
      <w:r>
        <w:t>753 befinden sich noch in Vorbereit</w:t>
      </w:r>
      <w:r w:rsidR="007E2FED">
        <w:t>ung. Bewilligt wurden derzeit 1 </w:t>
      </w:r>
      <w:r>
        <w:t xml:space="preserve">938 Anträge, 392 sind in Bearbeitung und 170 wurden abgelehnt. </w:t>
      </w:r>
      <w:r w:rsidR="007E2FED">
        <w:t>Nach aktuellem Stand wurden 5,1 </w:t>
      </w:r>
      <w:r>
        <w:t>Mio. Euro bewilligt und davon 4,7 Mio. Euro ausbezahlt.</w:t>
      </w:r>
    </w:p>
    <w:p w:rsidR="007E0861" w:rsidRDefault="007E0861" w:rsidP="00526778">
      <w:pPr>
        <w:pStyle w:val="LTAntwortRessortText"/>
        <w:spacing w:before="0"/>
      </w:pPr>
      <w:r>
        <w:t xml:space="preserve">In Vorbereitung befinden sich Anträge dann, wenn sich die Antragstellerin oder der Antragssteller im System registriert hat und ggf. </w:t>
      </w:r>
      <w:r w:rsidR="00C82F6C">
        <w:t>mit dem Ausfüllen des elektroni</w:t>
      </w:r>
      <w:r>
        <w:t>schen Antragsformulars bei Bayern Innovativ bereits begonnen, den Antrag aber noch nicht abgeschickt hat. Die Anträge können in d</w:t>
      </w:r>
      <w:r w:rsidR="00C82F6C">
        <w:t>iesem Fall also noch nicht bear</w:t>
      </w:r>
      <w:r>
        <w:t>beitet werden, insofern besteht auch kein Antragssta</w:t>
      </w:r>
      <w:r w:rsidR="007E2FED">
        <w:t xml:space="preserve">u. Deshalb ist es auch nicht </w:t>
      </w:r>
      <w:r w:rsidR="00C82F6C">
        <w:t>zu</w:t>
      </w:r>
      <w:r w:rsidR="007E2FED">
        <w:t>treffend,</w:t>
      </w:r>
      <w:r>
        <w:t xml:space="preserve"> dass einem Großteil der in Vorbereitung befindlichen Anträge das Argument der vermeintlichen Überkompensation entgegengehalten würde.</w:t>
      </w:r>
    </w:p>
    <w:p w:rsidR="007E0861" w:rsidRDefault="007E0861" w:rsidP="007E0861">
      <w:pPr>
        <w:pStyle w:val="LTAntwortRessortText"/>
      </w:pPr>
      <w:r>
        <w:t>Das Problem der Überkompensation wurde nach Rücksprache mit dem Obersten Rechnungshof geklärt und eine entsprechende Anweisung an die Regierungen zum Vollzug gegeben. Danach kann eine Antragstellerin o</w:t>
      </w:r>
      <w:r w:rsidR="00C82F6C">
        <w:t>der ein Antragssteller keine Fin</w:t>
      </w:r>
      <w:r>
        <w:t>anzhilfe erhalten, die höher ist als der Nachteil, dessen Ausgleich die Finanzhilfe bezweckt. Aus diesem Grund muss die G</w:t>
      </w:r>
      <w:r w:rsidR="00C82F6C">
        <w:t>ewährung von weiteren Unterstützungsleis</w:t>
      </w:r>
      <w:r>
        <w:t>tungen bei zeitlicher Überschneidung zu einer Reduzierung der Hilfe nach dem</w:t>
      </w:r>
      <w:r w:rsidR="00734E22">
        <w:t xml:space="preserve"> </w:t>
      </w:r>
      <w:r>
        <w:t>Soloselbstständigenprogramm führen, soweit in</w:t>
      </w:r>
      <w:r w:rsidR="00C82F6C">
        <w:t xml:space="preserve"> der Summe die Höhe des monatli</w:t>
      </w:r>
      <w:r>
        <w:t>chen Umsatzrückgangs überschritten wird. Die Antragstellerin oder der Antragsteller darf also nicht mehr Geld im Monat des Antragsze</w:t>
      </w:r>
      <w:r w:rsidR="00C82F6C">
        <w:t>itraums durch Kumulation des Un</w:t>
      </w:r>
      <w:r>
        <w:t xml:space="preserve">ternehmerlohns mit anderen Leistungen erhalten, wie </w:t>
      </w:r>
      <w:r w:rsidR="00102307">
        <w:t>z. B.</w:t>
      </w:r>
      <w:r>
        <w:t xml:space="preserve"> der Überbrückungshilfe III des Bundes inkl. der Neustarthilfe, der bayerischen Lockdown-Hilfe für besonders betroffene Gebiete (Oktoberhilfe), den außerordentl</w:t>
      </w:r>
      <w:r w:rsidR="00C82F6C">
        <w:t>ichen Wirtschaftshilfen des Bun</w:t>
      </w:r>
      <w:r>
        <w:t>des (November- und Dezemberhilfe) sowie dem Sp</w:t>
      </w:r>
      <w:r w:rsidR="00C82F6C">
        <w:t>ielstätten- und Veranstalterpro</w:t>
      </w:r>
      <w:r>
        <w:t>gramm. Diese Regelung gilt auch für den Antragszeitraum Oktober bis November 2020. Nachdem diese Frage der Unzulässigkeit d</w:t>
      </w:r>
      <w:r w:rsidR="00C82F6C">
        <w:t>er Überkompensation geklärt wer</w:t>
      </w:r>
      <w:r>
        <w:t>den konnte, können Anträge, die bis zur Klärun</w:t>
      </w:r>
      <w:r w:rsidR="00C82F6C">
        <w:t>g dieser Frage vorübergehend zu</w:t>
      </w:r>
      <w:r>
        <w:t>rückgestellt wurden, wieder von den Regierungen bearbeitet werden.</w:t>
      </w:r>
    </w:p>
    <w:p w:rsidR="007E0861" w:rsidRDefault="007E0861">
      <w:bookmarkStart w:id="35" w:name="Frage_Nr_17_Ende"/>
      <w:bookmarkEnd w:id="35"/>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BE1E41" w:rsidTr="00BE1E41">
        <w:tc>
          <w:tcPr>
            <w:tcW w:w="1852" w:type="dxa"/>
          </w:tcPr>
          <w:p w:rsidR="00BE1E41" w:rsidRDefault="00BE1E41" w:rsidP="00BE1E41">
            <w:pPr>
              <w:pStyle w:val="LTAnfrageInitiator"/>
            </w:pPr>
            <w:r>
              <w:lastRenderedPageBreak/>
              <w:t>Abgeordneter</w:t>
            </w:r>
            <w:r>
              <w:rPr>
                <w:b/>
              </w:rPr>
              <w:br/>
              <w:t>Dr. Wolfgang</w:t>
            </w:r>
            <w:r>
              <w:rPr>
                <w:b/>
              </w:rPr>
              <w:br/>
              <w:t>Heubisch</w:t>
            </w:r>
            <w:r>
              <w:rPr>
                <w:b/>
              </w:rPr>
              <w:br/>
            </w:r>
            <w:r>
              <w:t>(FDP)</w:t>
            </w:r>
            <w:bookmarkStart w:id="36" w:name="Frage_Nr_18"/>
            <w:bookmarkEnd w:id="36"/>
          </w:p>
        </w:tc>
        <w:tc>
          <w:tcPr>
            <w:tcW w:w="5764" w:type="dxa"/>
          </w:tcPr>
          <w:p w:rsidR="00BE1E41" w:rsidRPr="00E044EA" w:rsidRDefault="00BE1E41" w:rsidP="00E044EA">
            <w:pPr>
              <w:pStyle w:val="LTAnfrageText"/>
            </w:pPr>
            <w:r w:rsidRPr="00E044EA">
              <w:t>Anlässlich der geplanten Verbändeanhörung zum Hochschulinnovationsgesetz, die Staatsminister für Wissenschaft und Kunst Bernd Sibler während des YouTube-Livestreams zur Hochschulreform angekündigt hat, frage ich die Staatsregierung, wann diese Verbändeanhörung geplant ist (falls es bereits ein genaues Datum gibt, bitte dieses angeben, sollte dies nicht der Fall sein, bitte einen angedachten Zeitraum nennen), wer genau hierzu eingeladen ist (bitte Nennung der Institutionen und Personen, die eingebunden werden sollen) und inwieweit die Oppositionsparteien im Landtag hierin integriert werden?</w:t>
            </w:r>
          </w:p>
        </w:tc>
        <w:tc>
          <w:tcPr>
            <w:tcW w:w="5764" w:type="dxa"/>
          </w:tcPr>
          <w:p w:rsidR="00BE1E41" w:rsidRDefault="00BE1E41" w:rsidP="00BE1E41">
            <w:pPr>
              <w:pStyle w:val="LTAnfrageText"/>
            </w:pPr>
          </w:p>
        </w:tc>
      </w:tr>
    </w:tbl>
    <w:p w:rsidR="007E0861" w:rsidRDefault="007E0861" w:rsidP="007E0861">
      <w:pPr>
        <w:pStyle w:val="LTUeberschrAntwortRessort"/>
      </w:pPr>
      <w:r>
        <w:t>Antwort des Staatsministeriums für Wissenschaft und Kunst</w:t>
      </w:r>
    </w:p>
    <w:p w:rsidR="007E0861" w:rsidRDefault="007E0861" w:rsidP="007E0861">
      <w:pPr>
        <w:pStyle w:val="LTAntwortRessortText"/>
      </w:pPr>
      <w:r>
        <w:t xml:space="preserve">Die Verbändeanhörung ist ein schriftliches Verfahren. Sie beginnt nach der ersten Behandlung des Gesetzes im Ministerrat. Ein Termin hierfür steht noch nicht fest. Der nachfolgenden Liste können die bislang vorgesehenen Adressaten entnommen werden. Da Parteien als solche von dem Gesetz nicht betroffen sind, erfolgt kein Versand an politische Parteien. Die Verbändeanhörung dient der Beteiligung der von einem Gesetz selbst betroffenen Gruppierungen. Eine Einbindung der Opposition ist daher in diesem Verfahrensschritt nicht vorgesehen. Die Beteiligung der </w:t>
      </w:r>
      <w:r w:rsidR="007E2FED">
        <w:br/>
      </w:r>
      <w:r>
        <w:t>Opposition erfolgt naturgemäß bei der Behandlung des Gesetzes im Parlament.</w:t>
      </w:r>
    </w:p>
    <w:p w:rsidR="007E0861" w:rsidRDefault="007E0861" w:rsidP="007E0861">
      <w:pPr>
        <w:pStyle w:val="LTAntwortRessortText"/>
      </w:pPr>
      <w:r>
        <w:t>Nach derzeitigem Stand sollen in die Verbändeanhörung eingebunden werden:</w:t>
      </w:r>
    </w:p>
    <w:p w:rsidR="007E0861" w:rsidRDefault="007E0861" w:rsidP="00526778">
      <w:pPr>
        <w:pStyle w:val="LTAntwortRessortText"/>
        <w:numPr>
          <w:ilvl w:val="1"/>
          <w:numId w:val="35"/>
        </w:numPr>
        <w:spacing w:before="0"/>
        <w:ind w:left="680" w:hanging="340"/>
      </w:pPr>
      <w:r>
        <w:t>Die staatlichen bayerischen Hochschulen</w:t>
      </w:r>
    </w:p>
    <w:p w:rsidR="007E0861" w:rsidRDefault="007E0861" w:rsidP="00526778">
      <w:pPr>
        <w:pStyle w:val="LTAntwortRessortText"/>
        <w:numPr>
          <w:ilvl w:val="1"/>
          <w:numId w:val="35"/>
        </w:numPr>
        <w:spacing w:before="0"/>
        <w:ind w:left="680" w:hanging="340"/>
      </w:pPr>
      <w:r>
        <w:t>Die Katholische Universität Eichstätt-Ingolstadt</w:t>
      </w:r>
    </w:p>
    <w:p w:rsidR="007E0861" w:rsidRDefault="007E0861" w:rsidP="00526778">
      <w:pPr>
        <w:pStyle w:val="LTAntwortRessortText"/>
        <w:numPr>
          <w:ilvl w:val="1"/>
          <w:numId w:val="35"/>
        </w:numPr>
        <w:spacing w:before="0"/>
        <w:ind w:left="680" w:hanging="340"/>
      </w:pPr>
      <w:r>
        <w:t>Die Universität der Bundeswehr München</w:t>
      </w:r>
    </w:p>
    <w:p w:rsidR="007E0861" w:rsidRDefault="007E0861" w:rsidP="00526778">
      <w:pPr>
        <w:pStyle w:val="LTAntwortRessortText"/>
        <w:numPr>
          <w:ilvl w:val="1"/>
          <w:numId w:val="35"/>
        </w:numPr>
        <w:spacing w:before="0"/>
        <w:ind w:left="680" w:hanging="340"/>
      </w:pPr>
      <w:r>
        <w:t>Der Landespersonalausschuss</w:t>
      </w:r>
    </w:p>
    <w:p w:rsidR="007E0861" w:rsidRDefault="007E0861" w:rsidP="00526778">
      <w:pPr>
        <w:pStyle w:val="LTAntwortRessortText"/>
        <w:numPr>
          <w:ilvl w:val="1"/>
          <w:numId w:val="35"/>
        </w:numPr>
        <w:spacing w:before="0"/>
        <w:ind w:left="680" w:hanging="340"/>
      </w:pPr>
      <w:r>
        <w:t>Die Studierendenvertretung in Bayern Landes-ASten-Konferenz</w:t>
      </w:r>
    </w:p>
    <w:p w:rsidR="007E0861" w:rsidRDefault="007E0861" w:rsidP="00526778">
      <w:pPr>
        <w:pStyle w:val="LTAntwortRessortText"/>
        <w:numPr>
          <w:ilvl w:val="1"/>
          <w:numId w:val="35"/>
        </w:numPr>
        <w:spacing w:before="0"/>
        <w:ind w:left="680" w:hanging="340"/>
      </w:pPr>
      <w:r>
        <w:t>Der Landesverband Wissenschaftler in Bayern</w:t>
      </w:r>
    </w:p>
    <w:p w:rsidR="007E0861" w:rsidRDefault="007E0861" w:rsidP="00526778">
      <w:pPr>
        <w:pStyle w:val="LTAntwortRessortText"/>
        <w:numPr>
          <w:ilvl w:val="1"/>
          <w:numId w:val="35"/>
        </w:numPr>
        <w:spacing w:before="0"/>
        <w:ind w:left="680" w:hanging="340"/>
      </w:pPr>
      <w:r>
        <w:t xml:space="preserve">Die </w:t>
      </w:r>
      <w:r w:rsidR="007E2FED">
        <w:t>Landeskonferenz der Frauen- und Gleichstellungsbeauftragten (</w:t>
      </w:r>
      <w:r>
        <w:t>LaKoF</w:t>
      </w:r>
      <w:r w:rsidR="007E2FED">
        <w:t>)</w:t>
      </w:r>
    </w:p>
    <w:p w:rsidR="007E0861" w:rsidRDefault="007E0861" w:rsidP="00526778">
      <w:pPr>
        <w:pStyle w:val="LTAntwortRessortText"/>
        <w:numPr>
          <w:ilvl w:val="1"/>
          <w:numId w:val="35"/>
        </w:numPr>
        <w:spacing w:before="0"/>
        <w:ind w:left="680" w:hanging="340"/>
      </w:pPr>
      <w:r>
        <w:t>Der Verband der Hochschullehrerinnen und Hochschullehrer an Fachhoch</w:t>
      </w:r>
      <w:r w:rsidR="007E2FED">
        <w:t>-schu</w:t>
      </w:r>
      <w:r>
        <w:t>len in Bayern e.</w:t>
      </w:r>
      <w:r w:rsidR="007E2FED">
        <w:t> </w:t>
      </w:r>
      <w:r>
        <w:t>V.</w:t>
      </w:r>
    </w:p>
    <w:p w:rsidR="007E0861" w:rsidRDefault="007E0861" w:rsidP="00526778">
      <w:pPr>
        <w:pStyle w:val="LTAntwortRessortText"/>
        <w:numPr>
          <w:ilvl w:val="1"/>
          <w:numId w:val="35"/>
        </w:numPr>
        <w:spacing w:before="0"/>
        <w:ind w:left="680" w:hanging="340"/>
      </w:pPr>
      <w:r>
        <w:t>Der Deutsche Hochschulverband</w:t>
      </w:r>
    </w:p>
    <w:p w:rsidR="007E0861" w:rsidRDefault="007E0861" w:rsidP="00526778">
      <w:pPr>
        <w:pStyle w:val="LTAntwortRessortText"/>
        <w:numPr>
          <w:ilvl w:val="1"/>
          <w:numId w:val="35"/>
        </w:numPr>
        <w:spacing w:before="0"/>
        <w:ind w:left="680" w:hanging="340"/>
      </w:pPr>
      <w:r>
        <w:t>Der Universität Bayern e.</w:t>
      </w:r>
      <w:r w:rsidR="007E2FED">
        <w:t> </w:t>
      </w:r>
      <w:r>
        <w:t>V.</w:t>
      </w:r>
    </w:p>
    <w:p w:rsidR="007E0861" w:rsidRDefault="007E0861" w:rsidP="00526778">
      <w:pPr>
        <w:pStyle w:val="LTAntwortRessortText"/>
        <w:numPr>
          <w:ilvl w:val="1"/>
          <w:numId w:val="35"/>
        </w:numPr>
        <w:spacing w:before="0"/>
        <w:ind w:left="680" w:hanging="340"/>
      </w:pPr>
      <w:r>
        <w:t>Der Hochschule Bayern e.</w:t>
      </w:r>
      <w:r w:rsidR="007E2FED">
        <w:t> </w:t>
      </w:r>
      <w:r>
        <w:t>V.</w:t>
      </w:r>
    </w:p>
    <w:p w:rsidR="007E0861" w:rsidRDefault="007E0861" w:rsidP="00526778">
      <w:pPr>
        <w:pStyle w:val="LTAntwortRessortText"/>
        <w:numPr>
          <w:ilvl w:val="1"/>
          <w:numId w:val="35"/>
        </w:numPr>
        <w:spacing w:before="0"/>
        <w:ind w:left="680" w:hanging="340"/>
      </w:pPr>
      <w:r>
        <w:t>Die Landeskonferenz der bayerischen Kunsthochschulen</w:t>
      </w:r>
    </w:p>
    <w:p w:rsidR="007E0861" w:rsidRDefault="007E0861" w:rsidP="00526778">
      <w:pPr>
        <w:pStyle w:val="LTAntwortRessortText"/>
        <w:numPr>
          <w:ilvl w:val="1"/>
          <w:numId w:val="35"/>
        </w:numPr>
        <w:spacing w:before="0"/>
        <w:ind w:left="680" w:hanging="340"/>
      </w:pPr>
      <w:r>
        <w:t>Der Hauptpersonalrat beim Staatsministerium für Wissenschaft und Kunst</w:t>
      </w:r>
    </w:p>
    <w:p w:rsidR="007E0861" w:rsidRDefault="007E0861" w:rsidP="00526778">
      <w:pPr>
        <w:pStyle w:val="LTAntwortRessortText"/>
        <w:numPr>
          <w:ilvl w:val="1"/>
          <w:numId w:val="35"/>
        </w:numPr>
        <w:spacing w:before="0"/>
        <w:ind w:left="680" w:hanging="340"/>
      </w:pPr>
      <w:r>
        <w:t>Der Bayerische Beamtenbund</w:t>
      </w:r>
    </w:p>
    <w:p w:rsidR="007E0861" w:rsidRDefault="007E0861" w:rsidP="00526778">
      <w:pPr>
        <w:pStyle w:val="LTAntwortRessortText"/>
        <w:numPr>
          <w:ilvl w:val="1"/>
          <w:numId w:val="35"/>
        </w:numPr>
        <w:spacing w:before="0"/>
        <w:ind w:left="680" w:hanging="340"/>
      </w:pPr>
      <w:r>
        <w:t>Die Hochschule für Philosophie München</w:t>
      </w:r>
    </w:p>
    <w:p w:rsidR="007E0861" w:rsidRDefault="007E0861" w:rsidP="00526778">
      <w:pPr>
        <w:pStyle w:val="LTAntwortRessortText"/>
        <w:numPr>
          <w:ilvl w:val="1"/>
          <w:numId w:val="35"/>
        </w:numPr>
        <w:spacing w:before="0"/>
        <w:ind w:left="680" w:hanging="340"/>
      </w:pPr>
      <w:r>
        <w:t>Die Augustana Hochschule</w:t>
      </w:r>
    </w:p>
    <w:p w:rsidR="007E0861" w:rsidRDefault="007E0861" w:rsidP="00526778">
      <w:pPr>
        <w:pStyle w:val="LTAntwortRessortText"/>
        <w:numPr>
          <w:ilvl w:val="1"/>
          <w:numId w:val="35"/>
        </w:numPr>
        <w:spacing w:before="0"/>
        <w:ind w:left="680" w:hanging="340"/>
      </w:pPr>
      <w:r>
        <w:t>Die SDI München</w:t>
      </w:r>
    </w:p>
    <w:p w:rsidR="007E0861" w:rsidRDefault="007E0861" w:rsidP="00526778">
      <w:pPr>
        <w:pStyle w:val="LTAntwortRessortText"/>
        <w:numPr>
          <w:ilvl w:val="1"/>
          <w:numId w:val="35"/>
        </w:numPr>
        <w:spacing w:before="0"/>
        <w:ind w:left="680" w:hanging="340"/>
      </w:pPr>
      <w:r>
        <w:t>Die Hochschule der Bayerischen Wirtschaft</w:t>
      </w:r>
    </w:p>
    <w:p w:rsidR="007E0861" w:rsidRDefault="007E0861" w:rsidP="00526778">
      <w:pPr>
        <w:pStyle w:val="LTAntwortRessortText"/>
        <w:numPr>
          <w:ilvl w:val="1"/>
          <w:numId w:val="35"/>
        </w:numPr>
        <w:spacing w:before="0"/>
        <w:ind w:left="680" w:hanging="340"/>
      </w:pPr>
      <w:r>
        <w:t>Die Munich Business School</w:t>
      </w:r>
    </w:p>
    <w:p w:rsidR="007E0861" w:rsidRDefault="007E0861" w:rsidP="00526778">
      <w:pPr>
        <w:pStyle w:val="LTAntwortRessortText"/>
        <w:numPr>
          <w:ilvl w:val="1"/>
          <w:numId w:val="35"/>
        </w:numPr>
        <w:spacing w:before="0"/>
        <w:ind w:left="680" w:hanging="340"/>
      </w:pPr>
      <w:r>
        <w:t>Die Wilhelm Löhe Hochschule</w:t>
      </w:r>
    </w:p>
    <w:p w:rsidR="007E0861" w:rsidRDefault="007E0861" w:rsidP="00526778">
      <w:pPr>
        <w:pStyle w:val="LTAntwortRessortText"/>
        <w:numPr>
          <w:ilvl w:val="1"/>
          <w:numId w:val="35"/>
        </w:numPr>
        <w:spacing w:before="0"/>
        <w:ind w:left="680" w:hanging="340"/>
      </w:pPr>
      <w:r>
        <w:t>Die Hochschule für angewandtes Management</w:t>
      </w:r>
    </w:p>
    <w:p w:rsidR="007E0861" w:rsidRDefault="007E0861" w:rsidP="00526778">
      <w:pPr>
        <w:pStyle w:val="LTAntwortRessortText"/>
        <w:numPr>
          <w:ilvl w:val="1"/>
          <w:numId w:val="35"/>
        </w:numPr>
        <w:spacing w:before="0"/>
        <w:ind w:left="680" w:hanging="340"/>
      </w:pPr>
      <w:r>
        <w:t>Die Katholische Stiftungshochschule München</w:t>
      </w:r>
    </w:p>
    <w:p w:rsidR="007E0861" w:rsidRDefault="007E0861" w:rsidP="00526778">
      <w:pPr>
        <w:pStyle w:val="LTAntwortRessortText"/>
        <w:numPr>
          <w:ilvl w:val="1"/>
          <w:numId w:val="35"/>
        </w:numPr>
        <w:spacing w:before="0"/>
        <w:ind w:left="680" w:hanging="340"/>
      </w:pPr>
      <w:r>
        <w:t>Die Katholischen Bildungsstätten für Sozialber</w:t>
      </w:r>
      <w:r w:rsidR="007E2FED">
        <w:t xml:space="preserve">ufe in Bayern (Trägerin der </w:t>
      </w:r>
      <w:r w:rsidR="007E2FED">
        <w:br/>
        <w:t>Ka</w:t>
      </w:r>
      <w:r>
        <w:t>tholischen Stiftungshochschule)</w:t>
      </w:r>
    </w:p>
    <w:p w:rsidR="007E0861" w:rsidRDefault="007E0861" w:rsidP="00526778">
      <w:pPr>
        <w:pStyle w:val="LTAntwortRessortText"/>
        <w:numPr>
          <w:ilvl w:val="1"/>
          <w:numId w:val="35"/>
        </w:numPr>
        <w:spacing w:before="0"/>
        <w:ind w:left="680" w:hanging="340"/>
      </w:pPr>
      <w:r>
        <w:t>Die Evangelische Hochschule Nürnberg</w:t>
      </w:r>
    </w:p>
    <w:p w:rsidR="007E0861" w:rsidRDefault="007E0861" w:rsidP="00526778">
      <w:pPr>
        <w:pStyle w:val="LTAntwortRessortText"/>
        <w:numPr>
          <w:ilvl w:val="1"/>
          <w:numId w:val="35"/>
        </w:numPr>
        <w:spacing w:before="0"/>
        <w:ind w:left="680" w:hanging="340"/>
      </w:pPr>
      <w:r>
        <w:lastRenderedPageBreak/>
        <w:t>Die Universitätsmedizin Bayern (UMB) (Zusammenschluss der bayerischen Universitätsklinika und medizinischen Fakultäten)</w:t>
      </w:r>
    </w:p>
    <w:p w:rsidR="007E0861" w:rsidRDefault="007E0861" w:rsidP="00526778">
      <w:pPr>
        <w:pStyle w:val="LTAntwortRessortText"/>
        <w:numPr>
          <w:ilvl w:val="1"/>
          <w:numId w:val="35"/>
        </w:numPr>
        <w:spacing w:before="0"/>
        <w:ind w:left="680" w:hanging="340"/>
      </w:pPr>
      <w:r>
        <w:t>Die Hauptschwerbehindertenvertretung</w:t>
      </w:r>
    </w:p>
    <w:p w:rsidR="007E0861" w:rsidRDefault="007E0861" w:rsidP="00526778">
      <w:pPr>
        <w:pStyle w:val="LTAntwortRessortText"/>
        <w:numPr>
          <w:ilvl w:val="1"/>
          <w:numId w:val="35"/>
        </w:numPr>
        <w:spacing w:before="0"/>
        <w:ind w:left="680" w:hanging="340"/>
      </w:pPr>
      <w:r>
        <w:t>Der Landesverband Bayern des Deutschen Hochschulverbandes</w:t>
      </w:r>
    </w:p>
    <w:p w:rsidR="007E0861" w:rsidRDefault="007E0861" w:rsidP="00526778">
      <w:pPr>
        <w:pStyle w:val="LTAntwortRessortText"/>
        <w:numPr>
          <w:ilvl w:val="1"/>
          <w:numId w:val="35"/>
        </w:numPr>
        <w:spacing w:before="0"/>
        <w:ind w:left="680" w:hanging="340"/>
      </w:pPr>
      <w:r>
        <w:t>Der Dachverein Fakultätentage der Ingenieurwissenschaften und der Informatik an Universitäten (4ING) e.</w:t>
      </w:r>
      <w:r w:rsidR="007E2FED">
        <w:t> </w:t>
      </w:r>
      <w:r>
        <w:t>V.</w:t>
      </w:r>
    </w:p>
    <w:p w:rsidR="007E0861" w:rsidRDefault="007E0861" w:rsidP="00526778">
      <w:pPr>
        <w:pStyle w:val="LTAntwortRessortText"/>
        <w:numPr>
          <w:ilvl w:val="1"/>
          <w:numId w:val="35"/>
        </w:numPr>
        <w:spacing w:before="0"/>
        <w:ind w:left="680" w:hanging="340"/>
      </w:pPr>
      <w:r>
        <w:t>Das Netzwerk Studium und Behinderung</w:t>
      </w:r>
    </w:p>
    <w:p w:rsidR="007E0861" w:rsidRDefault="007E0861" w:rsidP="00526778">
      <w:pPr>
        <w:pStyle w:val="LTAntwortRessortText"/>
        <w:numPr>
          <w:ilvl w:val="1"/>
          <w:numId w:val="35"/>
        </w:numPr>
        <w:spacing w:before="0"/>
        <w:ind w:left="680" w:hanging="340"/>
      </w:pPr>
      <w:r>
        <w:t>Die Stiftung Akkreditierungsrat</w:t>
      </w:r>
    </w:p>
    <w:p w:rsidR="007E0861" w:rsidRDefault="007E0861" w:rsidP="00526778">
      <w:pPr>
        <w:pStyle w:val="LTAntwortRessortText"/>
        <w:numPr>
          <w:ilvl w:val="1"/>
          <w:numId w:val="35"/>
        </w:numPr>
        <w:spacing w:before="0"/>
        <w:ind w:left="680" w:hanging="340"/>
      </w:pPr>
      <w:r>
        <w:t>Der Beauftragte der Bayerischen Staatsre</w:t>
      </w:r>
      <w:r w:rsidR="007E2FED">
        <w:t>gierung für die Belange von Men</w:t>
      </w:r>
      <w:r>
        <w:t>schen mit Behinderung</w:t>
      </w:r>
    </w:p>
    <w:p w:rsidR="007E0861" w:rsidRDefault="007E0861" w:rsidP="00526778">
      <w:pPr>
        <w:pStyle w:val="LTAntwortRessortText"/>
        <w:numPr>
          <w:ilvl w:val="1"/>
          <w:numId w:val="35"/>
        </w:numPr>
        <w:spacing w:before="0"/>
        <w:ind w:left="680" w:hanging="340"/>
      </w:pPr>
      <w:r>
        <w:t>Die Studentenwerke Augsburg, Erlang</w:t>
      </w:r>
      <w:r w:rsidR="007E2FED">
        <w:t>en-Nürnberg, München, Niederbay</w:t>
      </w:r>
      <w:r>
        <w:t>ern/Oberpfalz, Oberfranken, Würzburg</w:t>
      </w:r>
    </w:p>
    <w:p w:rsidR="007E0861" w:rsidRDefault="007E0861" w:rsidP="00526778">
      <w:pPr>
        <w:pStyle w:val="LTAntwortRessortText"/>
        <w:numPr>
          <w:ilvl w:val="1"/>
          <w:numId w:val="35"/>
        </w:numPr>
        <w:spacing w:before="0"/>
        <w:ind w:left="680" w:hanging="340"/>
      </w:pPr>
      <w:r>
        <w:t>Die Bayerische Architektenkammer</w:t>
      </w:r>
    </w:p>
    <w:p w:rsidR="007E0861" w:rsidRDefault="007E0861" w:rsidP="00526778">
      <w:pPr>
        <w:pStyle w:val="LTAntwortRessortText"/>
        <w:numPr>
          <w:ilvl w:val="1"/>
          <w:numId w:val="35"/>
        </w:numPr>
        <w:spacing w:before="0"/>
        <w:ind w:left="680" w:hanging="340"/>
      </w:pPr>
      <w:r>
        <w:t>Der Philosophische Fakultätentag</w:t>
      </w:r>
    </w:p>
    <w:p w:rsidR="007E0861" w:rsidRDefault="007E0861" w:rsidP="00526778">
      <w:pPr>
        <w:pStyle w:val="LTAntwortRessortText"/>
        <w:numPr>
          <w:ilvl w:val="1"/>
          <w:numId w:val="35"/>
        </w:numPr>
        <w:spacing w:before="0"/>
        <w:ind w:left="680" w:hanging="340"/>
      </w:pPr>
      <w:r>
        <w:t>Der Arbeitskreis Wissenschaftsmanager München</w:t>
      </w:r>
    </w:p>
    <w:p w:rsidR="007E0861" w:rsidRDefault="007E0861">
      <w:bookmarkStart w:id="37" w:name="Frage_Nr_18_Ende"/>
      <w:bookmarkEnd w:id="37"/>
      <w:r>
        <w:br w:type="page"/>
      </w:r>
    </w:p>
    <w:tbl>
      <w:tblPr>
        <w:tblStyle w:val="Tabellenraster"/>
        <w:tblW w:w="1332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gridCol w:w="5707"/>
      </w:tblGrid>
      <w:tr w:rsidR="00BE1E41" w:rsidTr="00BE1E41">
        <w:tc>
          <w:tcPr>
            <w:tcW w:w="1909" w:type="dxa"/>
          </w:tcPr>
          <w:p w:rsidR="00BE1E41" w:rsidRDefault="00BE1E41" w:rsidP="00BE1E41">
            <w:pPr>
              <w:pStyle w:val="LTAnfrageInitiator"/>
            </w:pPr>
            <w:r>
              <w:lastRenderedPageBreak/>
              <w:t>Abgeordnete</w:t>
            </w:r>
            <w:r>
              <w:rPr>
                <w:b/>
              </w:rPr>
              <w:br/>
              <w:t>Susanne</w:t>
            </w:r>
            <w:r>
              <w:rPr>
                <w:b/>
              </w:rPr>
              <w:br/>
              <w:t>Kurz</w:t>
            </w:r>
            <w:r>
              <w:rPr>
                <w:b/>
              </w:rPr>
              <w:br/>
            </w:r>
            <w:r>
              <w:t>(BÜNDNIS 90/DIE GRÜNEN)</w:t>
            </w:r>
            <w:bookmarkStart w:id="38" w:name="Frage_Nr_19"/>
            <w:bookmarkEnd w:id="38"/>
          </w:p>
        </w:tc>
        <w:tc>
          <w:tcPr>
            <w:tcW w:w="5707" w:type="dxa"/>
          </w:tcPr>
          <w:p w:rsidR="00BE1E41" w:rsidRPr="00E044EA" w:rsidRDefault="00BE1E41" w:rsidP="00E044EA">
            <w:pPr>
              <w:pStyle w:val="LTAnfrageText"/>
            </w:pPr>
            <w:r w:rsidRPr="00E044EA">
              <w:t>Im Hinblick auf die Ende März auslaufende Antragsmöglichkeit für Finanzhilfen für die Zeit von Oktober bis Dezember 2020 aus dem Soloselbstständigenprogramm I für soloselbstständige Künstlerinnen und Künstler sowie Angehörige kulturnaher Berufe frage ich die Staatsregierung, wie der aktuelle Stand der Antragstellung der Hilfen im Einzelnen ist (bitte mit Angabe der bereits bewilligten und ausgezahlten Anträge), in welchem Umfang das Staatsministerium für Wissenschaft und Kunst (StMWK) eine Überkompensation kumulierbarer Hilfen feststellen konnte (bitte Anzahl der Fälle und durchschnittliche Höhe der Überkompensation auflisten) und wie schwerwiegend – nach Versteuerung der Hilfen für 2020 durch die jeweiligen Empfängerinnen und Empfänger – die Staatsregierung die Problematik der Überkompensation der Betroffenen ansieht?</w:t>
            </w:r>
          </w:p>
        </w:tc>
        <w:tc>
          <w:tcPr>
            <w:tcW w:w="5707" w:type="dxa"/>
          </w:tcPr>
          <w:p w:rsidR="00BE1E41" w:rsidRDefault="00BE1E41" w:rsidP="00BE1E41">
            <w:pPr>
              <w:pStyle w:val="LTAnfrageText"/>
            </w:pPr>
          </w:p>
        </w:tc>
      </w:tr>
    </w:tbl>
    <w:p w:rsidR="007E0861" w:rsidRDefault="007E0861" w:rsidP="007E0861">
      <w:pPr>
        <w:pStyle w:val="LTUeberschrAntwortRessort"/>
      </w:pPr>
      <w:r>
        <w:t>Antwort des Staatsministeriums für Wissenschaft und Kunst</w:t>
      </w:r>
    </w:p>
    <w:p w:rsidR="007E0861" w:rsidRDefault="007E0861" w:rsidP="007E0861">
      <w:pPr>
        <w:pStyle w:val="LTAntwortRessortText"/>
      </w:pPr>
      <w:r>
        <w:t xml:space="preserve">Es wurden aktuell für das Soloselbstständigenprogramm für Künstlerinnen und Künstler sowie </w:t>
      </w:r>
      <w:r w:rsidR="007E2FED">
        <w:t>Angehörige kulturnaher Berufe 2 </w:t>
      </w:r>
      <w:r>
        <w:t>9</w:t>
      </w:r>
      <w:r w:rsidR="007E2FED">
        <w:t>56 Anträge abgegeben; 2 </w:t>
      </w:r>
      <w:r w:rsidR="00C82F6C">
        <w:t>753 be</w:t>
      </w:r>
      <w:r>
        <w:t>finden sich noch in Vorbereit</w:t>
      </w:r>
      <w:r w:rsidR="007E2FED">
        <w:t>ung. Bewilligt wurden bislang 1 </w:t>
      </w:r>
      <w:r>
        <w:t>938 Anträge, 392 sind in Bearbeitung und 170 wurden abgelehnt. Aktuell wurden Förderungen in Höhe von 5,1 Mio. Euro bewilligt, ausbezahlt davon sind 4,7 Mio. Euro.</w:t>
      </w:r>
    </w:p>
    <w:p w:rsidR="007E0861" w:rsidRDefault="007E0861" w:rsidP="007E0861">
      <w:pPr>
        <w:pStyle w:val="LTAntwortRessortText"/>
      </w:pPr>
      <w:r>
        <w:t>Zum Umfang von Überkompensationen bei kumulier</w:t>
      </w:r>
      <w:r w:rsidR="00C82F6C">
        <w:t>baren Hilfen bei den bereits be</w:t>
      </w:r>
      <w:r>
        <w:t>arbeiteten Fällen aus dem Antragszeitraum Okto</w:t>
      </w:r>
      <w:r w:rsidR="00C82F6C">
        <w:t>ber bis Dezember 2020 liegen we</w:t>
      </w:r>
      <w:r>
        <w:t>der dem Staatsministerium</w:t>
      </w:r>
      <w:r w:rsidR="00C82F6C">
        <w:t>,</w:t>
      </w:r>
      <w:r>
        <w:t xml:space="preserve"> noch den Regierungen abschließende Daten vor. Das Staatsministerium hat das Vorgehen bei die</w:t>
      </w:r>
      <w:r w:rsidR="00C82F6C">
        <w:t>ser Frage mit dem Obersten Rechnungs</w:t>
      </w:r>
      <w:r>
        <w:t>hof geklärt und entsprechende Weisungen zum Vo</w:t>
      </w:r>
      <w:r w:rsidR="00C82F6C">
        <w:t>llzug an die Regierungen heraus</w:t>
      </w:r>
      <w:r>
        <w:t>gegeben. Diese überprüfen jetzt die einzelnen Fälle</w:t>
      </w:r>
      <w:r w:rsidR="00C82F6C">
        <w:t xml:space="preserve"> daraufhin, ob es zu einer Über</w:t>
      </w:r>
      <w:r>
        <w:t>kompensation gekommen ist und ob im Einzelfall B</w:t>
      </w:r>
      <w:r w:rsidR="00C82F6C">
        <w:t>escheide mit Blick auf die Über</w:t>
      </w:r>
      <w:r>
        <w:t xml:space="preserve">kompensation angepasst werden müssen. </w:t>
      </w:r>
      <w:r w:rsidR="0097254F">
        <w:t>Dies richtetet sich nach Art.</w:t>
      </w:r>
      <w:r>
        <w:t xml:space="preserve"> 48 des Bayerischen Verwaltungsverfahrensgesetzes. Hie</w:t>
      </w:r>
      <w:r w:rsidR="00C82F6C">
        <w:t>rbei ist insbesondere eine Rück</w:t>
      </w:r>
      <w:r>
        <w:t>nahme des Bescheides nicht möglich, soweit die oder der Begü</w:t>
      </w:r>
      <w:r w:rsidR="00C82F6C">
        <w:t>nstigte auf den Be</w:t>
      </w:r>
      <w:r>
        <w:t>stand des Bescheids vertraut hat und das Vertraue</w:t>
      </w:r>
      <w:r w:rsidR="00C82F6C">
        <w:t>n unter Abwägung mit dem öffent</w:t>
      </w:r>
      <w:r>
        <w:t>lichen Interesse einer Rücknahme schutzwürdig ist.</w:t>
      </w:r>
    </w:p>
    <w:p w:rsidR="007E0861" w:rsidRDefault="007E0861" w:rsidP="007E0861">
      <w:pPr>
        <w:pStyle w:val="LTAntwortRessortText"/>
      </w:pPr>
      <w:r>
        <w:t xml:space="preserve">Das Vertrauen ist in der Regel schutzwürdig, wenn </w:t>
      </w:r>
      <w:r w:rsidR="00FC3C83">
        <w:t>die oder der Begünstigte gewähr</w:t>
      </w:r>
      <w:r>
        <w:t>te Leistungen verbraucht oder eine Vermögensdisposition getroffen hat, die sie oder er nicht mehr oder nur unter unzumutbaren Nachteilen rückgängig machen kann.</w:t>
      </w:r>
    </w:p>
    <w:p w:rsidR="007E0861" w:rsidRDefault="007E0861">
      <w:bookmarkStart w:id="39" w:name="Frage_Nr_19_Ende"/>
      <w:bookmarkEnd w:id="39"/>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C1177" w:rsidTr="003C1177">
        <w:tc>
          <w:tcPr>
            <w:tcW w:w="1883" w:type="dxa"/>
          </w:tcPr>
          <w:p w:rsidR="003C1177" w:rsidRDefault="003C1177" w:rsidP="003C1177">
            <w:pPr>
              <w:pStyle w:val="LTAnfrageInitiator"/>
            </w:pPr>
            <w:r>
              <w:lastRenderedPageBreak/>
              <w:t>Abgeordnete</w:t>
            </w:r>
            <w:r>
              <w:rPr>
                <w:b/>
              </w:rPr>
              <w:br/>
              <w:t>Stephanie</w:t>
            </w:r>
            <w:r>
              <w:rPr>
                <w:b/>
              </w:rPr>
              <w:br/>
              <w:t>Schuhknecht</w:t>
            </w:r>
            <w:r>
              <w:rPr>
                <w:b/>
              </w:rPr>
              <w:br/>
            </w:r>
            <w:r>
              <w:t>(BÜNDNIS 90/DIE GRÜNEN)</w:t>
            </w:r>
            <w:bookmarkStart w:id="40" w:name="Frage_Nr_20"/>
            <w:bookmarkEnd w:id="40"/>
          </w:p>
        </w:tc>
        <w:tc>
          <w:tcPr>
            <w:tcW w:w="5733" w:type="dxa"/>
          </w:tcPr>
          <w:p w:rsidR="003C1177" w:rsidRPr="00E044EA" w:rsidRDefault="003C1177" w:rsidP="00FC3C83">
            <w:pPr>
              <w:pStyle w:val="LTAnfrageText"/>
            </w:pPr>
            <w:r w:rsidRPr="00E044EA">
              <w:t>Nachdem sich Klagen von Künstlerinnen und Künstlern häufen, dass sie Finanzhilfen aus dem Soloselbstständigenprogramm und zusätzlich beantragten außerordentlichen Wirtschaftshilfen des Bundes (November- und Dezemberhilfe) wegen Überkompensation teilweise zurückza</w:t>
            </w:r>
            <w:r w:rsidR="00FC3C83">
              <w:t xml:space="preserve">hlen sollen bzw. Hilfen aus dem </w:t>
            </w:r>
            <w:r w:rsidRPr="00E044EA">
              <w:t>Soloselbstständigenprogramm nicht gewährt werden und sie bei Nachfragen bei den zuständigen Stellen keine Antworten erhalten, weil dafür in den Richtlinien keine Definition von Überkompensation vorliegt und vor dem Hintergrund steigender Inzidenzen und erneut drohender Schließungen große Unklarheiten bezüglich der Hilfen bestehen, frage ich die Staatsregierung, wie die Forderung auf Rückzahlung wegen Überkompensation rechtlich begründet wird, bei wie vielen Anträgen bisher Gelder wegen Überkompensation wieder zurückgefordert wurden und ob die Staatsregierung beabsichtigt, auf die Rückzahlung rückwirkend und künftig angesichts der geringen Summen und der in der Regel prekären Lebenssituation der Antragstellerinnen und -steller z. B. mittels einer Bagatelle-Regelung zu verzichten? </w:t>
            </w:r>
          </w:p>
        </w:tc>
        <w:tc>
          <w:tcPr>
            <w:tcW w:w="5733" w:type="dxa"/>
          </w:tcPr>
          <w:p w:rsidR="003C1177" w:rsidRDefault="003C1177" w:rsidP="003C1177">
            <w:pPr>
              <w:pStyle w:val="LTAnfrageText"/>
            </w:pPr>
          </w:p>
        </w:tc>
      </w:tr>
    </w:tbl>
    <w:p w:rsidR="007E0861" w:rsidRDefault="007E0861" w:rsidP="007E0861">
      <w:pPr>
        <w:pStyle w:val="LTUeberschrAntwortRessort"/>
      </w:pPr>
      <w:r>
        <w:t>Antwort des Staatsministeriums für Wissenschaft und Kunst</w:t>
      </w:r>
    </w:p>
    <w:p w:rsidR="007E0861" w:rsidRDefault="007E0861" w:rsidP="007E0861">
      <w:pPr>
        <w:pStyle w:val="LTAntwortRessortText"/>
      </w:pPr>
      <w:r>
        <w:t>Die Frage, wie bei einer Überkompensation vorzugehen ist, also in dem Fall, in dem eine Antragstellerin/ein Antragsteller aufgrund einer</w:t>
      </w:r>
      <w:r w:rsidR="00FC3C83">
        <w:t xml:space="preserve"> Kumulation von Finanzhilfen ei</w:t>
      </w:r>
      <w:r>
        <w:t>nen Ausgleich erhält, der höher ist als der tatsäch</w:t>
      </w:r>
      <w:r w:rsidR="0097254F">
        <w:t>liche Umsatzrückgang im Antrags</w:t>
      </w:r>
      <w:r>
        <w:t>zeitraum, wurde nach Rücksprache mit dem Ober</w:t>
      </w:r>
      <w:r w:rsidR="00FC3C83">
        <w:t>sten Rechnungshof geklärt. Über</w:t>
      </w:r>
      <w:r>
        <w:t xml:space="preserve">kompensationen sind grundsätzlich nicht zulässig, da eine </w:t>
      </w:r>
      <w:r w:rsidR="00730353">
        <w:t>Antragstellerin/ein Antrag</w:t>
      </w:r>
      <w:r>
        <w:t>steller durch finanzielle Hilfen des Staates nicht bessergestellt wer</w:t>
      </w:r>
      <w:r w:rsidR="00730353">
        <w:t>den darf, als wenn der Schaden –</w:t>
      </w:r>
      <w:r>
        <w:t xml:space="preserve"> hier der Umsatzrückgang aufgrund der </w:t>
      </w:r>
      <w:r w:rsidR="00B832D1">
        <w:t>Coronakrise</w:t>
      </w:r>
      <w:r w:rsidR="00730353">
        <w:t xml:space="preserve"> –</w:t>
      </w:r>
      <w:r w:rsidR="00FC3C83">
        <w:t xml:space="preserve"> nicht eingetre</w:t>
      </w:r>
      <w:r>
        <w:t>ten wäre. Diese Regelung gilt nicht nur für die am 15</w:t>
      </w:r>
      <w:r w:rsidR="00FC3C83">
        <w:t>.03.2021 freigeschaltete Verlän</w:t>
      </w:r>
      <w:r>
        <w:t>gerung des Soloselbstständigenprogramms, sondern auch für den Zeitraum Oktober bis Dezember 2020.</w:t>
      </w:r>
    </w:p>
    <w:p w:rsidR="007E0861" w:rsidRDefault="007E0861" w:rsidP="007E0861">
      <w:pPr>
        <w:pStyle w:val="LTAntwortRessortText"/>
      </w:pPr>
      <w:r>
        <w:t xml:space="preserve">Nachdem die Frage der Unzulässigkeit der Überkompensation geklärt ist, können Anträge, die vorübergehend während der Klärung </w:t>
      </w:r>
      <w:r w:rsidR="00FC3C83">
        <w:t>dieser Frage zurückgestellt wur</w:t>
      </w:r>
      <w:r>
        <w:t>den, wieder von den Regierungen bearbeitet werden. Die Regierungen müssen jetzt im Einzelfall prüfen, ob eine Überkompensation vorliegt und ob ggf. eine Anpassung des Bescheides mit Blick auf die Überkompensation vorgenommen werden muss.</w:t>
      </w:r>
    </w:p>
    <w:p w:rsidR="007E0861" w:rsidRDefault="00730353" w:rsidP="007E0861">
      <w:pPr>
        <w:pStyle w:val="LTAntwortRessortText"/>
      </w:pPr>
      <w:r>
        <w:t>Dies richtetet sich nach Art.</w:t>
      </w:r>
      <w:r w:rsidR="007E0861">
        <w:t xml:space="preserve"> 48 des Bayerischen Verwaltungsverfahrensgesetzes. Hierbei ist insbesondere eine Rücknahme des Bescheides nicht möglich, soweit die oder der Begünstigte auf den Bestand des Bescheids vertraut hat und das Vertrauen unter Abwägung mit dem öffentlichen Interesse einer Rücknahme schutzwürdig ist. Das Vertrauen ist in der Regel schutzwürdig, wenn </w:t>
      </w:r>
      <w:r w:rsidR="00FC3C83">
        <w:t>die oder der Begünstigte gewähr</w:t>
      </w:r>
      <w:r w:rsidR="007E0861">
        <w:t>te Leistungen verbraucht oder eine Vermögensdisposition getroffen hat, die sie oder er nicht mehr oder nur unter unzumutbaren Nachteilen rückgängig machen kann.</w:t>
      </w:r>
    </w:p>
    <w:p w:rsidR="007E0861" w:rsidRDefault="007E0861">
      <w:bookmarkStart w:id="41" w:name="Frage_Nr_20_Ende"/>
      <w:bookmarkEnd w:id="41"/>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3C1177" w:rsidTr="003C1177">
        <w:tc>
          <w:tcPr>
            <w:tcW w:w="1854" w:type="dxa"/>
          </w:tcPr>
          <w:p w:rsidR="003C1177" w:rsidRDefault="003C1177" w:rsidP="003C1177">
            <w:pPr>
              <w:pStyle w:val="LTAnfrageInitiator"/>
            </w:pPr>
            <w:r>
              <w:lastRenderedPageBreak/>
              <w:t>Abgeordnete</w:t>
            </w:r>
            <w:r>
              <w:rPr>
                <w:b/>
              </w:rPr>
              <w:br/>
              <w:t>Margit</w:t>
            </w:r>
            <w:r>
              <w:rPr>
                <w:b/>
              </w:rPr>
              <w:br/>
              <w:t>Wild</w:t>
            </w:r>
            <w:r>
              <w:rPr>
                <w:b/>
              </w:rPr>
              <w:br/>
            </w:r>
            <w:r>
              <w:t>(SPD)</w:t>
            </w:r>
            <w:bookmarkStart w:id="42" w:name="Frage_Nr_21"/>
            <w:bookmarkEnd w:id="42"/>
          </w:p>
        </w:tc>
        <w:tc>
          <w:tcPr>
            <w:tcW w:w="5762" w:type="dxa"/>
          </w:tcPr>
          <w:p w:rsidR="003C1177" w:rsidRPr="00E044EA" w:rsidRDefault="003C1177" w:rsidP="00E044EA">
            <w:pPr>
              <w:pStyle w:val="LTAnfrageText"/>
            </w:pPr>
            <w:r w:rsidRPr="00E044EA">
              <w:t>Nachdem aus einer Pressemitteilung vom 01.12.2020 hervorgeht, dass die Staatsregierung bei</w:t>
            </w:r>
            <w:r w:rsidR="00FC3C83">
              <w:t xml:space="preserve"> der Erarbeitung des sog. „Hoch</w:t>
            </w:r>
            <w:r w:rsidRPr="00E044EA">
              <w:t>schulinnovationsgesetzes“ eng mit den Hochschulen im Dialog steht, auf der anderen Seite an den Hochschulen im Freistaat eine sehr kritische Diskussion zu den von der Staatsregierung geplanten Zielen geführt und zum Teil massiver Protest artikuliert wird, frage ich die Staatsregierung, wann Staatsminister für Wissenschaft und Kunst Bernd Sibler, das Staatsministerium für Wissenschaft und Kunst sowie die Staatskanzlei 2020 mit einzelnen Gesprächspartnern an den Hochschulen und mit hochschulpolitischen Akteuren bzw. Institutionen diesen Dialog bisher konkret geführt hat (bitte konkret aufgeschlüsselt nach Datum, Vertreter der Staatsregierung, Gesprächspartner der einzelnen Hochschulen, hochschulpolitischen Akteuren/Institutionen sowie Art der Gespräche angeben), die Bedenken, die seitens der Gesprächspartner an der geplanten Hochschulreform geäußert wurden (bitte mit konkreter Angabe zu den Bedenken) und welche Konsequenzen und Rückschlüsse die Staatsregierung hieraus für die Korrektur der Eckpunkte bzw. die Formulierung des Gesetzentwurfs zur Hochschulreform zieht, z. B. b</w:t>
            </w:r>
            <w:r w:rsidR="00FC3C83">
              <w:t>ezüglich des Erhalts der Fächerd</w:t>
            </w:r>
            <w:r w:rsidRPr="00E044EA">
              <w:t>iversität, der „unternehmerischen Hochschule“, dem Globalbudget, dem Gesamtlehrdeputat bzw. der Sicherstellung der demokratischen Verfasstheit der Hochschulen?</w:t>
            </w:r>
          </w:p>
        </w:tc>
        <w:tc>
          <w:tcPr>
            <w:tcW w:w="5762" w:type="dxa"/>
          </w:tcPr>
          <w:p w:rsidR="003C1177" w:rsidRDefault="003C1177" w:rsidP="003C1177">
            <w:pPr>
              <w:pStyle w:val="LTAnfrageText"/>
            </w:pPr>
          </w:p>
        </w:tc>
      </w:tr>
    </w:tbl>
    <w:p w:rsidR="007E0861" w:rsidRDefault="007E0861" w:rsidP="007E0861">
      <w:pPr>
        <w:pStyle w:val="LTUeberschrAntwortRessort"/>
      </w:pPr>
      <w:r>
        <w:t>Antwort des Staatsministeriums für Wissenschaft und Kunst</w:t>
      </w:r>
    </w:p>
    <w:p w:rsidR="007E0861" w:rsidRDefault="007E0861" w:rsidP="007E0861">
      <w:pPr>
        <w:pStyle w:val="LTAntwortRessortText"/>
      </w:pPr>
      <w:r>
        <w:t>Grundsätzlich ist anzumerken, dass das Staatsmin</w:t>
      </w:r>
      <w:r w:rsidR="00537833">
        <w:t>isterium sowie auch Staatsminis</w:t>
      </w:r>
      <w:r>
        <w:t>ter Bernd Sibler persönlich mit den Akteuren im Ho</w:t>
      </w:r>
      <w:r w:rsidR="00537833">
        <w:t>chschulbereich in unterschiedli</w:t>
      </w:r>
      <w:r>
        <w:t>chen Kontexten im intensiven Austausch steht und</w:t>
      </w:r>
      <w:r w:rsidR="00537833">
        <w:t xml:space="preserve"> dabei vielfach an das Staatsmi</w:t>
      </w:r>
      <w:r>
        <w:t>nisterium herangetragen wird, welche Belange für die verschiedenen Statusgruppen der Hochschulen in Bayern mit Blick auf die Erarb</w:t>
      </w:r>
      <w:r w:rsidR="0097254F">
        <w:t>eitung des Hochschulinnovations</w:t>
      </w:r>
      <w:r>
        <w:t>gesetzes von Bedeutung sind. Nachstehend wird ein Überblick und Einblick in die Gespräche gegeben: Die Gespräche von Staatsminister Bernd Sibler zum neuen Gesetz fanden 2020 ihren Auftakt mit Videokon</w:t>
      </w:r>
      <w:r w:rsidR="00537833">
        <w:t>ferenzen am 02.10.2020 mit Hoch</w:t>
      </w:r>
      <w:r>
        <w:t>schule Bayern e.</w:t>
      </w:r>
      <w:r w:rsidR="00730353">
        <w:t> </w:t>
      </w:r>
      <w:r>
        <w:t xml:space="preserve">V., Universität Bayern e.V. und den Kunsthochschulen. Auch auf vielen weiteren Terminen der Hochschulverbünde mit dem Staatsministerium wurde das Gesetzgebungsprojekt erörtert. Am 06.11.2020 </w:t>
      </w:r>
      <w:r w:rsidR="00537833">
        <w:t>erfolgte beispielsweise ein Aus</w:t>
      </w:r>
      <w:r>
        <w:t>tausch von Herrn Staatsminister und Vertreterinnen</w:t>
      </w:r>
      <w:r w:rsidR="00537833">
        <w:t xml:space="preserve"> und Vertretern der Rechtsabtei</w:t>
      </w:r>
      <w:r>
        <w:t>lung des Staatsministeriums mit den Hochschulverbünden sowie Vertreterinnen und Vertretern der Professorenschaft, der Personalr</w:t>
      </w:r>
      <w:r w:rsidR="00734E22">
        <w:t>äte, des Mittelbaus, der Gleich</w:t>
      </w:r>
      <w:r>
        <w:t xml:space="preserve">stellungsbeauftragten, der Studentinnen und Studenten und der Studentenwerke. Parallel wurden zahlreiche Fachgespräche mit Beteiligung von Herrn Staatsminister oder auf Arbeitsebene durchgeführt, so </w:t>
      </w:r>
      <w:r w:rsidR="00102307">
        <w:t>z. B.</w:t>
      </w:r>
      <w:r>
        <w:t xml:space="preserve"> mit den Kanzlerinnen und Kanzlern der Universitäten (10.11.2020), Hochschulen für angewandte Wissenschaften (17.11.2020) und Kunsthochschulen (23.11.2020) s</w:t>
      </w:r>
      <w:r w:rsidR="00537833">
        <w:t>owie mit Vertreterinnen und Ver</w:t>
      </w:r>
      <w:r>
        <w:t xml:space="preserve">tretern einzelner Mitgliedergruppen bzw. Interessenvertretern, so </w:t>
      </w:r>
      <w:r w:rsidR="00102307">
        <w:t>z. B.</w:t>
      </w:r>
      <w:r w:rsidR="00537833">
        <w:t xml:space="preserve"> mit der Lan</w:t>
      </w:r>
      <w:r>
        <w:t>deskonferenz der Frauen- und Gleichstellungsbeauftragten an Bayerischen Hochschulen (10., 12. und 16.12.2020), der Landes-ASten-Konferenz Bayern (</w:t>
      </w:r>
      <w:r w:rsidR="00102307">
        <w:t>z. B.</w:t>
      </w:r>
      <w:r>
        <w:t xml:space="preserve"> 11.12.2020 und 26.02.2021) oder dem Landesver</w:t>
      </w:r>
      <w:r w:rsidR="00537833">
        <w:t>band Wissenschaftler und Wissen</w:t>
      </w:r>
      <w:r>
        <w:t>schaftlerinnen in Bayern (17.12.2020).</w:t>
      </w:r>
    </w:p>
    <w:p w:rsidR="007E0861" w:rsidRDefault="007E0861" w:rsidP="007E0861">
      <w:pPr>
        <w:pStyle w:val="LTAntwortRessortText"/>
      </w:pPr>
      <w:r>
        <w:lastRenderedPageBreak/>
        <w:t>Aus diesen Gesprächen wurden immer wieder Ko</w:t>
      </w:r>
      <w:r w:rsidR="00537833">
        <w:t>nsequenzen für den möglichen In</w:t>
      </w:r>
      <w:r>
        <w:t>halt des neuen Gesetzes gezogen. Die in dieser Phase laufenden Gespräche und die daraus gewonnenen Erkenntnisse fließen</w:t>
      </w:r>
      <w:r w:rsidR="00730353">
        <w:t xml:space="preserve"> in einen komplexen Meinungsbil</w:t>
      </w:r>
      <w:r>
        <w:t>dungsprozess ein. Nach einer ersten Beratung im</w:t>
      </w:r>
      <w:r w:rsidR="00537833">
        <w:t xml:space="preserve"> Ministerrat haben zudem im Rah</w:t>
      </w:r>
      <w:r>
        <w:t>men einer formalen Verbändeanhörung die vom Gesetz selbst betroffenen Grup</w:t>
      </w:r>
      <w:r w:rsidR="00537833">
        <w:t>-</w:t>
      </w:r>
      <w:r w:rsidR="00730353">
        <w:t>pie</w:t>
      </w:r>
      <w:r>
        <w:t>rungen Gelegenheit, ihre Positionen zum Gesetzentwurf</w:t>
      </w:r>
      <w:r w:rsidR="00537833">
        <w:t xml:space="preserve"> einzubringen. Am Ende die</w:t>
      </w:r>
      <w:r>
        <w:t>ses Verfahrens steht ein Gesetzentwurf, der mit der zugehörigen Begründung dem Parlament zugeleitet wird. Ein bereits veröffentlichter i</w:t>
      </w:r>
      <w:r w:rsidR="00537833">
        <w:t>nhaltlicher Aspekt ist die beab</w:t>
      </w:r>
      <w:r>
        <w:t>sichtigte Beibehaltung der Dienstherren- und Arbeitgebereigenschaft des Staates für das Hochschulpersonal.</w:t>
      </w:r>
    </w:p>
    <w:p w:rsidR="007E0861" w:rsidRDefault="007E0861">
      <w:bookmarkStart w:id="43" w:name="Frage_Nr_21_Ende"/>
      <w:bookmarkEnd w:id="43"/>
      <w:r>
        <w:br w:type="page"/>
      </w:r>
    </w:p>
    <w:p w:rsidR="007E0861" w:rsidRDefault="007E0861" w:rsidP="007E0861">
      <w:pPr>
        <w:pStyle w:val="LTUeberschrRessort"/>
      </w:pPr>
      <w:r>
        <w:lastRenderedPageBreak/>
        <w:t>Geschäftsbereich des Staatsministeriums der Finanzen und für Heimat</w:t>
      </w:r>
    </w:p>
    <w:tbl>
      <w:tblPr>
        <w:tblStyle w:val="Tabellenraster"/>
        <w:tblW w:w="1332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tblGrid>
      <w:tr w:rsidR="003C1177" w:rsidTr="003C1177">
        <w:tc>
          <w:tcPr>
            <w:tcW w:w="1905" w:type="dxa"/>
          </w:tcPr>
          <w:p w:rsidR="003C1177" w:rsidRDefault="003C1177" w:rsidP="003C1177">
            <w:pPr>
              <w:pStyle w:val="LTAnfrageInitiator"/>
            </w:pPr>
            <w:r>
              <w:t>Abgeordneter</w:t>
            </w:r>
            <w:r>
              <w:rPr>
                <w:b/>
              </w:rPr>
              <w:br/>
              <w:t>Matthias</w:t>
            </w:r>
            <w:r>
              <w:rPr>
                <w:b/>
              </w:rPr>
              <w:br/>
              <w:t>Fischbach</w:t>
            </w:r>
            <w:r>
              <w:rPr>
                <w:b/>
              </w:rPr>
              <w:br/>
            </w:r>
            <w:r>
              <w:t>(FDP)</w:t>
            </w:r>
            <w:bookmarkStart w:id="44" w:name="Frage_Nr_22"/>
            <w:bookmarkEnd w:id="44"/>
          </w:p>
        </w:tc>
        <w:tc>
          <w:tcPr>
            <w:tcW w:w="5711" w:type="dxa"/>
          </w:tcPr>
          <w:p w:rsidR="003C1177" w:rsidRPr="00E044EA" w:rsidRDefault="003C1177" w:rsidP="00E044EA">
            <w:pPr>
              <w:pStyle w:val="LTAnfrageText"/>
            </w:pPr>
            <w:r w:rsidRPr="00E044EA">
              <w:t xml:space="preserve">Ich frage die Staatsregierung, hat sie seit 01.01.2019 mit einem der Unternehmen Tectum Holding GmbH, </w:t>
            </w:r>
            <w:r w:rsidR="007434EE">
              <w:t>EMIX</w:t>
            </w:r>
            <w:r w:rsidRPr="00E044EA">
              <w:t xml:space="preserve"> Trading AG, Löbel Projektmanagement GmbH, Immosites Projektentwicklung GmbH oder Nikolas Löbel pr.marketing.event oder mit einer der Rechtsanwaltskanzleien Sauter und Wurm GbR, Gauweiler &amp; Sauter Rechtsanwälte Partnerschaft mbB, König Gauweiler Sauter Rechtanwälte – Steuerberater Partnergesellschaft mbB bzw. mit Dritten unter Vermittlung der Genannten Verträge geschlossen (bitte ggfs. unter Angabe aller relevanten Inhalte, insbesondere der genauen Beschreibung des Vertragsgegenstandes, der Art der Vergabe sowie des Vertragsumfangs beantworten), welchen Inhalts sind die Listen für die beschränkten Ausschreibungen und freihändigen Vergaben ab 2.500 Euro, die gemäß Nr. 7.1.4 der Korruptionsbekämpfungsrichtlinie an jeder Dienststelle geführt werden müssen (bitte um Wiedergabe der Listeninhalte seit Februar 2020 für alle Staatsministerien des Freistaates Bayern, ggf. in datenschutzkonformer Form) und auf welchem Stand befindet sich die Überarbeitung der Korruptionsbekämpfungsrichtlinie, die laut Antwort der Staatsregierung auf meine Anfrage vom August 2019 spätestens seit 01.01.2018 notwendig ist und an der die Staatsregierung unter Federführung des Staatsministeriums des Innern, für Sport und Integration zumindest seit 2019 arbeitet?</w:t>
            </w:r>
          </w:p>
        </w:tc>
        <w:tc>
          <w:tcPr>
            <w:tcW w:w="5711" w:type="dxa"/>
          </w:tcPr>
          <w:p w:rsidR="003C1177" w:rsidRDefault="003C1177" w:rsidP="003C1177">
            <w:pPr>
              <w:pStyle w:val="LTAnfrageText"/>
            </w:pPr>
          </w:p>
        </w:tc>
      </w:tr>
    </w:tbl>
    <w:p w:rsidR="007E0861" w:rsidRDefault="007E0861" w:rsidP="007E0861">
      <w:pPr>
        <w:pStyle w:val="LTUeberschrAntwortRessort"/>
      </w:pPr>
      <w:r>
        <w:t>Antwort des Staatsministeriums der Finanzen und für Heimat</w:t>
      </w:r>
    </w:p>
    <w:p w:rsidR="007E0861" w:rsidRDefault="007E0861" w:rsidP="007E0861">
      <w:pPr>
        <w:pStyle w:val="LTAntwortRessortText"/>
      </w:pPr>
      <w:r>
        <w:t>Eine Erhebung der geforderten Informatio</w:t>
      </w:r>
      <w:r w:rsidR="00537833">
        <w:t>nen zu Verträgen mit den genann</w:t>
      </w:r>
      <w:r>
        <w:t>ten Firmen und Kanzleien bzw. Dritten, die durch die genannten Firmen oder Kanzleien vermittelt wurden sowie zum Inhalt der einzelnen Listen gemäß Nr. 7.1.4 der Korruptionsbekämpfungsrichtlinie, wäre nur durch umfangreiche Abfragen möglich. Dies ist ihm Rahmen einer Plenaranfrage nicht darstellbar.</w:t>
      </w:r>
    </w:p>
    <w:p w:rsidR="007E0861" w:rsidRDefault="007E0861" w:rsidP="007E0861">
      <w:pPr>
        <w:pStyle w:val="LTAntwortRessortText"/>
      </w:pPr>
      <w:r>
        <w:t>Die Überarbeitung der Korruptionsbekämpfun</w:t>
      </w:r>
      <w:r w:rsidR="00537833">
        <w:t>gsrichtlinie soll nach Rückspra</w:t>
      </w:r>
      <w:r>
        <w:t>che mit dem Staatsministerium des Innern</w:t>
      </w:r>
      <w:r w:rsidR="00537833">
        <w:t>, für Sport und Integration dem</w:t>
      </w:r>
      <w:r>
        <w:t xml:space="preserve">nächst abgeschlossen werden. Am </w:t>
      </w:r>
      <w:r w:rsidR="00730353">
        <w:t>01.05.</w:t>
      </w:r>
      <w:r>
        <w:t>2</w:t>
      </w:r>
      <w:r w:rsidR="00537833">
        <w:t>021 soll die neue Korruptionsbe</w:t>
      </w:r>
      <w:r>
        <w:t>kämpfungsrichtlinie voraussichtlich in Kraft treten.</w:t>
      </w:r>
    </w:p>
    <w:p w:rsidR="007E0861" w:rsidRDefault="007E0861">
      <w:bookmarkStart w:id="45" w:name="Frage_Nr_22_Ende"/>
      <w:bookmarkEnd w:id="45"/>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C1177" w:rsidTr="003C1177">
        <w:tc>
          <w:tcPr>
            <w:tcW w:w="1883" w:type="dxa"/>
          </w:tcPr>
          <w:p w:rsidR="003C1177" w:rsidRDefault="003C1177" w:rsidP="003C1177">
            <w:pPr>
              <w:pStyle w:val="LTAnfrageInitiator"/>
            </w:pPr>
            <w:r>
              <w:lastRenderedPageBreak/>
              <w:t>Abgeordnete</w:t>
            </w:r>
            <w:r>
              <w:rPr>
                <w:b/>
              </w:rPr>
              <w:br/>
              <w:t>Christina</w:t>
            </w:r>
            <w:r>
              <w:rPr>
                <w:b/>
              </w:rPr>
              <w:br/>
              <w:t>Haubrich</w:t>
            </w:r>
            <w:r>
              <w:rPr>
                <w:b/>
              </w:rPr>
              <w:br/>
            </w:r>
            <w:r>
              <w:t>(BÜNDNIS 90/DIE GRÜNEN)</w:t>
            </w:r>
            <w:bookmarkStart w:id="46" w:name="Frage_Nr_23"/>
            <w:bookmarkEnd w:id="46"/>
          </w:p>
        </w:tc>
        <w:tc>
          <w:tcPr>
            <w:tcW w:w="5733" w:type="dxa"/>
          </w:tcPr>
          <w:p w:rsidR="003C1177" w:rsidRPr="00E044EA" w:rsidRDefault="003C1177" w:rsidP="00E044EA">
            <w:pPr>
              <w:pStyle w:val="LTAnfrageText"/>
            </w:pPr>
            <w:r w:rsidRPr="00E044EA">
              <w:t>Ich frage die Staatsregierung, welche Verträge (auch Lobbyberatung) hat MdL Alfred Sauter (CSU) bzw. die mit ihm verbundenen Rechtsanwaltskanzleien mit Ministerien oder nachgeordneten Behörden in den vergangenen fünf Jahren geschlossen, welche Vergütung hat er dafür erhalten und welche Kenntnisse hat die Staatsregierung über Art und Umfang entgeltlicher politischer Interessenvertretung, die durch MdL Alfred Sauter (CSU) neben seiner Tätigkeit als Mitglied des Landtags ausgeübt wird?  </w:t>
            </w:r>
          </w:p>
        </w:tc>
        <w:tc>
          <w:tcPr>
            <w:tcW w:w="5733" w:type="dxa"/>
          </w:tcPr>
          <w:p w:rsidR="003C1177" w:rsidRDefault="003C1177" w:rsidP="003C1177">
            <w:pPr>
              <w:pStyle w:val="LTAnfrageText"/>
            </w:pPr>
          </w:p>
        </w:tc>
      </w:tr>
    </w:tbl>
    <w:p w:rsidR="007E0861" w:rsidRDefault="007E0861" w:rsidP="007E0861">
      <w:pPr>
        <w:pStyle w:val="LTUeberschrAntwortRessort"/>
      </w:pPr>
      <w:r>
        <w:t>Antwort des Staatsministeriums der Finanzen und für Heimat</w:t>
      </w:r>
    </w:p>
    <w:p w:rsidR="007E0861" w:rsidRDefault="007E0861" w:rsidP="007E0861">
      <w:pPr>
        <w:pStyle w:val="LTAntwortRessortText"/>
      </w:pPr>
      <w:r>
        <w:t>Eine Erhebung der geforderten Daten wäre nur durch umfangreiche Abfragen möglich. Dies ist ihm Rahmen einer Plenaranfrage nicht darstellbar.</w:t>
      </w:r>
    </w:p>
    <w:p w:rsidR="007E0861" w:rsidRDefault="007E0861" w:rsidP="007E0861">
      <w:pPr>
        <w:pStyle w:val="LTAntwortRessortText"/>
      </w:pPr>
      <w:r>
        <w:t xml:space="preserve">Gemäß den Verhaltensregeln für die Mitglieder </w:t>
      </w:r>
      <w:r w:rsidR="00730353">
        <w:t xml:space="preserve">des </w:t>
      </w:r>
      <w:r>
        <w:t xml:space="preserve">Landtags, die sich der Landtag aufgrund von Art. 4a </w:t>
      </w:r>
      <w:r w:rsidR="00730353">
        <w:t>Bayerisches Abgeordnetengesetz (</w:t>
      </w:r>
      <w:r>
        <w:t>BayAbgG</w:t>
      </w:r>
      <w:r w:rsidR="00730353">
        <w:t>)</w:t>
      </w:r>
      <w:r>
        <w:t xml:space="preserve"> selbst gegeben hat, sind </w:t>
      </w:r>
      <w:r w:rsidR="00102307">
        <w:t>u. a.</w:t>
      </w:r>
      <w:r>
        <w:t xml:space="preserve"> entgeltliche Tätigkeiten neben dem Mandat, die selbstständig oder im Rahmen eines Anstellungsverhältnisse</w:t>
      </w:r>
      <w:r w:rsidR="00537833">
        <w:t>s ausgeübt werden, dem Präsiden</w:t>
      </w:r>
      <w:r>
        <w:t>ten/der Präsidentin des Landtags sc</w:t>
      </w:r>
      <w:r w:rsidR="00537833">
        <w:t>hriftlich anzuzeigen. Die Er</w:t>
      </w:r>
      <w:r>
        <w:t>füllung dieser Anzeigepflicht obliegt nicht der Kontrolle der Staatsregierung.</w:t>
      </w:r>
    </w:p>
    <w:p w:rsidR="007E0861" w:rsidRDefault="007E0861">
      <w:bookmarkStart w:id="47" w:name="Frage_Nr_23_Ende"/>
      <w:bookmarkEnd w:id="47"/>
      <w:r>
        <w:br w:type="page"/>
      </w:r>
    </w:p>
    <w:p w:rsidR="007E0861" w:rsidRDefault="007E0861" w:rsidP="007E0861">
      <w:pPr>
        <w:pStyle w:val="LTUeberschrRessort"/>
      </w:pPr>
      <w:r>
        <w:lastRenderedPageBreak/>
        <w:t>Geschäftsbereich des Staatsministeriums für Wirtschaft, Landesentwicklung und Energie</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250D6F" w:rsidTr="00250D6F">
        <w:tc>
          <w:tcPr>
            <w:tcW w:w="1854" w:type="dxa"/>
          </w:tcPr>
          <w:p w:rsidR="00250D6F" w:rsidRDefault="00250D6F" w:rsidP="00250D6F">
            <w:pPr>
              <w:pStyle w:val="LTAnfrageInitiator"/>
            </w:pPr>
            <w:r>
              <w:t>Abgeordneter</w:t>
            </w:r>
            <w:r>
              <w:rPr>
                <w:b/>
              </w:rPr>
              <w:br/>
              <w:t>Klaus</w:t>
            </w:r>
            <w:r>
              <w:rPr>
                <w:b/>
              </w:rPr>
              <w:br/>
              <w:t>Adelt</w:t>
            </w:r>
            <w:r>
              <w:rPr>
                <w:b/>
              </w:rPr>
              <w:br/>
            </w:r>
            <w:r>
              <w:t>(SPD)</w:t>
            </w:r>
            <w:bookmarkStart w:id="48" w:name="Frage_Nr_24"/>
            <w:bookmarkEnd w:id="48"/>
          </w:p>
        </w:tc>
        <w:tc>
          <w:tcPr>
            <w:tcW w:w="5762" w:type="dxa"/>
          </w:tcPr>
          <w:p w:rsidR="00250D6F" w:rsidRPr="00B72724" w:rsidRDefault="00250D6F" w:rsidP="00B72724">
            <w:pPr>
              <w:pStyle w:val="LTAnfrageText"/>
            </w:pPr>
            <w:r w:rsidRPr="00B72724">
              <w:t>Nachdem auf der Suche nach Lösungsansätzen zur dauerhaften Sicherstellung einer flächendeckenden Versorgung mit Dingen des täglichen Bedarfs sog. digitale 24-Stunden-Läden sukzessive an Zuspruch erhalten, frage ich die Staatsregierung, gibt es in Bayern bereits digitale 24-Stunden-Einzelhandelsgeschäfte (Dorfläden &amp; Vollsortimenter) und falls ja, wo (bitte aufgegliedert nach Regierungsbezirken angeben) und welche Fördermöglichkeiten stehen für die Ansiedlung entsprechender digitaler Dorfläden resp. Vollsortimenter in Bayern zur Verfügung?</w:t>
            </w:r>
          </w:p>
        </w:tc>
        <w:tc>
          <w:tcPr>
            <w:tcW w:w="5762" w:type="dxa"/>
          </w:tcPr>
          <w:p w:rsidR="00250D6F" w:rsidRDefault="00250D6F" w:rsidP="00250D6F">
            <w:pPr>
              <w:pStyle w:val="LTAnfrageText"/>
            </w:pPr>
          </w:p>
        </w:tc>
      </w:tr>
    </w:tbl>
    <w:p w:rsidR="007E0861" w:rsidRDefault="007E0861" w:rsidP="007E0861">
      <w:pPr>
        <w:pStyle w:val="LTUeberschrAntwortRessort"/>
      </w:pPr>
      <w:r>
        <w:t>Antwort des Staatsministeriums für Wirtschaft, Landesentwicklung und Energie</w:t>
      </w:r>
    </w:p>
    <w:p w:rsidR="007E0861" w:rsidRDefault="007E0861" w:rsidP="007E0861">
      <w:pPr>
        <w:pStyle w:val="LTAntwortRessortText"/>
      </w:pPr>
      <w:r>
        <w:t>Nach dem aktuellen Kenntnisstand der Staatsregieru</w:t>
      </w:r>
      <w:r w:rsidR="00537833">
        <w:t>ng gibt es von mehreren interna</w:t>
      </w:r>
      <w:r>
        <w:t>tionalen und nationalen Unternehmen in letzter Zeit verschiedenste Versuche, Le</w:t>
      </w:r>
      <w:r w:rsidR="00537833">
        <w:t>bens</w:t>
      </w:r>
      <w:r>
        <w:t>mitteleinzelhandelsgeschäfte ohne Verkaufspersonal u</w:t>
      </w:r>
      <w:r w:rsidR="00537833">
        <w:t>nter Einsatz von digitaler Tech</w:t>
      </w:r>
      <w:r>
        <w:t>nologie zu betreiben, darunter etwa von Amazon, Edeka, Tegut und Lidl, aber auch von kleineren Anbietern.</w:t>
      </w:r>
    </w:p>
    <w:p w:rsidR="007E0861" w:rsidRDefault="007E0861" w:rsidP="007E0861">
      <w:pPr>
        <w:pStyle w:val="LTAntwortRessortText"/>
      </w:pPr>
      <w:r>
        <w:t>Diese Versuche finden bislang allerdings außerhalb Bayerns st</w:t>
      </w:r>
      <w:r w:rsidR="00537833">
        <w:t>att und erfordern oft</w:t>
      </w:r>
      <w:r>
        <w:t xml:space="preserve">mals hohe Investitionskosten. Geplant ist in Bayern </w:t>
      </w:r>
      <w:r w:rsidR="00537833">
        <w:t>nach hiesigem Kenntnisstand bis</w:t>
      </w:r>
      <w:r>
        <w:t>lang die Ansiedlung eines digitalen Lebensmittel</w:t>
      </w:r>
      <w:r w:rsidR="00537833">
        <w:t>einzelhandelsgeschäfts ohne Ver</w:t>
      </w:r>
      <w:r>
        <w:t>kaufspersonal in der Gemeinde Altenthann im Landkreis Regensburg. Weit</w:t>
      </w:r>
      <w:r w:rsidR="00537833">
        <w:t>ere Pro</w:t>
      </w:r>
      <w:r>
        <w:t>jekte in Bayern sind derzeit nicht bekannt.</w:t>
      </w:r>
    </w:p>
    <w:p w:rsidR="007E0861" w:rsidRDefault="007E0861" w:rsidP="007E0861">
      <w:pPr>
        <w:pStyle w:val="LTAntwortRessortText"/>
      </w:pPr>
      <w:r>
        <w:t>Die allgemeinen Fördermöglichkeiten für Dorfläden -</w:t>
      </w:r>
      <w:r w:rsidR="00537833">
        <w:t xml:space="preserve"> unabhängig von der Art des Dor</w:t>
      </w:r>
      <w:r>
        <w:t xml:space="preserve">fladens - können der Veröffentlichung </w:t>
      </w:r>
      <w:r w:rsidR="00102307">
        <w:t>„</w:t>
      </w:r>
      <w:r>
        <w:t>Der Dorfladen in Bayern</w:t>
      </w:r>
      <w:r w:rsidR="00102307">
        <w:t>“</w:t>
      </w:r>
      <w:r>
        <w:t xml:space="preserve"> des Staatsministeriums für Wirtschaft, Landesentwicklung und Energie </w:t>
      </w:r>
      <w:r w:rsidR="00537833">
        <w:t xml:space="preserve">(StMWi) </w:t>
      </w:r>
      <w:r>
        <w:t>entnommen werden, die auf der Homepage des StMWi abrufbar ist.</w:t>
      </w:r>
    </w:p>
    <w:p w:rsidR="007E0861" w:rsidRDefault="007E0861">
      <w:bookmarkStart w:id="49" w:name="Frage_Nr_24_Ende"/>
      <w:bookmarkEnd w:id="49"/>
      <w:r>
        <w:br w:type="page"/>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250D6F" w:rsidTr="00250D6F">
        <w:tc>
          <w:tcPr>
            <w:tcW w:w="1873" w:type="dxa"/>
          </w:tcPr>
          <w:p w:rsidR="00250D6F" w:rsidRDefault="00250D6F" w:rsidP="00250D6F">
            <w:pPr>
              <w:pStyle w:val="LTAnfrageInitiator"/>
            </w:pPr>
            <w:r>
              <w:lastRenderedPageBreak/>
              <w:t>Abgeordneter</w:t>
            </w:r>
            <w:r>
              <w:rPr>
                <w:b/>
              </w:rPr>
              <w:br/>
              <w:t>Horst</w:t>
            </w:r>
            <w:r>
              <w:rPr>
                <w:b/>
              </w:rPr>
              <w:br/>
              <w:t>Arnold</w:t>
            </w:r>
            <w:r>
              <w:rPr>
                <w:b/>
              </w:rPr>
              <w:br/>
            </w:r>
            <w:r>
              <w:t>(SPD)</w:t>
            </w:r>
            <w:bookmarkStart w:id="50" w:name="Frage_Nr_25"/>
            <w:bookmarkEnd w:id="50"/>
          </w:p>
        </w:tc>
        <w:tc>
          <w:tcPr>
            <w:tcW w:w="5743" w:type="dxa"/>
          </w:tcPr>
          <w:p w:rsidR="00250D6F" w:rsidRPr="00B72724" w:rsidRDefault="00250D6F" w:rsidP="00B72724">
            <w:pPr>
              <w:pStyle w:val="LTAnfrageText"/>
            </w:pPr>
            <w:r w:rsidRPr="00B72724">
              <w:t>Ich frage die Staatsregierung, auf Grundlage welcher wissenschaftlichen, technologischen, „klinik-relevanten“ und ggf. weiteren Kriterien (bitte jeweils konkret benennen) fiel die Entscheidung für die im Rahmen der „Bayerischen Corona-Therapiestrategie“ zum Zwecke einer Förderung konkret ausgewählten Unternehmen bzw. Einrichtungen (bspw. das Entwicklungsprojekt bzw. den Therapieansatz des Unternehmens Ethris), als Resultat welcher konkreten Abwägungen fanden Einreichungen von Unternehmen und Einrichtungen mit ggf. vergleichbar erfolgsversprechenden Ansätzen keine Berücksichtigung und kann die Staatsregierung geschäftliche oder persönliche Beziehungen von Mitgliedern der Staatsregierung und der Regierungsfraktionen mit Unternehmen und Einrichtungen, die im Rahmen der Bayerischen Therapiestrategie gefördert werden, ausschließen?</w:t>
            </w:r>
          </w:p>
        </w:tc>
        <w:tc>
          <w:tcPr>
            <w:tcW w:w="5743" w:type="dxa"/>
          </w:tcPr>
          <w:p w:rsidR="00250D6F" w:rsidRDefault="00250D6F" w:rsidP="00250D6F">
            <w:pPr>
              <w:pStyle w:val="LTAnfrageText"/>
            </w:pPr>
          </w:p>
        </w:tc>
      </w:tr>
    </w:tbl>
    <w:p w:rsidR="007E0861" w:rsidRDefault="007E0861" w:rsidP="007E0861">
      <w:pPr>
        <w:pStyle w:val="LTUeberschrAntwortRessort"/>
      </w:pPr>
      <w:r>
        <w:t>Antwort des Staatsministeriums für Wirtschaft, Landesentwicklung und Energie</w:t>
      </w:r>
    </w:p>
    <w:p w:rsidR="007E0861" w:rsidRDefault="007E0861" w:rsidP="007E0861">
      <w:pPr>
        <w:pStyle w:val="LTAntwortRessortText"/>
      </w:pPr>
      <w:r>
        <w:t>Am 23. Dezember 2020 wurde ein Förderaufruf unter Nen</w:t>
      </w:r>
      <w:r w:rsidR="0097254F">
        <w:t>nung der für die Projektaus</w:t>
      </w:r>
      <w:r>
        <w:t>wahl herangezogenen Kriterien veröffentlicht. Die im Projektaufruf genannten Kriterien sind:</w:t>
      </w:r>
    </w:p>
    <w:p w:rsidR="007E0861" w:rsidRDefault="007E0861" w:rsidP="007A24B3">
      <w:pPr>
        <w:pStyle w:val="LTAntwortRessortText"/>
        <w:numPr>
          <w:ilvl w:val="0"/>
          <w:numId w:val="36"/>
        </w:numPr>
        <w:spacing w:before="0"/>
        <w:ind w:left="680" w:hanging="340"/>
      </w:pPr>
      <w:r>
        <w:t>Fachlich-inhaltlicher Bezug zum Förderaufruf</w:t>
      </w:r>
    </w:p>
    <w:p w:rsidR="007E0861" w:rsidRDefault="007E0861" w:rsidP="007A24B3">
      <w:pPr>
        <w:pStyle w:val="LTAntwortRessortText"/>
        <w:numPr>
          <w:ilvl w:val="0"/>
          <w:numId w:val="36"/>
        </w:numPr>
        <w:spacing w:before="0"/>
        <w:ind w:left="680" w:hanging="340"/>
      </w:pPr>
      <w:r>
        <w:t>Wissenschaftlich-technische Qualität des FuEuI-Ansatzes, Originalität</w:t>
      </w:r>
    </w:p>
    <w:p w:rsidR="007E0861" w:rsidRDefault="007E0861" w:rsidP="007A24B3">
      <w:pPr>
        <w:pStyle w:val="LTAntwortRessortText"/>
        <w:numPr>
          <w:ilvl w:val="0"/>
          <w:numId w:val="36"/>
        </w:numPr>
        <w:spacing w:before="0"/>
        <w:ind w:left="680" w:hanging="340"/>
      </w:pPr>
      <w:r>
        <w:t>Innovationshöhe und Risikobehaftung des Vorhabens</w:t>
      </w:r>
    </w:p>
    <w:p w:rsidR="007E0861" w:rsidRDefault="007E0861" w:rsidP="007A24B3">
      <w:pPr>
        <w:pStyle w:val="LTAntwortRessortText"/>
        <w:numPr>
          <w:ilvl w:val="0"/>
          <w:numId w:val="36"/>
        </w:numPr>
        <w:spacing w:before="0"/>
        <w:ind w:left="680" w:hanging="340"/>
      </w:pPr>
      <w:r>
        <w:t xml:space="preserve">Volkswirtschaftliche Bedeutung, Hebelwirkung </w:t>
      </w:r>
      <w:r w:rsidR="00537833">
        <w:t>für den Wirtschaftsstandort Bay</w:t>
      </w:r>
      <w:r>
        <w:t>ern inkl. Markt- und Arbeitsplatzpotential</w:t>
      </w:r>
    </w:p>
    <w:p w:rsidR="007E0861" w:rsidRDefault="007E0861" w:rsidP="007A24B3">
      <w:pPr>
        <w:pStyle w:val="LTAntwortRessortText"/>
        <w:numPr>
          <w:ilvl w:val="0"/>
          <w:numId w:val="36"/>
        </w:numPr>
        <w:spacing w:before="0"/>
        <w:ind w:left="680" w:hanging="340"/>
      </w:pPr>
      <w:r>
        <w:t>Tragfähigkeit und Nachhaltigkeit des Verwertungskonzeptes inkl. Schutzrechte-situation, Anschlussfähigkeit</w:t>
      </w:r>
    </w:p>
    <w:p w:rsidR="007E0861" w:rsidRDefault="007E0861" w:rsidP="007A24B3">
      <w:pPr>
        <w:pStyle w:val="LTAntwortRessortText"/>
        <w:numPr>
          <w:ilvl w:val="0"/>
          <w:numId w:val="36"/>
        </w:numPr>
        <w:spacing w:before="0"/>
        <w:ind w:left="680" w:hanging="340"/>
      </w:pPr>
      <w:r>
        <w:t>Kompetenz des Antragstellers bzw. bei Verb</w:t>
      </w:r>
      <w:r w:rsidR="00537833">
        <w:t>undvorhaben Qualität des Konsor</w:t>
      </w:r>
      <w:r>
        <w:t>tiums (Kompetenz, Abdeckung der für das P</w:t>
      </w:r>
      <w:r w:rsidR="00537833">
        <w:t>rojektziel relevanten Wertschöp</w:t>
      </w:r>
      <w:r>
        <w:t>fungskette, Arbeitsteilung zwischen den Partnern)</w:t>
      </w:r>
    </w:p>
    <w:p w:rsidR="007E0861" w:rsidRDefault="007E0861" w:rsidP="007A24B3">
      <w:pPr>
        <w:pStyle w:val="LTAntwortRessortText"/>
        <w:numPr>
          <w:ilvl w:val="0"/>
          <w:numId w:val="36"/>
        </w:numPr>
        <w:spacing w:before="0"/>
        <w:ind w:left="680" w:hanging="340"/>
      </w:pPr>
      <w:r>
        <w:t>Angemessenheit der finanziellen Aufwendungen</w:t>
      </w:r>
    </w:p>
    <w:p w:rsidR="007E0861" w:rsidRDefault="007E0861" w:rsidP="007E0861">
      <w:pPr>
        <w:pStyle w:val="LTAntwortRessortText"/>
      </w:pPr>
      <w:r>
        <w:t xml:space="preserve">Zudem sollten die Vorhaben das Potenzial haben, noch während der </w:t>
      </w:r>
      <w:r w:rsidR="00102307">
        <w:t>COVID-19</w:t>
      </w:r>
      <w:r w:rsidR="00537833">
        <w:t>-Pan</w:t>
      </w:r>
      <w:r>
        <w:t>demie Wirkung zu entfalten. Projektskizzen konnte</w:t>
      </w:r>
      <w:r w:rsidR="00537833">
        <w:t>n bis 31. Januar 2021 von Unter</w:t>
      </w:r>
      <w:r>
        <w:t>nehmen bzw. wirtschaftsgeführten Verbünden mit Sitz oder Niederlassung in Bayern eingereicht werden. Die eingegangenen Projektskizzen wurden nach oben genannten Kriterien von einem unabhängigen fachlichen Ex</w:t>
      </w:r>
      <w:r w:rsidR="00537833">
        <w:t>pertengremium bewertet. Die Gut</w:t>
      </w:r>
      <w:r>
        <w:t>achtersitzung fand am 26. Februar 2021 als Videoko</w:t>
      </w:r>
      <w:r w:rsidR="00537833">
        <w:t>nferenz statt. Das Expertengre</w:t>
      </w:r>
      <w:r>
        <w:t>mium bestand dabei aus elf anerkannten Wissenschaft</w:t>
      </w:r>
      <w:r w:rsidR="00537833">
        <w:t>lern, Medizinern (Virologen, In</w:t>
      </w:r>
      <w:r>
        <w:t>ternisten, Pneumologen), Biotechnologieunternehmer</w:t>
      </w:r>
      <w:r w:rsidR="00537833">
        <w:t>n sowie Experten im Bereich kli</w:t>
      </w:r>
      <w:r>
        <w:t>nischer Studien. Die vom Expertengremium zur Förderung empfohlenen Vorhaben werden nun zur Antragstellung aufgefordert.</w:t>
      </w:r>
    </w:p>
    <w:p w:rsidR="007E0861" w:rsidRDefault="007E0861">
      <w:bookmarkStart w:id="51" w:name="Frage_Nr_25_Ende"/>
      <w:bookmarkEnd w:id="51"/>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2D4B91" w:rsidTr="002D4B91">
        <w:tc>
          <w:tcPr>
            <w:tcW w:w="1900" w:type="dxa"/>
          </w:tcPr>
          <w:p w:rsidR="002D4B91" w:rsidRDefault="002D4B91" w:rsidP="002D4B91">
            <w:pPr>
              <w:pStyle w:val="LTAnfrageInitiator"/>
            </w:pPr>
            <w:r>
              <w:lastRenderedPageBreak/>
              <w:t>Abgeordneter</w:t>
            </w:r>
            <w:r>
              <w:rPr>
                <w:b/>
              </w:rPr>
              <w:br/>
              <w:t>Cemal</w:t>
            </w:r>
            <w:r>
              <w:rPr>
                <w:b/>
              </w:rPr>
              <w:br/>
              <w:t>Bozo</w:t>
            </w:r>
            <w:r>
              <w:rPr>
                <w:rFonts w:cs="Arial"/>
                <w:b/>
              </w:rPr>
              <w:t>ğ</w:t>
            </w:r>
            <w:r>
              <w:rPr>
                <w:b/>
              </w:rPr>
              <w:t>lu</w:t>
            </w:r>
            <w:r>
              <w:rPr>
                <w:b/>
              </w:rPr>
              <w:br/>
            </w:r>
            <w:r>
              <w:t>(BÜNDNIS 90/DIE GRÜNEN)</w:t>
            </w:r>
            <w:bookmarkStart w:id="52" w:name="Frage_Nr_26"/>
            <w:bookmarkEnd w:id="52"/>
          </w:p>
        </w:tc>
        <w:tc>
          <w:tcPr>
            <w:tcW w:w="5716" w:type="dxa"/>
          </w:tcPr>
          <w:p w:rsidR="002D4B91" w:rsidRPr="00B72724" w:rsidRDefault="002D4B91" w:rsidP="00B72724">
            <w:pPr>
              <w:pStyle w:val="LTAnfrageText"/>
            </w:pPr>
            <w:r w:rsidRPr="00B72724">
              <w:t>Ich frage die Staatsregierung, welche konkreten Vorhaben wurden bislang für die bis zu 42 Mio. Euro hohe Förderung des Clean Tech Parks in Bamberg/Hallstadt sowie des Wasserstoffclusters in der Metropolregion Nürnberg (Haushaltsstellen in 2021 und 2022: 07 02 892 60) im Rahmen der High Tech Agenda plus (HTA+) bzw</w:t>
            </w:r>
            <w:r w:rsidR="00537833">
              <w:t>.</w:t>
            </w:r>
            <w:r w:rsidRPr="00B72724">
              <w:t xml:space="preserve"> der Bayerischen Innovationspark-Initiative angemeldet, welche Förderkriterien gelten für die Inanspruchnahme der genannten Fördermittel und ist eine Kooperation mit dem durch Bundesmitteln in Höhe von 3 Mio. Euro geförderten künftigen Wasserstoff-Vernetzungsprojekt von Herrn Dirk von Elk sowie anschließenden weiteren Förderungen (i. H. v 25 Mio. Euro) der sogenannten Wasserstoffinitiative Oberfranken vorgesehen?</w:t>
            </w:r>
          </w:p>
        </w:tc>
        <w:tc>
          <w:tcPr>
            <w:tcW w:w="5716" w:type="dxa"/>
          </w:tcPr>
          <w:p w:rsidR="002D4B91" w:rsidRDefault="002D4B91" w:rsidP="002D4B91">
            <w:pPr>
              <w:pStyle w:val="LTAnfrageText"/>
            </w:pPr>
          </w:p>
        </w:tc>
      </w:tr>
    </w:tbl>
    <w:p w:rsidR="007E0861" w:rsidRDefault="007E0861" w:rsidP="007E0861">
      <w:pPr>
        <w:pStyle w:val="LTUeberschrAntwortRessort"/>
      </w:pPr>
      <w:r>
        <w:t>Antwort des Staatsministeriums für Wirtschaft, Landesentwicklung und Energie</w:t>
      </w:r>
    </w:p>
    <w:p w:rsidR="007E0861" w:rsidRDefault="007E0861" w:rsidP="007E0861">
      <w:pPr>
        <w:pStyle w:val="LTAntwortRessortText"/>
      </w:pPr>
      <w:r>
        <w:t>Der Bayerische Ministerrat hat im Rahmen seiner Kabinettssitzung am 14. September 2020 Beschlüsse zu den Eckpunkten der Hightech Agenda plus (HTA+) getroffen. Zu den Maßnahmen zählen auch die Bayerische Innovationspark-Initiative mit dem Cleantech-Industriepark im Raum Bamberg sowie die Aktivitäten in der Metropolregion Nürnberg und bayernweit zur Unterstützung innovativer Wasserstoff-Projekte v.</w:t>
      </w:r>
      <w:r w:rsidR="00730353">
        <w:t> </w:t>
      </w:r>
      <w:r>
        <w:t>a. in der Automobil- und Zulieferindustrie (Wasserstofftransformation). Der überwiegende Teil der Mittel ist für Projekte der Wasserstofftransformation vorgesehen. Dabei gelten die haushalts- und beihilferechtlichen Vorgaben sowie die Förderkriterien bestehender Förderprogramme wie dem Bayerischen Energieforschungsprogramm. Das Staatsministerium für Wirtschaft, Landesentwicklung und Energie steht hierzu im engen Austausch mit interessierten Akteuren aus Industrie und Wissenschaft. Eine Einreichung von Vorhaben steht grundsätzlich alle</w:t>
      </w:r>
      <w:r w:rsidR="00537833">
        <w:t>n Unternehmen mit Sitz oder Nie</w:t>
      </w:r>
      <w:r>
        <w:t>derlassung im Freistaat Bayern offen. Darüber hinau</w:t>
      </w:r>
      <w:r w:rsidR="00537833">
        <w:t>s können Projekte außeruniversi</w:t>
      </w:r>
      <w:r>
        <w:t>tärer Forschungseinrich</w:t>
      </w:r>
      <w:r w:rsidR="00730353">
        <w:t>tungen im Sinne von Art. 23 und </w:t>
      </w:r>
      <w:r>
        <w:t xml:space="preserve">44 der </w:t>
      </w:r>
      <w:r w:rsidR="00537833">
        <w:t>Bayerischen Haus</w:t>
      </w:r>
      <w:r>
        <w:t>haltsordnung (BayHO) gefördert werden.</w:t>
      </w:r>
    </w:p>
    <w:p w:rsidR="007E0861" w:rsidRDefault="007E0861" w:rsidP="007E0861">
      <w:pPr>
        <w:pStyle w:val="LTAntwortRessortText"/>
      </w:pPr>
      <w:r>
        <w:t>Ob und inwieweit Mittel für investive Maßnahmen de</w:t>
      </w:r>
      <w:r w:rsidR="00774FA2">
        <w:t>s Cleantech-</w:t>
      </w:r>
      <w:r w:rsidR="00537833">
        <w:t>Innovationsparks be</w:t>
      </w:r>
      <w:r>
        <w:t>reitgestellt werden können, kann erst nach Konkretisierung der Planungen bzw. bei Vorliegen konkreter Förderanträge entschieden werden.</w:t>
      </w:r>
    </w:p>
    <w:p w:rsidR="007E0861" w:rsidRDefault="00730353" w:rsidP="007E0861">
      <w:pPr>
        <w:pStyle w:val="LTAntwortRessortText"/>
      </w:pPr>
      <w:r>
        <w:t>Das o. </w:t>
      </w:r>
      <w:r w:rsidR="007E0861">
        <w:t>g. vom Bund geförderte Wasserstoff-Vernetzungsprojekt hat nach Kenntnis des Staatsministeriums für Wirtschaft, Landesentwicklung und Energie zum Ziel, über ein Wasserstoffnetzwerk Akteure für die Wasserstoffnutzung insbesondere im Mobilitätsbereich zu gewinnen. Hier kann das seit</w:t>
      </w:r>
      <w:r w:rsidR="00537833">
        <w:t xml:space="preserve"> 1. Oktober 2020 gestartete Bay</w:t>
      </w:r>
      <w:r w:rsidR="007E0861">
        <w:t>erische Förderprogramm zum Aufbau einer Wassersto</w:t>
      </w:r>
      <w:r w:rsidR="00537833">
        <w:t>fftankstelleninfrastruktur wert</w:t>
      </w:r>
      <w:r w:rsidR="007E0861">
        <w:t>volle Investitionsanreize und Anknüpfungspunkte für Kooperationsprojekte bieten</w:t>
      </w:r>
      <w:r w:rsidR="00774FA2">
        <w:t>.</w:t>
      </w:r>
    </w:p>
    <w:p w:rsidR="007E0861" w:rsidRDefault="007E0861">
      <w:bookmarkStart w:id="53" w:name="Frage_Nr_26_Ende"/>
      <w:bookmarkEnd w:id="53"/>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C53CDF" w:rsidTr="00C53CDF">
        <w:tc>
          <w:tcPr>
            <w:tcW w:w="1862" w:type="dxa"/>
          </w:tcPr>
          <w:p w:rsidR="00C53CDF" w:rsidRDefault="00C53CDF" w:rsidP="00C53CDF">
            <w:pPr>
              <w:pStyle w:val="LTAnfrageInitiator"/>
            </w:pPr>
            <w:r>
              <w:lastRenderedPageBreak/>
              <w:t>Abgeordneter</w:t>
            </w:r>
            <w:r>
              <w:rPr>
                <w:b/>
              </w:rPr>
              <w:br/>
              <w:t>Florian</w:t>
            </w:r>
            <w:r>
              <w:rPr>
                <w:b/>
              </w:rPr>
              <w:br/>
            </w:r>
            <w:r w:rsidR="00734E22">
              <w:rPr>
                <w:b/>
              </w:rPr>
              <w:t xml:space="preserve">von </w:t>
            </w:r>
            <w:r>
              <w:rPr>
                <w:b/>
              </w:rPr>
              <w:t>Brunn</w:t>
            </w:r>
            <w:r>
              <w:rPr>
                <w:b/>
              </w:rPr>
              <w:br/>
            </w:r>
            <w:r>
              <w:t>(SPD)</w:t>
            </w:r>
            <w:bookmarkStart w:id="54" w:name="Frage_Nr_27"/>
            <w:bookmarkEnd w:id="54"/>
          </w:p>
        </w:tc>
        <w:tc>
          <w:tcPr>
            <w:tcW w:w="5754" w:type="dxa"/>
          </w:tcPr>
          <w:p w:rsidR="00C53CDF" w:rsidRPr="00B72724" w:rsidRDefault="00C53CDF" w:rsidP="00B72724">
            <w:pPr>
              <w:pStyle w:val="LTAnfrageText"/>
            </w:pPr>
            <w:r w:rsidRPr="00B72724">
              <w:t>Nachdem der Freistaat Bayern im Frühjahr 2020 laut offiziellen Angaben OP- bzw. CPA-Schutzmasken bei der Firma Zettl bestellt bzw. gekauft hat und darüber auch schon in den Medien berichtet wurde, frage ich die Staatsregierung, welche Schutzmasken – OP-, CPA-, FFP2-Masken oder andere – bei der Firma Zettl von März bis Mai 2020 bestellt und gekauft wurden (mit Angabe der Beschreibung aus den Angeboten, der jeweils gelieferten Stückzahl und der unterschiedlichen Art der Verarbeitung), welche Angebote dem Freistaat Bayern bzw. der Staatsregierung für OP-, CPA- und FFP2-Masken im Zeitraum März bis Mai 2020 vorlagen (mit Angabe der Art der Schutzmasken, der jeweiligen Preise, der jeweils angebotenen Mengen sowie welche Angebote einen Zuschlag bekommen haben) und wie genau – mit Angabe der beteiligten Personen aus der Staatsregierung, insbesondere der Person des Staatsministers für Wirtschaft, Landesentwicklung und Energie Hubert Aiwanger, – der Kontakt bzw. das Geschäft zwischen der Firma Zettl und dem Freistaat Bayern angebahnt wurde bzw. zustande gekommen ist? </w:t>
            </w:r>
          </w:p>
        </w:tc>
        <w:tc>
          <w:tcPr>
            <w:tcW w:w="5754" w:type="dxa"/>
          </w:tcPr>
          <w:p w:rsidR="00C53CDF" w:rsidRDefault="00C53CDF" w:rsidP="00C53CDF">
            <w:pPr>
              <w:pStyle w:val="LTAnfrageText"/>
            </w:pPr>
          </w:p>
        </w:tc>
      </w:tr>
    </w:tbl>
    <w:p w:rsidR="007E0861" w:rsidRDefault="007E0861" w:rsidP="007E0861">
      <w:pPr>
        <w:pStyle w:val="LTUeberschrAntwortRessort"/>
      </w:pPr>
      <w:r>
        <w:t>Antwort des Staatsministeriums für Wirtschaft, Landesentwicklung und Energie</w:t>
      </w:r>
    </w:p>
    <w:p w:rsidR="007E0861" w:rsidRDefault="007E0861" w:rsidP="007E0861">
      <w:pPr>
        <w:pStyle w:val="LTAntwortRessortText"/>
      </w:pPr>
      <w:r>
        <w:t>Vorbemerkung:</w:t>
      </w:r>
    </w:p>
    <w:p w:rsidR="007E0861" w:rsidRDefault="007E0861" w:rsidP="007A24B3">
      <w:pPr>
        <w:pStyle w:val="LTAntwortRessortText"/>
        <w:spacing w:before="0"/>
      </w:pPr>
      <w:r>
        <w:t>Am 6. März 2020 stieg die Zahl der Corona-Erkrankten in Bayern auf über 100. Nur zehn T</w:t>
      </w:r>
      <w:r w:rsidR="00730353">
        <w:t>age später waren bereits über 1 </w:t>
      </w:r>
      <w:r>
        <w:t>000 Person</w:t>
      </w:r>
      <w:r w:rsidR="00060898">
        <w:t>en infiziert. Mitte März verdop</w:t>
      </w:r>
      <w:r>
        <w:t xml:space="preserve">pelte sich die Zahl der Infizierten alle drei Tage. Das </w:t>
      </w:r>
      <w:r w:rsidR="00730353">
        <w:t>Robert Koch-Institut (</w:t>
      </w:r>
      <w:r>
        <w:t>RKI</w:t>
      </w:r>
      <w:r w:rsidR="00730353">
        <w:t>)</w:t>
      </w:r>
      <w:r>
        <w:t xml:space="preserve"> stufte die Gefährdungslage für die Bevölkerung nun als </w:t>
      </w:r>
      <w:r w:rsidR="00102307">
        <w:t>„</w:t>
      </w:r>
      <w:r>
        <w:t>hoch</w:t>
      </w:r>
      <w:r w:rsidR="00102307">
        <w:t>“</w:t>
      </w:r>
      <w:r>
        <w:t xml:space="preserve"> ein. Die Szenarien gingen damals davon aus, dass bis Mitte April schlimmstenfalls bis zu 2,4 </w:t>
      </w:r>
      <w:r w:rsidR="00730353">
        <w:t>Mio.</w:t>
      </w:r>
      <w:r>
        <w:t xml:space="preserve"> Personen in Bayern erkrankt sein könnten. Es bestand die Gefahr, dass die Ausbreitung der Krankheit nicht unter Kontrolle gebracht werden kann. Um den Schutz de</w:t>
      </w:r>
      <w:r w:rsidR="00060898">
        <w:t>r bayerischen Bevölkerung zu ge</w:t>
      </w:r>
      <w:r>
        <w:t>währleisten, bereitete sich die Staatsregierung auf den äußersten Ernstfall vor. Es galt, die drohenden Materialengpässe in allen von de</w:t>
      </w:r>
      <w:r w:rsidR="00060898">
        <w:t>r Katastrophe betroffenen Berei</w:t>
      </w:r>
      <w:r>
        <w:t>chen wie Medizin, Pflege, etc. abzuwenden. Beispielsweise drohten sogar Masken und Desinfektionsmittel in Krankenhäusern auszu</w:t>
      </w:r>
      <w:r w:rsidR="00060898">
        <w:t xml:space="preserve">gehen. Am 16. März </w:t>
      </w:r>
      <w:r w:rsidR="00730353">
        <w:t xml:space="preserve">2020 </w:t>
      </w:r>
      <w:r w:rsidR="00060898">
        <w:t>wurde der Ka</w:t>
      </w:r>
      <w:r>
        <w:t>tastrophenfall ausgerufen. Einen Tag später, am 17. März</w:t>
      </w:r>
      <w:r w:rsidR="00730353">
        <w:t xml:space="preserve"> 2020</w:t>
      </w:r>
      <w:r>
        <w:t>, beschloss der Ministerrat umfangreiche Materialbeschaffungen: Alle Möglic</w:t>
      </w:r>
      <w:r w:rsidR="00060898">
        <w:t>hkeiten zur Beschaffung von not</w:t>
      </w:r>
      <w:r>
        <w:t>wendigem Material sollten ausgeschöpft werden, bis hin zur Beschlagnahmung.</w:t>
      </w:r>
    </w:p>
    <w:p w:rsidR="007E0861" w:rsidRDefault="007E0861" w:rsidP="007E0861">
      <w:pPr>
        <w:pStyle w:val="LTAntwortRessortText"/>
      </w:pPr>
      <w:r>
        <w:t xml:space="preserve">Zur Bewältigung der </w:t>
      </w:r>
      <w:r w:rsidR="00B832D1">
        <w:t>Coronapandemie</w:t>
      </w:r>
      <w:r>
        <w:t xml:space="preserve"> haben zahlreiche Unternehmer innerhalb und außerhalb Bayerns der Staatsregierung ihre Unterstützung angeboten. Die Frage, </w:t>
      </w:r>
      <w:r w:rsidR="00102307">
        <w:t>„</w:t>
      </w:r>
      <w:r>
        <w:t>welche Angebote dem Freistaat Bayern bzw. der Staatsregierung für OP-, CPA- und</w:t>
      </w:r>
      <w:r w:rsidR="00734E22">
        <w:t xml:space="preserve"> </w:t>
      </w:r>
      <w:r>
        <w:t>FFP2-Masken im Zeitraum März bis Mai 2020 vorlagen</w:t>
      </w:r>
      <w:r w:rsidR="00102307">
        <w:t>“</w:t>
      </w:r>
      <w:r>
        <w:t>, schließt nicht nur sämtliche beauftragten Angebote ein, sondern darüber hinaus auch tausende Offerten, die nach Vorprüfung von Seriosität und Produktqualität letztlich nicht beauftragt worden waren. Eine Sichtung und Zusammenstellung all dieser Angebote wäre nicht nur mit unverhältnismäßigem Aufwand verbunden, sondern innerhalb der Antwortfrist im Rahmen einer Anfrage zum Plenum nicht möglich.</w:t>
      </w:r>
    </w:p>
    <w:p w:rsidR="007E0861" w:rsidRDefault="007E0861" w:rsidP="007E0861">
      <w:pPr>
        <w:pStyle w:val="LTAntwortRessortText"/>
      </w:pPr>
      <w:r>
        <w:t xml:space="preserve">Daneben hat das </w:t>
      </w:r>
      <w:r w:rsidR="00362B50">
        <w:t xml:space="preserve">Staatsministerium für Wirtschaft, Landesentwicklung und Energie (StMWi) </w:t>
      </w:r>
      <w:r>
        <w:t>Markterku</w:t>
      </w:r>
      <w:r w:rsidR="00060898">
        <w:t>ndungen durchgeführt, um potenz</w:t>
      </w:r>
      <w:r>
        <w:t xml:space="preserve">ielle Hersteller von heimischer </w:t>
      </w:r>
      <w:r>
        <w:lastRenderedPageBreak/>
        <w:t>Schutzausrüstung zu ermitteln. Durch den weltweiten Mehrbedarf war insbesondere das Angebot an Desinfektionsmitteln und das Angebot an Masken aus seriösen Quellen eingeschränkt und mit n</w:t>
      </w:r>
      <w:r w:rsidR="00060898">
        <w:t>icht abzuschätzenden Lie</w:t>
      </w:r>
      <w:r>
        <w:t>ferzeiten verbunden. Daher war es das Ziel, diese Produkte sowohl kurz- als auch langfristig in Bayern zu fertigen und von in Bayern</w:t>
      </w:r>
      <w:r w:rsidR="00060898">
        <w:t xml:space="preserve"> produzierenden Anbietern zu be</w:t>
      </w:r>
      <w:r>
        <w:t>ziehen.</w:t>
      </w:r>
    </w:p>
    <w:p w:rsidR="007E0861" w:rsidRDefault="007E0861" w:rsidP="007E0861">
      <w:pPr>
        <w:pStyle w:val="LTAntwortRessortText"/>
      </w:pPr>
      <w:r>
        <w:t>Hinsichtlich der Schutzmasken konnte das StMWi damals rasch</w:t>
      </w:r>
      <w:r w:rsidR="00060898">
        <w:t xml:space="preserve"> insgesamt drei Her</w:t>
      </w:r>
      <w:r>
        <w:t>steller (zwei aus Bayern, einer aus Sachsen) ausfindig machen, die ihre Bereitschaft bekundeten, in kurzer Zeit geeignete Schutzmask</w:t>
      </w:r>
      <w:r w:rsidR="00060898">
        <w:t>en zu produzieren. In diesem Zu</w:t>
      </w:r>
      <w:r>
        <w:t>sammenhang ging das StMWi auch auf die Firma Zettl zu, nachdem diese von Seiten des Landrates des Landkreises Landshut als mögliches Unternehmen genannt wurde, das im Stande wäre, seine bisherige Produktion im Automobil-Zulieferbereich auf die Herstellung von Masken umzustellen. Bis dah</w:t>
      </w:r>
      <w:r w:rsidR="00060898">
        <w:t xml:space="preserve">in waren sich Staatsminister </w:t>
      </w:r>
      <w:r w:rsidR="00362B50">
        <w:t xml:space="preserve">Hubert </w:t>
      </w:r>
      <w:r w:rsidR="00060898">
        <w:t>Ai</w:t>
      </w:r>
      <w:r>
        <w:t>wanger und der Geschäftsführer der Zett</w:t>
      </w:r>
      <w:r w:rsidR="00B54211">
        <w:t xml:space="preserve">l Automotive GmbH, </w:t>
      </w:r>
      <w:r w:rsidR="00B54211" w:rsidRPr="00B54211">
        <w:rPr>
          <w:highlight w:val="black"/>
        </w:rPr>
        <w:t>-----------------</w:t>
      </w:r>
      <w:r w:rsidR="00B54211">
        <w:t xml:space="preserve"> </w:t>
      </w:r>
      <w:r>
        <w:t>, nicht bekannt.</w:t>
      </w:r>
    </w:p>
    <w:p w:rsidR="007E0861" w:rsidRDefault="007E0861" w:rsidP="007E0861">
      <w:pPr>
        <w:pStyle w:val="LTAntwortRessortText"/>
      </w:pPr>
      <w:r>
        <w:t>Zum damaligen Zeitpunkt war ein schnelles Handeln erforderlich. Zur Beschaffung besonders dringlicher Schutzgüter fand in Einzelf</w:t>
      </w:r>
      <w:r w:rsidR="00060898">
        <w:t>ällen eine mündliche Kontaktauf</w:t>
      </w:r>
      <w:r>
        <w:t xml:space="preserve">nahme und Absprache wesentlicher Vertragsbestandteile statt, um die sich auch Staatsminister Aiwanger persönlich kümmerte. Nur </w:t>
      </w:r>
      <w:r w:rsidR="00060898">
        <w:t>so gelang es innerhalb von weni</w:t>
      </w:r>
      <w:r>
        <w:t>gen Tagen eine schnelle und verlässliche Produktion zu organisieren.</w:t>
      </w:r>
    </w:p>
    <w:p w:rsidR="007E0861" w:rsidRDefault="007E0861" w:rsidP="007E0861">
      <w:pPr>
        <w:pStyle w:val="LTAntwortRessortText"/>
      </w:pPr>
      <w:r>
        <w:t>In einem weiteren Schritt erfolgten Auftragsvergaben.</w:t>
      </w:r>
      <w:r w:rsidR="00060898">
        <w:t xml:space="preserve"> Verträge hierzu wurden schrift</w:t>
      </w:r>
      <w:r>
        <w:t>lich bestätigt, sämtliche Einkäufe wurden rechtlich k</w:t>
      </w:r>
      <w:r w:rsidR="00060898">
        <w:t>orrekt abgewickelt. Darüber hin</w:t>
      </w:r>
      <w:r>
        <w:t>aus wurden alle Vergaben des Wirtschaftsminis</w:t>
      </w:r>
      <w:r w:rsidR="00060898">
        <w:t>teriums ordnungsgemäß veröffent</w:t>
      </w:r>
      <w:r>
        <w:t>licht, so auch die Beauftragung der Firma Zettl üb</w:t>
      </w:r>
      <w:r w:rsidR="00060898">
        <w:t xml:space="preserve">er 1 </w:t>
      </w:r>
      <w:r w:rsidR="00362B50">
        <w:t xml:space="preserve">Mio. </w:t>
      </w:r>
      <w:r w:rsidR="00060898">
        <w:t>Schutzmasken zu ei</w:t>
      </w:r>
      <w:r>
        <w:t xml:space="preserve">nem Stückpreis von 5 Euro netto durch das </w:t>
      </w:r>
      <w:r w:rsidR="00B54211">
        <w:t>Staatsministerium für Wirtschaft, Landesentwicklung und Energie</w:t>
      </w:r>
      <w:r>
        <w:t>.</w:t>
      </w:r>
    </w:p>
    <w:p w:rsidR="007E0861" w:rsidRDefault="007E0861" w:rsidP="007E0861">
      <w:pPr>
        <w:pStyle w:val="LTAntwortRessortText"/>
      </w:pPr>
      <w:r>
        <w:t>Die beschafften Masken der Firma Zettl wurden von</w:t>
      </w:r>
      <w:r w:rsidR="00060898">
        <w:t xml:space="preserve"> der DEKRA Testing and Certifi</w:t>
      </w:r>
      <w:r>
        <w:t>cation GmbH auf Grundlage der von der EU</w:t>
      </w:r>
      <w:r w:rsidR="00060898">
        <w:t>-Kommission am 13. März 2020 erl</w:t>
      </w:r>
      <w:r>
        <w:t>as</w:t>
      </w:r>
      <w:r w:rsidR="00060898">
        <w:t>se</w:t>
      </w:r>
      <w:r>
        <w:t>nen Empfehlung (EU) 2020/403 über Konformi</w:t>
      </w:r>
      <w:r w:rsidR="00060898">
        <w:t>tätsbewertungs- und Marktüberwa</w:t>
      </w:r>
      <w:r>
        <w:t xml:space="preserve">chungsverfahren im Kontext der </w:t>
      </w:r>
      <w:r w:rsidR="00102307">
        <w:t>COVID-19</w:t>
      </w:r>
      <w:r w:rsidR="00362B50">
        <w:t>-</w:t>
      </w:r>
      <w:r>
        <w:t xml:space="preserve">Bedrohung als </w:t>
      </w:r>
      <w:r w:rsidR="00B832D1">
        <w:t>Coronapandemie</w:t>
      </w:r>
      <w:r w:rsidR="00060898">
        <w:t>-Atem</w:t>
      </w:r>
      <w:r>
        <w:t>schutzmasken (CPA-Masken) eingestuft.</w:t>
      </w:r>
    </w:p>
    <w:p w:rsidR="007E0861" w:rsidRDefault="007E0861" w:rsidP="007E0861">
      <w:pPr>
        <w:pStyle w:val="LTAntwortRessortText"/>
      </w:pPr>
      <w:r>
        <w:t>Am 1. April 2020 folgte die Sonderzulassung der Masken durch das Bundesinstitut für Arzneimittel und Medizinprodukte (BfArM) für den Einsatz als Schutzausrüstung für medizinisches Personal.</w:t>
      </w:r>
    </w:p>
    <w:p w:rsidR="007E0861" w:rsidRDefault="007E0861" w:rsidP="007E0861">
      <w:pPr>
        <w:pStyle w:val="LTAntwortRessortText"/>
      </w:pPr>
      <w:r>
        <w:t>Zitat aus der BfArM-Sonderzulassung vom 1. April 2020:</w:t>
      </w:r>
    </w:p>
    <w:p w:rsidR="007E0861" w:rsidRDefault="00102307" w:rsidP="007A24B3">
      <w:pPr>
        <w:pStyle w:val="LTAntwortRessortText"/>
        <w:ind w:left="680"/>
      </w:pPr>
      <w:r>
        <w:t>„</w:t>
      </w:r>
      <w:r w:rsidR="007E0861">
        <w:t>Das erstmalige Inverkehrbringen des oben angeführten Medizinprodukts auf dem Gebiet der Bundesrepublik Deutschl</w:t>
      </w:r>
      <w:r w:rsidR="00060898">
        <w:t>and wird auch ohne CE-Kennzeich</w:t>
      </w:r>
      <w:r w:rsidR="007E0861">
        <w:t>nung aus Gründen des Gesundheitsschu</w:t>
      </w:r>
      <w:r w:rsidR="00060898">
        <w:t>tzes gemäß § 11 Abs. 1 M</w:t>
      </w:r>
      <w:r w:rsidR="00362B50">
        <w:t>edizinproduktegesetz (M</w:t>
      </w:r>
      <w:r w:rsidR="00060898">
        <w:t>PG</w:t>
      </w:r>
      <w:r w:rsidR="00362B50">
        <w:t>)</w:t>
      </w:r>
      <w:r w:rsidR="00060898">
        <w:t xml:space="preserve"> zuge</w:t>
      </w:r>
      <w:r w:rsidR="007E0861">
        <w:t>lassen.</w:t>
      </w:r>
      <w:r>
        <w:t>“</w:t>
      </w:r>
    </w:p>
    <w:p w:rsidR="007E0861" w:rsidRDefault="007E0861" w:rsidP="007A24B3">
      <w:pPr>
        <w:pStyle w:val="LTAntwortRessortText"/>
        <w:ind w:left="680"/>
      </w:pPr>
      <w:r>
        <w:t>Außerdem heißt es dort:</w:t>
      </w:r>
    </w:p>
    <w:p w:rsidR="007E0861" w:rsidRDefault="00102307" w:rsidP="007A24B3">
      <w:pPr>
        <w:pStyle w:val="LTAntwortRessortText"/>
        <w:ind w:left="680"/>
      </w:pPr>
      <w:r>
        <w:t>„</w:t>
      </w:r>
      <w:r w:rsidR="007E0861">
        <w:t xml:space="preserve">Dem BfArM ist der aktuell auf die </w:t>
      </w:r>
      <w:r>
        <w:t>COVID-19</w:t>
      </w:r>
      <w:r w:rsidR="00060898">
        <w:t>/SARS-CoV-2-Pandemie zurück</w:t>
      </w:r>
      <w:r w:rsidR="007E0861">
        <w:t>zuführende, weltweite Mangel von Atems</w:t>
      </w:r>
      <w:r w:rsidR="00060898">
        <w:t>chutzmasken bekannt. Die Versor</w:t>
      </w:r>
      <w:r w:rsidR="007E0861">
        <w:t>gung des medizinischen Personals in Deutschland kann zum gegenwärtigen Zeitpunkt nicht mit CE-gekennzeichneten Atemschutzmasken sichergestellt werden. Die Anwendung des betroffenen Medizinprodukts dient dem Schutz des medizinischen Personals vor Infektionen und der Aufrechterhaltung der Funktionsfähigkeit des Gesundheitssystems.</w:t>
      </w:r>
      <w:r>
        <w:t>“</w:t>
      </w:r>
    </w:p>
    <w:p w:rsidR="007E0861" w:rsidRDefault="007E0861" w:rsidP="007E0861">
      <w:pPr>
        <w:pStyle w:val="LTAntwortRessortText"/>
      </w:pPr>
      <w:r>
        <w:lastRenderedPageBreak/>
        <w:t xml:space="preserve">Neben der Bestellung des </w:t>
      </w:r>
      <w:r w:rsidR="00362B50">
        <w:t>StMWi</w:t>
      </w:r>
      <w:r>
        <w:t xml:space="preserve"> hat das </w:t>
      </w:r>
      <w:r w:rsidR="00060898">
        <w:t>Staatsministe</w:t>
      </w:r>
      <w:r>
        <w:t>rium der Justiz im angefragten Zeitraum eine Meng</w:t>
      </w:r>
      <w:r w:rsidR="00362B50">
        <w:t>e von insgesamt 6 </w:t>
      </w:r>
      <w:r w:rsidR="00060898">
        <w:t>000 wiederver</w:t>
      </w:r>
      <w:r>
        <w:t>wertbaren Mund-Nase</w:t>
      </w:r>
      <w:r w:rsidR="00B54211">
        <w:t>n</w:t>
      </w:r>
      <w:r>
        <w:t>-Bedeckungen (sog. Community-Masken) mit dem Aufdruck der URL der Bayerischen Justiz (</w:t>
      </w:r>
      <w:hyperlink r:id="rId24" w:history="1">
        <w:r w:rsidR="00362B50" w:rsidRPr="00362B50">
          <w:rPr>
            <w:rStyle w:val="LTHyperlinkZchn"/>
            <w:b w:val="0"/>
          </w:rPr>
          <w:t>https://www.justiz.bayern.de/</w:t>
        </w:r>
      </w:hyperlink>
      <w:r>
        <w:t>) z</w:t>
      </w:r>
      <w:r w:rsidR="00060898">
        <w:t>u Zwecken der Öffentlichkeitsar</w:t>
      </w:r>
      <w:r w:rsidR="00B54211">
        <w:t xml:space="preserve">beit zum Gesamtpreis von </w:t>
      </w:r>
      <w:r>
        <w:t>24.000,00</w:t>
      </w:r>
      <w:r w:rsidR="00B54211">
        <w:t xml:space="preserve"> Euro</w:t>
      </w:r>
      <w:r>
        <w:t xml:space="preserve"> netto (4 Euro netto pro Stück) von der Firma Zettl erworben. Am entsprechenden (Verha</w:t>
      </w:r>
      <w:r w:rsidR="00060898">
        <w:t>ndlungs-)Vergabeverfahren betei</w:t>
      </w:r>
      <w:r>
        <w:t>ligten sich insgesamt 14 Unternehmen. Der Zuschlag wurde der Firma Zettl am 18. Mai 2020 erteilt, weil diese das wirtschaftlichste Angebot abgegeben hatte. Ei</w:t>
      </w:r>
      <w:r w:rsidR="00060898">
        <w:t>n Kon</w:t>
      </w:r>
      <w:r>
        <w:t>takt von Mitgliedern der Staatsregierung bei dieser Beschaffung mit Vertretern der Firma Zettl fand nicht statt</w:t>
      </w:r>
    </w:p>
    <w:p w:rsidR="007E0861" w:rsidRDefault="007E0861">
      <w:bookmarkStart w:id="55" w:name="Frage_Nr_27_Ende"/>
      <w:bookmarkEnd w:id="55"/>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C53CDF" w:rsidTr="00C53CDF">
        <w:tc>
          <w:tcPr>
            <w:tcW w:w="1852" w:type="dxa"/>
          </w:tcPr>
          <w:p w:rsidR="00C53CDF" w:rsidRDefault="00C53CDF" w:rsidP="00C53CDF">
            <w:pPr>
              <w:pStyle w:val="LTAnfrageInitiator"/>
            </w:pPr>
            <w:r>
              <w:lastRenderedPageBreak/>
              <w:t>Abgeordneter</w:t>
            </w:r>
            <w:r>
              <w:rPr>
                <w:b/>
              </w:rPr>
              <w:br/>
              <w:t>Albert</w:t>
            </w:r>
            <w:r>
              <w:rPr>
                <w:b/>
              </w:rPr>
              <w:br/>
              <w:t>Duin</w:t>
            </w:r>
            <w:r>
              <w:rPr>
                <w:b/>
              </w:rPr>
              <w:br/>
            </w:r>
            <w:r>
              <w:t>(FDP)</w:t>
            </w:r>
            <w:bookmarkStart w:id="56" w:name="Frage_Nr_28"/>
            <w:bookmarkEnd w:id="56"/>
          </w:p>
        </w:tc>
        <w:tc>
          <w:tcPr>
            <w:tcW w:w="5764" w:type="dxa"/>
          </w:tcPr>
          <w:p w:rsidR="00C53CDF" w:rsidRPr="00B72724" w:rsidRDefault="00C53CDF" w:rsidP="00B72724">
            <w:pPr>
              <w:pStyle w:val="LTAnfrageText"/>
            </w:pPr>
            <w:r w:rsidRPr="00B72724">
              <w:t>Ich frage die Staatsregierung, gab es im Rahmen der jüngsten Betrugsfälle bei den Corona-Hilfen auch Fälle in Bayern, ist im Antragsverfahren eine Plausibilitätsprüfung (vor allem für die Identitäten der Antragsteller) vorgesehen und wie verteilen sich die jüngsten Betrugsfälle auf die verschiedenen Antragsteller? </w:t>
            </w:r>
          </w:p>
        </w:tc>
        <w:tc>
          <w:tcPr>
            <w:tcW w:w="5764" w:type="dxa"/>
          </w:tcPr>
          <w:p w:rsidR="00C53CDF" w:rsidRDefault="00C53CDF" w:rsidP="00C53CDF">
            <w:pPr>
              <w:pStyle w:val="LTAnfrageText"/>
            </w:pPr>
          </w:p>
        </w:tc>
      </w:tr>
    </w:tbl>
    <w:p w:rsidR="007E0861" w:rsidRDefault="007E0861" w:rsidP="007E0861">
      <w:pPr>
        <w:pStyle w:val="LTUeberschrAntwortRessort"/>
      </w:pPr>
      <w:r>
        <w:t>Antwort des Staatsministeriums für Wirtschaft, Landesentwicklung und Energie</w:t>
      </w:r>
    </w:p>
    <w:p w:rsidR="007E0861" w:rsidRDefault="007E0861" w:rsidP="007E0861">
      <w:pPr>
        <w:pStyle w:val="LTAntwortRessortText"/>
      </w:pPr>
      <w:r>
        <w:t>Bei den jüngsten Betrugsfällen bei den Corona</w:t>
      </w:r>
      <w:r w:rsidR="00362B50">
        <w:t>-H</w:t>
      </w:r>
      <w:r>
        <w:t>ilfen, i</w:t>
      </w:r>
      <w:r w:rsidR="00060898">
        <w:t>n deren Folge zeitweilig die Ab</w:t>
      </w:r>
      <w:r>
        <w:t>schlagszahlungen ausgesetzt werden mussten, gab es keine Fälle in Bayern. Der Staatsregierung liegen zu den Verdachtsfällen in den betroffenen Bundesländern keine näheren Angaben vor. Dementsprechend könn</w:t>
      </w:r>
      <w:r w:rsidR="00060898">
        <w:t>en keine Aussagen getroffen wer</w:t>
      </w:r>
      <w:r>
        <w:t>den, wie sich die jüngsten Betrugsfälle auf die verschiedenen Antragsteller verteilen.</w:t>
      </w:r>
    </w:p>
    <w:p w:rsidR="007E0861" w:rsidRDefault="007E0861" w:rsidP="007A24B3">
      <w:pPr>
        <w:pStyle w:val="LTAntwortRessortText"/>
        <w:spacing w:before="0"/>
      </w:pPr>
      <w:r>
        <w:t>Bei den Corona-Hilfsprogrammen des Bundes (Überbrückungshilfen, auß</w:t>
      </w:r>
      <w:r w:rsidR="00060898">
        <w:t>erordentli</w:t>
      </w:r>
      <w:r>
        <w:t>che Wirtschaftshilfen) findet eine Prüfung der Identitä</w:t>
      </w:r>
      <w:r w:rsidR="00B54211">
        <w:t>t des Antragstellers im Antrags</w:t>
      </w:r>
      <w:r>
        <w:t>verfahren durch die prüfenden Dritten (Steuerberat</w:t>
      </w:r>
      <w:r w:rsidR="00060898">
        <w:t>er, Wirtschaftsprüfer, Rechtsan</w:t>
      </w:r>
      <w:r>
        <w:t>wälte, vereidigte Buchprüfer) statt. Die Identität der prüfenden Dritten wird im Rahmen des Registrierungsverfahrens in Abgleich mit dem e</w:t>
      </w:r>
      <w:r w:rsidR="00060898">
        <w:t>ntsprechenden Berufsregister ge</w:t>
      </w:r>
      <w:r>
        <w:t>prüft. Soweit Direktanträge ohne prüfenden Dritten möglich sind, erfolgt die Prüfung der Identität des Antragstellers durch das ELSTER-Zertifikat.</w:t>
      </w:r>
    </w:p>
    <w:p w:rsidR="007E0861" w:rsidRDefault="007E0861">
      <w:bookmarkStart w:id="57" w:name="Frage_Nr_28_Ende"/>
      <w:bookmarkEnd w:id="57"/>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C53CDF" w:rsidTr="00C53CDF">
        <w:tc>
          <w:tcPr>
            <w:tcW w:w="1840" w:type="dxa"/>
          </w:tcPr>
          <w:p w:rsidR="00C53CDF" w:rsidRDefault="00C53CDF" w:rsidP="00C53CDF">
            <w:pPr>
              <w:pStyle w:val="LTAnfrageInitiator"/>
            </w:pPr>
            <w:r>
              <w:lastRenderedPageBreak/>
              <w:t>Abgeordnete</w:t>
            </w:r>
            <w:r>
              <w:rPr>
                <w:b/>
              </w:rPr>
              <w:br/>
              <w:t>Katrin</w:t>
            </w:r>
            <w:r>
              <w:rPr>
                <w:b/>
              </w:rPr>
              <w:br/>
              <w:t>Ebner-Steiner</w:t>
            </w:r>
            <w:r>
              <w:rPr>
                <w:b/>
              </w:rPr>
              <w:br/>
            </w:r>
            <w:r>
              <w:t>(AfD)</w:t>
            </w:r>
            <w:bookmarkStart w:id="58" w:name="Frage_Nr_29"/>
            <w:bookmarkEnd w:id="58"/>
          </w:p>
        </w:tc>
        <w:tc>
          <w:tcPr>
            <w:tcW w:w="5776" w:type="dxa"/>
          </w:tcPr>
          <w:p w:rsidR="00C53CDF" w:rsidRPr="00B72724" w:rsidRDefault="00C53CDF" w:rsidP="00B72724">
            <w:pPr>
              <w:pStyle w:val="LTAnfrageText"/>
            </w:pPr>
            <w:r w:rsidRPr="00B72724">
              <w:t>Ich frage die Staatsregierung, welche bayerischen (oder in Bayern tätige) Unternehmen haben in den vergangenen zehn Jahren Fördermittel zur Entwicklung von E-Mobilität (einschließlich Motorentechnik, Antriebstechnik, Steuerungs- und Regelungstechnik, Softwarelösungen) erhalten, aus welchen Haushaltstiteln stammen diese Fördermittel und in welcher Höhe wurden diese Fördermittel bewilligt (bitte nach Jahr und Unternehmen aufschlüsseln)?</w:t>
            </w:r>
          </w:p>
        </w:tc>
        <w:tc>
          <w:tcPr>
            <w:tcW w:w="5776" w:type="dxa"/>
          </w:tcPr>
          <w:p w:rsidR="00C53CDF" w:rsidRDefault="00C53CDF" w:rsidP="00C53CDF">
            <w:pPr>
              <w:pStyle w:val="LTAnfrageText"/>
            </w:pPr>
          </w:p>
        </w:tc>
      </w:tr>
    </w:tbl>
    <w:p w:rsidR="007E0861" w:rsidRDefault="007E0861" w:rsidP="007E0861">
      <w:pPr>
        <w:pStyle w:val="LTUeberschrAntwortRessort"/>
      </w:pPr>
      <w:r>
        <w:t>Antwort des Staatsministeriums für Wirtschaft, Landesentwicklung und Energie</w:t>
      </w:r>
    </w:p>
    <w:p w:rsidR="007E0861" w:rsidRDefault="007E0861" w:rsidP="007E0861">
      <w:pPr>
        <w:pStyle w:val="LTAntwortRessortText"/>
      </w:pPr>
      <w:r>
        <w:t>Aufgrund des Interpretationsspielraums in der Anfrage werden der Beantwortung die folgenden Annahmen vorangestellt:</w:t>
      </w:r>
    </w:p>
    <w:p w:rsidR="007E0861" w:rsidRDefault="007E0861" w:rsidP="00B76C77">
      <w:pPr>
        <w:pStyle w:val="LTAntwortRessortText"/>
        <w:numPr>
          <w:ilvl w:val="0"/>
          <w:numId w:val="37"/>
        </w:numPr>
        <w:spacing w:before="0"/>
        <w:ind w:left="697" w:hanging="357"/>
      </w:pPr>
      <w:r>
        <w:t xml:space="preserve">Unter dem in der Anfrage verwendeten Begriff </w:t>
      </w:r>
      <w:r w:rsidR="00102307">
        <w:t>„</w:t>
      </w:r>
      <w:r>
        <w:t>E-Mobilität</w:t>
      </w:r>
      <w:r w:rsidR="00102307">
        <w:t>“</w:t>
      </w:r>
      <w:r w:rsidR="00060898">
        <w:t xml:space="preserve"> wird hier die stra</w:t>
      </w:r>
      <w:r>
        <w:t>ßengebundene Elektromobilität verstanden,</w:t>
      </w:r>
    </w:p>
    <w:p w:rsidR="007E0861" w:rsidRDefault="007E0861" w:rsidP="00B76C77">
      <w:pPr>
        <w:pStyle w:val="LTAntwortRessortText"/>
        <w:numPr>
          <w:ilvl w:val="0"/>
          <w:numId w:val="37"/>
        </w:numPr>
        <w:spacing w:before="0"/>
        <w:ind w:left="697" w:hanging="357"/>
      </w:pPr>
      <w:r>
        <w:t>elektrisch angetriebene Schienen- oder Luftf</w:t>
      </w:r>
      <w:r w:rsidR="00060898">
        <w:t>ahrzeuge werden daher nicht ein</w:t>
      </w:r>
      <w:r>
        <w:t>bezogen.</w:t>
      </w:r>
    </w:p>
    <w:p w:rsidR="007E0861" w:rsidRDefault="007E0861" w:rsidP="00B76C77">
      <w:pPr>
        <w:pStyle w:val="LTAntwortRessortText"/>
        <w:numPr>
          <w:ilvl w:val="0"/>
          <w:numId w:val="37"/>
        </w:numPr>
        <w:spacing w:before="0"/>
        <w:ind w:left="697" w:hanging="357"/>
      </w:pPr>
      <w:r>
        <w:t>Auch wird die Elektromobilität mit Brennstoffz</w:t>
      </w:r>
      <w:r w:rsidR="00060898">
        <w:t>ellen und die Entwicklung im Be</w:t>
      </w:r>
      <w:r>
        <w:t>reich der Brennstoffe hier nicht einbezogen.</w:t>
      </w:r>
    </w:p>
    <w:p w:rsidR="007E0861" w:rsidRDefault="007E0861" w:rsidP="00B76C77">
      <w:pPr>
        <w:pStyle w:val="LTAntwortRessortText"/>
        <w:numPr>
          <w:ilvl w:val="0"/>
          <w:numId w:val="37"/>
        </w:numPr>
        <w:spacing w:before="0"/>
        <w:ind w:left="697" w:hanging="357"/>
      </w:pPr>
      <w:r>
        <w:t>Es sei ferner darauf hingewiesen, dass Entwicklungen der Elektromobilität mit Brennstoffzellen und batterieelektrische Mobilität teilweise nicht voneinander getrennt werden können,</w:t>
      </w:r>
    </w:p>
    <w:p w:rsidR="007E0861" w:rsidRDefault="007E0861" w:rsidP="00B76C77">
      <w:pPr>
        <w:pStyle w:val="LTAntwortRessortText"/>
        <w:numPr>
          <w:ilvl w:val="0"/>
          <w:numId w:val="37"/>
        </w:numPr>
        <w:spacing w:before="0"/>
        <w:ind w:left="697" w:hanging="357"/>
      </w:pPr>
      <w:r>
        <w:t>gleiches gilt für Grundlagenforschung und die dafür erforderliche Forschungs-infrastruktur.</w:t>
      </w:r>
    </w:p>
    <w:p w:rsidR="007E0861" w:rsidRDefault="007E0861" w:rsidP="00B76C77">
      <w:pPr>
        <w:pStyle w:val="LTAntwortRessortText"/>
        <w:spacing w:before="0"/>
      </w:pPr>
      <w:r>
        <w:t xml:space="preserve">Unter Fördermitteln zur Entwicklung von E-Mobilität wird im Sinne der Anfrage mit den getroffenen Annahmen vorrangig die straßengebundene Elektromobilität verstanden, deren Technologieförderung in der heutigen Förderlinie </w:t>
      </w:r>
      <w:r w:rsidR="00102307">
        <w:t>„</w:t>
      </w:r>
      <w:r w:rsidR="00362B50">
        <w:t>Mobilität –</w:t>
      </w:r>
      <w:r w:rsidR="00060898">
        <w:t xml:space="preserve"> Innovative An</w:t>
      </w:r>
      <w:r>
        <w:t>triebstechnologien für mobile Anwendungen</w:t>
      </w:r>
      <w:r w:rsidR="00102307">
        <w:t>“</w:t>
      </w:r>
      <w:r>
        <w:t xml:space="preserve"> und i</w:t>
      </w:r>
      <w:r w:rsidR="00060898">
        <w:t>hren Vorgängerrichtlinien zusam</w:t>
      </w:r>
      <w:r>
        <w:t>mengefasst wird.</w:t>
      </w:r>
    </w:p>
    <w:p w:rsidR="007E0861" w:rsidRDefault="007E0861" w:rsidP="007E0861">
      <w:pPr>
        <w:pStyle w:val="LTAntwortRessortText"/>
      </w:pPr>
      <w:r>
        <w:t>Die darin enthaltenen Projekte wurden aus dem Haushaltstitel 07 03/ 683 63 und im Rahmen der HTA(+) zusätzlich aus dem Haushaltstitel 07 02/ 683 86 bedient.</w:t>
      </w:r>
    </w:p>
    <w:p w:rsidR="007E0861" w:rsidRDefault="007E0861" w:rsidP="00B76C77">
      <w:pPr>
        <w:pStyle w:val="LTAntwortRessortText"/>
        <w:spacing w:before="0"/>
      </w:pPr>
      <w:r>
        <w:t>Unternehmen, Bewilligungsdatum und Fördersumme können nachfol</w:t>
      </w:r>
      <w:r w:rsidR="00B76C77">
        <w:t>gender Tabelle entnommen werden:</w:t>
      </w:r>
    </w:p>
    <w:p w:rsidR="00B76C77" w:rsidRDefault="00B76C77">
      <w:r>
        <w:br w:type="page"/>
      </w:r>
    </w:p>
    <w:p w:rsidR="007E0861" w:rsidRDefault="007E0861" w:rsidP="007E0861">
      <w:pPr>
        <w:pStyle w:val="LTAntwortRessortText"/>
      </w:pPr>
    </w:p>
    <w:tbl>
      <w:tblPr>
        <w:tblStyle w:val="TableNormal"/>
        <w:tblW w:w="8056"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4"/>
        <w:gridCol w:w="1276"/>
        <w:gridCol w:w="2126"/>
      </w:tblGrid>
      <w:tr w:rsidR="00B76C77" w:rsidTr="00B76C77">
        <w:trPr>
          <w:trHeight w:val="599"/>
        </w:trPr>
        <w:tc>
          <w:tcPr>
            <w:tcW w:w="4654" w:type="dxa"/>
            <w:shd w:val="clear" w:color="auto" w:fill="808080"/>
          </w:tcPr>
          <w:p w:rsidR="00B76C77" w:rsidRPr="00B76C77" w:rsidRDefault="00B76C77" w:rsidP="0037590D">
            <w:pPr>
              <w:pStyle w:val="TableParagraph"/>
              <w:spacing w:before="164" w:line="240" w:lineRule="auto"/>
              <w:ind w:left="1756"/>
              <w:jc w:val="left"/>
              <w:rPr>
                <w:rFonts w:ascii="Arial" w:hAnsi="Arial" w:cs="Arial"/>
                <w:b/>
                <w:sz w:val="16"/>
                <w:szCs w:val="16"/>
              </w:rPr>
            </w:pPr>
            <w:r w:rsidRPr="00B76C77">
              <w:rPr>
                <w:rFonts w:ascii="Arial" w:hAnsi="Arial" w:cs="Arial"/>
                <w:b/>
                <w:color w:val="FFFFFF"/>
                <w:sz w:val="16"/>
                <w:szCs w:val="16"/>
              </w:rPr>
              <w:t>Zuwendungsempfänger</w:t>
            </w:r>
          </w:p>
        </w:tc>
        <w:tc>
          <w:tcPr>
            <w:tcW w:w="1276" w:type="dxa"/>
            <w:shd w:val="clear" w:color="auto" w:fill="808080"/>
          </w:tcPr>
          <w:p w:rsidR="00B76C77" w:rsidRPr="00B76C77" w:rsidRDefault="00B76C77" w:rsidP="0037590D">
            <w:pPr>
              <w:pStyle w:val="TableParagraph"/>
              <w:spacing w:before="164" w:line="240" w:lineRule="auto"/>
              <w:ind w:right="128"/>
              <w:rPr>
                <w:rFonts w:ascii="Arial" w:hAnsi="Arial" w:cs="Arial"/>
                <w:b/>
                <w:sz w:val="16"/>
                <w:szCs w:val="16"/>
              </w:rPr>
            </w:pPr>
            <w:r w:rsidRPr="00B76C77">
              <w:rPr>
                <w:rFonts w:ascii="Arial" w:hAnsi="Arial" w:cs="Arial"/>
                <w:b/>
                <w:color w:val="FFFFFF"/>
                <w:sz w:val="16"/>
                <w:szCs w:val="16"/>
              </w:rPr>
              <w:t>Bewilligung</w:t>
            </w:r>
          </w:p>
        </w:tc>
        <w:tc>
          <w:tcPr>
            <w:tcW w:w="2126" w:type="dxa"/>
            <w:shd w:val="clear" w:color="auto" w:fill="808080"/>
          </w:tcPr>
          <w:p w:rsidR="00B76C77" w:rsidRPr="00B76C77" w:rsidRDefault="00362B50" w:rsidP="0037590D">
            <w:pPr>
              <w:pStyle w:val="TableParagraph"/>
              <w:spacing w:before="164" w:line="240" w:lineRule="auto"/>
              <w:ind w:right="114"/>
              <w:rPr>
                <w:rFonts w:ascii="Arial" w:hAnsi="Arial" w:cs="Arial"/>
                <w:b/>
                <w:sz w:val="16"/>
                <w:szCs w:val="16"/>
              </w:rPr>
            </w:pPr>
            <w:r>
              <w:rPr>
                <w:rFonts w:ascii="Arial" w:hAnsi="Arial" w:cs="Arial"/>
                <w:b/>
                <w:color w:val="FFFFFF"/>
                <w:sz w:val="16"/>
                <w:szCs w:val="16"/>
              </w:rPr>
              <w:t>Zuwendung g</w:t>
            </w:r>
            <w:r w:rsidR="00B76C77" w:rsidRPr="00B76C77">
              <w:rPr>
                <w:rFonts w:ascii="Arial" w:hAnsi="Arial" w:cs="Arial"/>
                <w:b/>
                <w:color w:val="FFFFFF"/>
                <w:sz w:val="16"/>
                <w:szCs w:val="16"/>
              </w:rPr>
              <w:t>esamt</w:t>
            </w:r>
            <w:r>
              <w:rPr>
                <w:rFonts w:ascii="Arial" w:hAnsi="Arial" w:cs="Arial"/>
                <w:b/>
                <w:color w:val="FFFFFF"/>
                <w:sz w:val="16"/>
                <w:szCs w:val="16"/>
              </w:rPr>
              <w:t xml:space="preserve"> in Euro</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AUDI AG</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03.05.2011</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172.000,00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ZG - Zahnräder und Getriebe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03.05.2011</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197.000,00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Hör Technologie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12.05.2011</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146.000,00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spacing w:line="249" w:lineRule="exact"/>
              <w:ind w:left="71"/>
              <w:jc w:val="left"/>
              <w:rPr>
                <w:rFonts w:ascii="Arial" w:hAnsi="Arial" w:cs="Arial"/>
                <w:sz w:val="16"/>
                <w:szCs w:val="16"/>
              </w:rPr>
            </w:pPr>
            <w:r w:rsidRPr="00B76C77">
              <w:rPr>
                <w:rFonts w:ascii="Arial" w:hAnsi="Arial" w:cs="Arial"/>
                <w:sz w:val="16"/>
                <w:szCs w:val="16"/>
              </w:rPr>
              <w:t>Valeo Klimasysteme GmbH</w:t>
            </w:r>
          </w:p>
        </w:tc>
        <w:tc>
          <w:tcPr>
            <w:tcW w:w="1276" w:type="dxa"/>
          </w:tcPr>
          <w:p w:rsidR="00B76C77" w:rsidRPr="00B76C77" w:rsidRDefault="00B76C77" w:rsidP="0037590D">
            <w:pPr>
              <w:pStyle w:val="TableParagraph"/>
              <w:spacing w:line="249" w:lineRule="exact"/>
              <w:ind w:right="57"/>
              <w:rPr>
                <w:rFonts w:ascii="Arial" w:hAnsi="Arial" w:cs="Arial"/>
                <w:sz w:val="16"/>
                <w:szCs w:val="16"/>
              </w:rPr>
            </w:pPr>
            <w:r w:rsidRPr="00B76C77">
              <w:rPr>
                <w:rFonts w:ascii="Arial" w:hAnsi="Arial" w:cs="Arial"/>
                <w:sz w:val="16"/>
                <w:szCs w:val="16"/>
              </w:rPr>
              <w:t>30.08.2011</w:t>
            </w:r>
          </w:p>
        </w:tc>
        <w:tc>
          <w:tcPr>
            <w:tcW w:w="2126" w:type="dxa"/>
          </w:tcPr>
          <w:p w:rsidR="00B76C77" w:rsidRPr="00B76C77" w:rsidRDefault="00B76C77" w:rsidP="0037590D">
            <w:pPr>
              <w:pStyle w:val="TableParagraph"/>
              <w:spacing w:line="249" w:lineRule="exact"/>
              <w:ind w:right="58"/>
              <w:rPr>
                <w:rFonts w:ascii="Arial" w:hAnsi="Arial" w:cs="Arial"/>
                <w:sz w:val="16"/>
                <w:szCs w:val="16"/>
              </w:rPr>
            </w:pPr>
            <w:r w:rsidRPr="00B76C77">
              <w:rPr>
                <w:rFonts w:ascii="Arial" w:hAnsi="Arial" w:cs="Arial"/>
                <w:sz w:val="16"/>
                <w:szCs w:val="16"/>
              </w:rPr>
              <w:t xml:space="preserve">819.600,00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AUDI AG</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12.03.2012</w:t>
            </w:r>
          </w:p>
        </w:tc>
        <w:tc>
          <w:tcPr>
            <w:tcW w:w="2126" w:type="dxa"/>
          </w:tcPr>
          <w:p w:rsidR="00B76C77" w:rsidRPr="00B76C77" w:rsidRDefault="00B76C77" w:rsidP="0037590D">
            <w:pPr>
              <w:pStyle w:val="TableParagraph"/>
              <w:ind w:right="59"/>
              <w:rPr>
                <w:rFonts w:ascii="Arial" w:hAnsi="Arial" w:cs="Arial"/>
                <w:sz w:val="16"/>
                <w:szCs w:val="16"/>
              </w:rPr>
            </w:pPr>
            <w:r w:rsidRPr="00B76C77">
              <w:rPr>
                <w:rFonts w:ascii="Arial" w:hAnsi="Arial" w:cs="Arial"/>
                <w:sz w:val="16"/>
                <w:szCs w:val="16"/>
              </w:rPr>
              <w:t xml:space="preserve">34.800,00 </w:t>
            </w:r>
            <w:r w:rsidR="00362B50">
              <w:rPr>
                <w:rFonts w:ascii="Arial" w:hAnsi="Arial" w:cs="Arial"/>
                <w:sz w:val="16"/>
                <w:szCs w:val="16"/>
              </w:rPr>
              <w:t xml:space="preserve"> </w:t>
            </w:r>
          </w:p>
        </w:tc>
      </w:tr>
      <w:tr w:rsidR="00B76C77" w:rsidTr="00B76C77">
        <w:trPr>
          <w:trHeight w:val="270"/>
        </w:trPr>
        <w:tc>
          <w:tcPr>
            <w:tcW w:w="4654" w:type="dxa"/>
          </w:tcPr>
          <w:p w:rsidR="00B76C77" w:rsidRPr="00B76C77" w:rsidRDefault="00B76C77" w:rsidP="0037590D">
            <w:pPr>
              <w:pStyle w:val="TableParagraph"/>
              <w:spacing w:before="1" w:line="249" w:lineRule="exact"/>
              <w:ind w:left="71"/>
              <w:jc w:val="left"/>
              <w:rPr>
                <w:rFonts w:ascii="Arial" w:hAnsi="Arial" w:cs="Arial"/>
                <w:sz w:val="16"/>
                <w:szCs w:val="16"/>
              </w:rPr>
            </w:pPr>
            <w:r w:rsidRPr="00B76C77">
              <w:rPr>
                <w:rFonts w:ascii="Arial" w:hAnsi="Arial" w:cs="Arial"/>
                <w:sz w:val="16"/>
                <w:szCs w:val="16"/>
              </w:rPr>
              <w:t>DEE Dräxlmaier Elektrik- und Elektroniksysteme GmbH</w:t>
            </w:r>
          </w:p>
        </w:tc>
        <w:tc>
          <w:tcPr>
            <w:tcW w:w="1276" w:type="dxa"/>
          </w:tcPr>
          <w:p w:rsidR="00B76C77" w:rsidRPr="00B76C77" w:rsidRDefault="00B76C77" w:rsidP="0037590D">
            <w:pPr>
              <w:pStyle w:val="TableParagraph"/>
              <w:spacing w:before="1" w:line="249" w:lineRule="exact"/>
              <w:ind w:right="57"/>
              <w:rPr>
                <w:rFonts w:ascii="Arial" w:hAnsi="Arial" w:cs="Arial"/>
                <w:sz w:val="16"/>
                <w:szCs w:val="16"/>
              </w:rPr>
            </w:pPr>
            <w:r w:rsidRPr="00B76C77">
              <w:rPr>
                <w:rFonts w:ascii="Arial" w:hAnsi="Arial" w:cs="Arial"/>
                <w:sz w:val="16"/>
                <w:szCs w:val="16"/>
              </w:rPr>
              <w:t>03.04.2012</w:t>
            </w:r>
          </w:p>
        </w:tc>
        <w:tc>
          <w:tcPr>
            <w:tcW w:w="2126" w:type="dxa"/>
          </w:tcPr>
          <w:p w:rsidR="00B76C77" w:rsidRPr="00B76C77" w:rsidRDefault="00B76C77" w:rsidP="0037590D">
            <w:pPr>
              <w:pStyle w:val="TableParagraph"/>
              <w:spacing w:before="1" w:line="249" w:lineRule="exact"/>
              <w:ind w:right="58"/>
              <w:rPr>
                <w:rFonts w:ascii="Arial" w:hAnsi="Arial" w:cs="Arial"/>
                <w:sz w:val="16"/>
                <w:szCs w:val="16"/>
              </w:rPr>
            </w:pPr>
            <w:r w:rsidRPr="00B76C77">
              <w:rPr>
                <w:rFonts w:ascii="Arial" w:hAnsi="Arial" w:cs="Arial"/>
                <w:sz w:val="16"/>
                <w:szCs w:val="16"/>
              </w:rPr>
              <w:t xml:space="preserve">218.000,00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AVL Software and Functions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30.10.2013</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784.700,00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LEW Lechwerke AG</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22.05.2014</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194.500,00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Baumüller Nürnberg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28.05.2014</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681.400,00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CoSyst Control Systems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28.05.2014</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414.000,00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Polyplast Sander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28.05.2014</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321.600,00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Bayerisches Laserzentrum gGmbH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28.05.2014</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581.600,00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SMS - engineering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28.05.2014</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753.200,00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Conti Temic microelectronic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03.12.2014</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357.900,00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Bayerisches Laserzentrum gGmbH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04.12.2014</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198.600,00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spacing w:line="249" w:lineRule="exact"/>
              <w:ind w:left="71"/>
              <w:jc w:val="left"/>
              <w:rPr>
                <w:rFonts w:ascii="Arial" w:hAnsi="Arial" w:cs="Arial"/>
                <w:sz w:val="16"/>
                <w:szCs w:val="16"/>
              </w:rPr>
            </w:pPr>
            <w:r w:rsidRPr="00B76C77">
              <w:rPr>
                <w:rFonts w:ascii="Arial" w:hAnsi="Arial" w:cs="Arial"/>
                <w:sz w:val="16"/>
                <w:szCs w:val="16"/>
              </w:rPr>
              <w:t>metz automotive GmbH</w:t>
            </w:r>
          </w:p>
        </w:tc>
        <w:tc>
          <w:tcPr>
            <w:tcW w:w="1276" w:type="dxa"/>
          </w:tcPr>
          <w:p w:rsidR="00B76C77" w:rsidRPr="00B76C77" w:rsidRDefault="00B76C77" w:rsidP="0037590D">
            <w:pPr>
              <w:pStyle w:val="TableParagraph"/>
              <w:spacing w:line="249" w:lineRule="exact"/>
              <w:ind w:right="57"/>
              <w:rPr>
                <w:rFonts w:ascii="Arial" w:hAnsi="Arial" w:cs="Arial"/>
                <w:sz w:val="16"/>
                <w:szCs w:val="16"/>
              </w:rPr>
            </w:pPr>
            <w:r w:rsidRPr="00B76C77">
              <w:rPr>
                <w:rFonts w:ascii="Arial" w:hAnsi="Arial" w:cs="Arial"/>
                <w:sz w:val="16"/>
                <w:szCs w:val="16"/>
              </w:rPr>
              <w:t>22.12.2014</w:t>
            </w:r>
          </w:p>
        </w:tc>
        <w:tc>
          <w:tcPr>
            <w:tcW w:w="2126" w:type="dxa"/>
          </w:tcPr>
          <w:p w:rsidR="00B76C77" w:rsidRPr="00B76C77" w:rsidRDefault="00B76C77" w:rsidP="0037590D">
            <w:pPr>
              <w:pStyle w:val="TableParagraph"/>
              <w:spacing w:line="249" w:lineRule="exact"/>
              <w:ind w:right="58"/>
              <w:rPr>
                <w:rFonts w:ascii="Arial" w:hAnsi="Arial" w:cs="Arial"/>
                <w:sz w:val="16"/>
                <w:szCs w:val="16"/>
              </w:rPr>
            </w:pPr>
            <w:r w:rsidRPr="00B76C77">
              <w:rPr>
                <w:rFonts w:ascii="Arial" w:hAnsi="Arial" w:cs="Arial"/>
                <w:sz w:val="16"/>
                <w:szCs w:val="16"/>
              </w:rPr>
              <w:t xml:space="preserve">114.000,00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Hans Mayer Elektrotechnik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09.11.2015</w:t>
            </w:r>
          </w:p>
        </w:tc>
        <w:tc>
          <w:tcPr>
            <w:tcW w:w="2126" w:type="dxa"/>
          </w:tcPr>
          <w:p w:rsidR="00B76C77" w:rsidRPr="00B76C77" w:rsidRDefault="00B76C77" w:rsidP="0037590D">
            <w:pPr>
              <w:pStyle w:val="TableParagraph"/>
              <w:ind w:right="59"/>
              <w:rPr>
                <w:rFonts w:ascii="Arial" w:hAnsi="Arial" w:cs="Arial"/>
                <w:sz w:val="16"/>
                <w:szCs w:val="16"/>
              </w:rPr>
            </w:pPr>
            <w:r w:rsidRPr="00B76C77">
              <w:rPr>
                <w:rFonts w:ascii="Arial" w:hAnsi="Arial" w:cs="Arial"/>
                <w:sz w:val="16"/>
                <w:szCs w:val="16"/>
              </w:rPr>
              <w:t xml:space="preserve">83.800,00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MACCON Elektroniksystementwicklung und Beratungs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09.11.2015</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161.600,00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Ingenieurbüro Zilk</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09.11.2015</w:t>
            </w:r>
          </w:p>
        </w:tc>
        <w:tc>
          <w:tcPr>
            <w:tcW w:w="2126" w:type="dxa"/>
          </w:tcPr>
          <w:p w:rsidR="00B76C77" w:rsidRPr="00B76C77" w:rsidRDefault="00B76C77" w:rsidP="0037590D">
            <w:pPr>
              <w:pStyle w:val="TableParagraph"/>
              <w:ind w:right="59"/>
              <w:rPr>
                <w:rFonts w:ascii="Arial" w:hAnsi="Arial" w:cs="Arial"/>
                <w:sz w:val="16"/>
                <w:szCs w:val="16"/>
              </w:rPr>
            </w:pPr>
            <w:r w:rsidRPr="00B76C77">
              <w:rPr>
                <w:rFonts w:ascii="Arial" w:hAnsi="Arial" w:cs="Arial"/>
                <w:sz w:val="16"/>
                <w:szCs w:val="16"/>
              </w:rPr>
              <w:t xml:space="preserve">91.300,00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Modell- und Formenbau Blasius Gerg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04.03.2016</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782.000,00 </w:t>
            </w:r>
            <w:r w:rsidR="00362B50">
              <w:rPr>
                <w:rFonts w:ascii="Arial" w:hAnsi="Arial" w:cs="Arial"/>
                <w:sz w:val="16"/>
                <w:szCs w:val="16"/>
              </w:rPr>
              <w:t xml:space="preserve"> </w:t>
            </w:r>
          </w:p>
        </w:tc>
      </w:tr>
      <w:tr w:rsidR="00B76C77" w:rsidTr="00B76C77">
        <w:trPr>
          <w:trHeight w:val="270"/>
        </w:trPr>
        <w:tc>
          <w:tcPr>
            <w:tcW w:w="4654" w:type="dxa"/>
          </w:tcPr>
          <w:p w:rsidR="00B76C77" w:rsidRPr="00B76C77" w:rsidRDefault="00B76C77" w:rsidP="0037590D">
            <w:pPr>
              <w:pStyle w:val="TableParagraph"/>
              <w:spacing w:before="1" w:line="249" w:lineRule="exact"/>
              <w:ind w:left="71"/>
              <w:jc w:val="left"/>
              <w:rPr>
                <w:rFonts w:ascii="Arial" w:hAnsi="Arial" w:cs="Arial"/>
                <w:sz w:val="16"/>
                <w:szCs w:val="16"/>
              </w:rPr>
            </w:pPr>
            <w:r w:rsidRPr="00B76C77">
              <w:rPr>
                <w:rFonts w:ascii="Arial" w:hAnsi="Arial" w:cs="Arial"/>
                <w:sz w:val="16"/>
                <w:szCs w:val="16"/>
              </w:rPr>
              <w:t>Batterien-Montage-Zentrum GmbH</w:t>
            </w:r>
          </w:p>
        </w:tc>
        <w:tc>
          <w:tcPr>
            <w:tcW w:w="1276" w:type="dxa"/>
          </w:tcPr>
          <w:p w:rsidR="00B76C77" w:rsidRPr="00B76C77" w:rsidRDefault="00B76C77" w:rsidP="0037590D">
            <w:pPr>
              <w:pStyle w:val="TableParagraph"/>
              <w:spacing w:before="1" w:line="249" w:lineRule="exact"/>
              <w:ind w:right="57"/>
              <w:rPr>
                <w:rFonts w:ascii="Arial" w:hAnsi="Arial" w:cs="Arial"/>
                <w:sz w:val="16"/>
                <w:szCs w:val="16"/>
              </w:rPr>
            </w:pPr>
            <w:r w:rsidRPr="00B76C77">
              <w:rPr>
                <w:rFonts w:ascii="Arial" w:hAnsi="Arial" w:cs="Arial"/>
                <w:sz w:val="16"/>
                <w:szCs w:val="16"/>
              </w:rPr>
              <w:t>31.03.2016</w:t>
            </w:r>
          </w:p>
        </w:tc>
        <w:tc>
          <w:tcPr>
            <w:tcW w:w="2126" w:type="dxa"/>
          </w:tcPr>
          <w:p w:rsidR="00B76C77" w:rsidRPr="00B76C77" w:rsidRDefault="00B76C77" w:rsidP="0037590D">
            <w:pPr>
              <w:pStyle w:val="TableParagraph"/>
              <w:spacing w:before="1" w:line="249" w:lineRule="exact"/>
              <w:ind w:right="58"/>
              <w:rPr>
                <w:rFonts w:ascii="Arial" w:hAnsi="Arial" w:cs="Arial"/>
                <w:sz w:val="16"/>
                <w:szCs w:val="16"/>
              </w:rPr>
            </w:pPr>
            <w:r w:rsidRPr="00B76C77">
              <w:rPr>
                <w:rFonts w:ascii="Arial" w:hAnsi="Arial" w:cs="Arial"/>
                <w:sz w:val="16"/>
                <w:szCs w:val="16"/>
              </w:rPr>
              <w:t xml:space="preserve">147.500,00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ITK Engineering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31.03.2016</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669.800,00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MACHmotors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12.08.2016</w:t>
            </w:r>
          </w:p>
        </w:tc>
        <w:tc>
          <w:tcPr>
            <w:tcW w:w="2126" w:type="dxa"/>
          </w:tcPr>
          <w:p w:rsidR="00B76C77" w:rsidRPr="00B76C77" w:rsidRDefault="00B76C77" w:rsidP="0037590D">
            <w:pPr>
              <w:pStyle w:val="TableParagraph"/>
              <w:ind w:right="59"/>
              <w:rPr>
                <w:rFonts w:ascii="Arial" w:hAnsi="Arial" w:cs="Arial"/>
                <w:sz w:val="16"/>
                <w:szCs w:val="16"/>
              </w:rPr>
            </w:pPr>
            <w:r w:rsidRPr="00B76C77">
              <w:rPr>
                <w:rFonts w:ascii="Arial" w:hAnsi="Arial" w:cs="Arial"/>
                <w:sz w:val="16"/>
                <w:szCs w:val="16"/>
              </w:rPr>
              <w:t xml:space="preserve">86.600,00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TDK Electronics AG</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24.08.2016</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141.800,00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Finepower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06.09.2016</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342.500,00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Performance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10.10.2016</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151.200,00 </w:t>
            </w:r>
            <w:r w:rsidR="00362B50">
              <w:rPr>
                <w:rFonts w:ascii="Arial" w:hAnsi="Arial" w:cs="Arial"/>
                <w:sz w:val="16"/>
                <w:szCs w:val="16"/>
              </w:rPr>
              <w:t xml:space="preserve"> </w:t>
            </w:r>
          </w:p>
        </w:tc>
      </w:tr>
      <w:tr w:rsidR="00B76C77" w:rsidTr="00B76C77">
        <w:trPr>
          <w:trHeight w:val="269"/>
        </w:trPr>
        <w:tc>
          <w:tcPr>
            <w:tcW w:w="4654" w:type="dxa"/>
          </w:tcPr>
          <w:p w:rsidR="00B76C77" w:rsidRPr="00B76C77" w:rsidRDefault="00B76C77" w:rsidP="0037590D">
            <w:pPr>
              <w:pStyle w:val="TableParagraph"/>
              <w:spacing w:line="249" w:lineRule="exact"/>
              <w:ind w:left="71"/>
              <w:jc w:val="left"/>
              <w:rPr>
                <w:rFonts w:ascii="Arial" w:hAnsi="Arial" w:cs="Arial"/>
                <w:sz w:val="16"/>
                <w:szCs w:val="16"/>
              </w:rPr>
            </w:pPr>
            <w:r w:rsidRPr="00B76C77">
              <w:rPr>
                <w:rFonts w:ascii="Arial" w:hAnsi="Arial" w:cs="Arial"/>
                <w:sz w:val="16"/>
                <w:szCs w:val="16"/>
              </w:rPr>
              <w:t>iwis motorsysteme GmbH &amp; Co. KG</w:t>
            </w:r>
          </w:p>
        </w:tc>
        <w:tc>
          <w:tcPr>
            <w:tcW w:w="1276" w:type="dxa"/>
          </w:tcPr>
          <w:p w:rsidR="00B76C77" w:rsidRPr="00B76C77" w:rsidRDefault="00B76C77" w:rsidP="0037590D">
            <w:pPr>
              <w:pStyle w:val="TableParagraph"/>
              <w:spacing w:line="249" w:lineRule="exact"/>
              <w:ind w:right="57"/>
              <w:rPr>
                <w:rFonts w:ascii="Arial" w:hAnsi="Arial" w:cs="Arial"/>
                <w:sz w:val="16"/>
                <w:szCs w:val="16"/>
              </w:rPr>
            </w:pPr>
            <w:r w:rsidRPr="00B76C77">
              <w:rPr>
                <w:rFonts w:ascii="Arial" w:hAnsi="Arial" w:cs="Arial"/>
                <w:sz w:val="16"/>
                <w:szCs w:val="16"/>
              </w:rPr>
              <w:t>10.10.2016</w:t>
            </w:r>
          </w:p>
        </w:tc>
        <w:tc>
          <w:tcPr>
            <w:tcW w:w="2126" w:type="dxa"/>
          </w:tcPr>
          <w:p w:rsidR="00B76C77" w:rsidRPr="00B76C77" w:rsidRDefault="00B76C77" w:rsidP="0037590D">
            <w:pPr>
              <w:pStyle w:val="TableParagraph"/>
              <w:spacing w:line="249" w:lineRule="exact"/>
              <w:ind w:right="58"/>
              <w:rPr>
                <w:rFonts w:ascii="Arial" w:hAnsi="Arial" w:cs="Arial"/>
                <w:sz w:val="16"/>
                <w:szCs w:val="16"/>
              </w:rPr>
            </w:pPr>
            <w:r w:rsidRPr="00B76C77">
              <w:rPr>
                <w:rFonts w:ascii="Arial" w:hAnsi="Arial" w:cs="Arial"/>
                <w:sz w:val="16"/>
                <w:szCs w:val="16"/>
              </w:rPr>
              <w:t xml:space="preserve">260.700,00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Spedition Ansorge GmbH &amp; Co. KG</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27.10.2016</w:t>
            </w:r>
          </w:p>
        </w:tc>
        <w:tc>
          <w:tcPr>
            <w:tcW w:w="2126" w:type="dxa"/>
          </w:tcPr>
          <w:p w:rsidR="00B76C77" w:rsidRPr="00B76C77" w:rsidRDefault="00B76C77" w:rsidP="0037590D">
            <w:pPr>
              <w:pStyle w:val="TableParagraph"/>
              <w:ind w:right="59"/>
              <w:rPr>
                <w:rFonts w:ascii="Arial" w:hAnsi="Arial" w:cs="Arial"/>
                <w:sz w:val="16"/>
                <w:szCs w:val="16"/>
              </w:rPr>
            </w:pPr>
            <w:r w:rsidRPr="00B76C77">
              <w:rPr>
                <w:rFonts w:ascii="Arial" w:hAnsi="Arial" w:cs="Arial"/>
                <w:sz w:val="16"/>
                <w:szCs w:val="16"/>
              </w:rPr>
              <w:t xml:space="preserve">70.800,00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Sensortechnik Wiedemann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27.10.2016</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731.200,00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Toni Maurer GmbH &amp; Co KG</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27.10.2016</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309.200,00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Kratzer Automation AG</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27.09.2018</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272.800,00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Prettl Elektrik Automotive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04.12.2018</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343.200,00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AVL Software and Functions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04.12.2018</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171.300,00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Valeo Thermal Commercial Vehicles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01.08.2019</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704.600,00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Silver Atena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18.11.2020</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345.400,00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SCIO Technology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21.12.2020</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293.800,00 </w:t>
            </w:r>
            <w:r w:rsidR="00362B50">
              <w:rPr>
                <w:rFonts w:ascii="Arial" w:hAnsi="Arial" w:cs="Arial"/>
                <w:sz w:val="16"/>
                <w:szCs w:val="16"/>
              </w:rPr>
              <w:t xml:space="preserve"> </w:t>
            </w:r>
          </w:p>
        </w:tc>
      </w:tr>
      <w:tr w:rsidR="00B76C77" w:rsidTr="00B76C77">
        <w:trPr>
          <w:trHeight w:val="270"/>
        </w:trPr>
        <w:tc>
          <w:tcPr>
            <w:tcW w:w="4654" w:type="dxa"/>
          </w:tcPr>
          <w:p w:rsidR="00B76C77" w:rsidRPr="00B76C77" w:rsidRDefault="00B76C77" w:rsidP="0037590D">
            <w:pPr>
              <w:pStyle w:val="TableParagraph"/>
              <w:spacing w:before="1" w:line="249" w:lineRule="exact"/>
              <w:ind w:left="71"/>
              <w:jc w:val="left"/>
              <w:rPr>
                <w:rFonts w:ascii="Arial" w:hAnsi="Arial" w:cs="Arial"/>
                <w:sz w:val="16"/>
                <w:szCs w:val="16"/>
              </w:rPr>
            </w:pPr>
            <w:r w:rsidRPr="00B76C77">
              <w:rPr>
                <w:rFonts w:ascii="Arial" w:hAnsi="Arial" w:cs="Arial"/>
                <w:sz w:val="16"/>
                <w:szCs w:val="16"/>
              </w:rPr>
              <w:t>Quantron AG</w:t>
            </w:r>
          </w:p>
        </w:tc>
        <w:tc>
          <w:tcPr>
            <w:tcW w:w="1276" w:type="dxa"/>
          </w:tcPr>
          <w:p w:rsidR="00B76C77" w:rsidRPr="00B76C77" w:rsidRDefault="00B76C77" w:rsidP="0037590D">
            <w:pPr>
              <w:pStyle w:val="TableParagraph"/>
              <w:spacing w:before="1" w:line="249" w:lineRule="exact"/>
              <w:ind w:right="57"/>
              <w:rPr>
                <w:rFonts w:ascii="Arial" w:hAnsi="Arial" w:cs="Arial"/>
                <w:sz w:val="16"/>
                <w:szCs w:val="16"/>
              </w:rPr>
            </w:pPr>
            <w:r w:rsidRPr="00B76C77">
              <w:rPr>
                <w:rFonts w:ascii="Arial" w:hAnsi="Arial" w:cs="Arial"/>
                <w:sz w:val="16"/>
                <w:szCs w:val="16"/>
              </w:rPr>
              <w:t>21.12.2020</w:t>
            </w:r>
          </w:p>
        </w:tc>
        <w:tc>
          <w:tcPr>
            <w:tcW w:w="2126" w:type="dxa"/>
          </w:tcPr>
          <w:p w:rsidR="00B76C77" w:rsidRPr="00B76C77" w:rsidRDefault="00B76C77" w:rsidP="0037590D">
            <w:pPr>
              <w:pStyle w:val="TableParagraph"/>
              <w:spacing w:before="1" w:line="249" w:lineRule="exact"/>
              <w:ind w:right="58"/>
              <w:rPr>
                <w:rFonts w:ascii="Arial" w:hAnsi="Arial" w:cs="Arial"/>
                <w:sz w:val="16"/>
                <w:szCs w:val="16"/>
              </w:rPr>
            </w:pPr>
            <w:r w:rsidRPr="00B76C77">
              <w:rPr>
                <w:rFonts w:ascii="Arial" w:hAnsi="Arial" w:cs="Arial"/>
                <w:sz w:val="16"/>
                <w:szCs w:val="16"/>
              </w:rPr>
              <w:t xml:space="preserve">344.600,00 </w:t>
            </w:r>
            <w:r w:rsidR="00362B50">
              <w:rPr>
                <w:rFonts w:ascii="Arial" w:hAnsi="Arial" w:cs="Arial"/>
                <w:sz w:val="16"/>
                <w:szCs w:val="16"/>
              </w:rPr>
              <w:t xml:space="preserve"> </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Tomorrow’s Motion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21.12.2020</w:t>
            </w:r>
          </w:p>
        </w:tc>
        <w:tc>
          <w:tcPr>
            <w:tcW w:w="2126" w:type="dxa"/>
          </w:tcPr>
          <w:p w:rsidR="00B76C77" w:rsidRPr="00B76C77" w:rsidRDefault="00B76C77" w:rsidP="0037590D">
            <w:pPr>
              <w:pStyle w:val="TableParagraph"/>
              <w:ind w:right="58"/>
              <w:rPr>
                <w:rFonts w:ascii="Arial" w:hAnsi="Arial" w:cs="Arial"/>
                <w:sz w:val="16"/>
                <w:szCs w:val="16"/>
              </w:rPr>
            </w:pPr>
            <w:r w:rsidRPr="00B76C77">
              <w:rPr>
                <w:rFonts w:ascii="Arial" w:hAnsi="Arial" w:cs="Arial"/>
                <w:sz w:val="16"/>
                <w:szCs w:val="16"/>
              </w:rPr>
              <w:t xml:space="preserve">637.800,00 </w:t>
            </w:r>
            <w:r w:rsidR="00362B50">
              <w:rPr>
                <w:rFonts w:ascii="Arial" w:hAnsi="Arial" w:cs="Arial"/>
                <w:sz w:val="16"/>
                <w:szCs w:val="16"/>
              </w:rPr>
              <w:t xml:space="preserve"> </w:t>
            </w:r>
          </w:p>
        </w:tc>
      </w:tr>
    </w:tbl>
    <w:p w:rsidR="007E0861" w:rsidRDefault="007E0861" w:rsidP="007E0861">
      <w:pPr>
        <w:pStyle w:val="LTAntwortRessortText"/>
      </w:pPr>
      <w:r>
        <w:t xml:space="preserve">Darüber hinaus fallen die Förderungen im Rahmen der Förderinitiative </w:t>
      </w:r>
      <w:r w:rsidR="00102307">
        <w:t>„</w:t>
      </w:r>
      <w:r w:rsidR="00060898">
        <w:t>Modellregio</w:t>
      </w:r>
      <w:r>
        <w:t>nen Elektromobilität Bayern</w:t>
      </w:r>
      <w:r w:rsidR="00102307">
        <w:t>“</w:t>
      </w:r>
      <w:r>
        <w:t xml:space="preserve">, welche in den Jahren </w:t>
      </w:r>
      <w:r w:rsidR="00060898">
        <w:t>2012 bis 2014 verbeschieden wur</w:t>
      </w:r>
      <w:r>
        <w:t>den in den Fokus der obenstehenden Anfrage. Die</w:t>
      </w:r>
      <w:r w:rsidR="00060898">
        <w:t>se Projekte wurden aus dem Haus</w:t>
      </w:r>
      <w:r>
        <w:t>haltstitel 07 03/ 686 66 bedient und sind nachfolgend aufgelistet.</w:t>
      </w:r>
    </w:p>
    <w:p w:rsidR="007E0861" w:rsidRDefault="007E0861" w:rsidP="007E0861">
      <w:pPr>
        <w:pStyle w:val="LTAntwortRessortText"/>
      </w:pPr>
    </w:p>
    <w:tbl>
      <w:tblPr>
        <w:tblStyle w:val="TableNormal"/>
        <w:tblW w:w="8056"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4"/>
        <w:gridCol w:w="1276"/>
        <w:gridCol w:w="2126"/>
      </w:tblGrid>
      <w:tr w:rsidR="00B76C77" w:rsidTr="00B76C77">
        <w:trPr>
          <w:trHeight w:val="1170"/>
        </w:trPr>
        <w:tc>
          <w:tcPr>
            <w:tcW w:w="4654" w:type="dxa"/>
            <w:shd w:val="clear" w:color="auto" w:fill="808080"/>
          </w:tcPr>
          <w:p w:rsidR="00B76C77" w:rsidRPr="00B76C77" w:rsidRDefault="00B76C77" w:rsidP="0037590D">
            <w:pPr>
              <w:pStyle w:val="TableParagraph"/>
              <w:spacing w:line="240" w:lineRule="auto"/>
              <w:jc w:val="left"/>
              <w:rPr>
                <w:rFonts w:ascii="Arial" w:hAnsi="Arial" w:cs="Arial"/>
                <w:sz w:val="16"/>
                <w:szCs w:val="16"/>
              </w:rPr>
            </w:pPr>
          </w:p>
          <w:p w:rsidR="00B76C77" w:rsidRPr="00B76C77" w:rsidRDefault="00B76C77" w:rsidP="0037590D">
            <w:pPr>
              <w:pStyle w:val="TableParagraph"/>
              <w:spacing w:before="197" w:line="240" w:lineRule="auto"/>
              <w:ind w:left="1542"/>
              <w:jc w:val="left"/>
              <w:rPr>
                <w:rFonts w:ascii="Arial" w:hAnsi="Arial" w:cs="Arial"/>
                <w:b/>
                <w:sz w:val="16"/>
                <w:szCs w:val="16"/>
              </w:rPr>
            </w:pPr>
            <w:r w:rsidRPr="00B76C77">
              <w:rPr>
                <w:rFonts w:ascii="Arial" w:hAnsi="Arial" w:cs="Arial"/>
                <w:b/>
                <w:color w:val="FFFFFF"/>
                <w:sz w:val="16"/>
                <w:szCs w:val="16"/>
              </w:rPr>
              <w:t>Zuwendungsempfänger</w:t>
            </w:r>
          </w:p>
        </w:tc>
        <w:tc>
          <w:tcPr>
            <w:tcW w:w="1276" w:type="dxa"/>
            <w:shd w:val="clear" w:color="auto" w:fill="808080"/>
          </w:tcPr>
          <w:p w:rsidR="00B76C77" w:rsidRPr="00B76C77" w:rsidRDefault="00B76C77" w:rsidP="0037590D">
            <w:pPr>
              <w:pStyle w:val="TableParagraph"/>
              <w:spacing w:line="240" w:lineRule="auto"/>
              <w:jc w:val="left"/>
              <w:rPr>
                <w:rFonts w:ascii="Arial" w:hAnsi="Arial" w:cs="Arial"/>
                <w:sz w:val="16"/>
                <w:szCs w:val="16"/>
              </w:rPr>
            </w:pPr>
          </w:p>
          <w:p w:rsidR="00B76C77" w:rsidRPr="00B76C77" w:rsidRDefault="00B76C77" w:rsidP="0037590D">
            <w:pPr>
              <w:pStyle w:val="TableParagraph"/>
              <w:spacing w:before="197" w:line="240" w:lineRule="auto"/>
              <w:ind w:left="321"/>
              <w:jc w:val="left"/>
              <w:rPr>
                <w:rFonts w:ascii="Arial" w:hAnsi="Arial" w:cs="Arial"/>
                <w:b/>
                <w:sz w:val="16"/>
                <w:szCs w:val="16"/>
              </w:rPr>
            </w:pPr>
            <w:r w:rsidRPr="00B76C77">
              <w:rPr>
                <w:rFonts w:ascii="Arial" w:hAnsi="Arial" w:cs="Arial"/>
                <w:b/>
                <w:color w:val="FFFFFF"/>
                <w:sz w:val="16"/>
                <w:szCs w:val="16"/>
              </w:rPr>
              <w:t>Bewilligung</w:t>
            </w:r>
          </w:p>
        </w:tc>
        <w:tc>
          <w:tcPr>
            <w:tcW w:w="2126" w:type="dxa"/>
            <w:shd w:val="clear" w:color="auto" w:fill="808080"/>
          </w:tcPr>
          <w:p w:rsidR="00B76C77" w:rsidRPr="00B76C77" w:rsidRDefault="00B76C77" w:rsidP="0037590D">
            <w:pPr>
              <w:pStyle w:val="TableParagraph"/>
              <w:spacing w:before="5" w:line="240" w:lineRule="auto"/>
              <w:jc w:val="left"/>
              <w:rPr>
                <w:rFonts w:ascii="Arial" w:hAnsi="Arial" w:cs="Arial"/>
                <w:sz w:val="16"/>
                <w:szCs w:val="16"/>
              </w:rPr>
            </w:pPr>
          </w:p>
          <w:p w:rsidR="00B76C77" w:rsidRPr="00B76C77" w:rsidRDefault="00362B50" w:rsidP="0037590D">
            <w:pPr>
              <w:pStyle w:val="TableParagraph"/>
              <w:spacing w:line="240" w:lineRule="auto"/>
              <w:ind w:left="140"/>
              <w:jc w:val="left"/>
              <w:rPr>
                <w:rFonts w:ascii="Arial" w:hAnsi="Arial" w:cs="Arial"/>
                <w:b/>
                <w:sz w:val="16"/>
                <w:szCs w:val="16"/>
              </w:rPr>
            </w:pPr>
            <w:r>
              <w:rPr>
                <w:rFonts w:ascii="Arial" w:hAnsi="Arial" w:cs="Arial"/>
                <w:b/>
                <w:color w:val="FFFFFF"/>
                <w:sz w:val="16"/>
                <w:szCs w:val="16"/>
              </w:rPr>
              <w:t>Zuwendung g</w:t>
            </w:r>
            <w:r w:rsidR="00B76C77" w:rsidRPr="00B76C77">
              <w:rPr>
                <w:rFonts w:ascii="Arial" w:hAnsi="Arial" w:cs="Arial"/>
                <w:b/>
                <w:color w:val="FFFFFF"/>
                <w:sz w:val="16"/>
                <w:szCs w:val="16"/>
              </w:rPr>
              <w:t>esamt</w:t>
            </w:r>
          </w:p>
          <w:p w:rsidR="00B76C77" w:rsidRPr="00B76C77" w:rsidRDefault="00B76C77" w:rsidP="00362B50">
            <w:pPr>
              <w:pStyle w:val="TableParagraph"/>
              <w:spacing w:line="240" w:lineRule="auto"/>
              <w:ind w:left="921"/>
              <w:jc w:val="left"/>
              <w:rPr>
                <w:rFonts w:ascii="Arial" w:hAnsi="Arial" w:cs="Arial"/>
                <w:b/>
                <w:sz w:val="16"/>
                <w:szCs w:val="16"/>
              </w:rPr>
            </w:pPr>
            <w:r w:rsidRPr="00B76C77">
              <w:rPr>
                <w:rFonts w:ascii="Arial" w:hAnsi="Arial" w:cs="Arial"/>
                <w:b/>
                <w:color w:val="FFFFFF"/>
                <w:sz w:val="16"/>
                <w:szCs w:val="16"/>
              </w:rPr>
              <w:t xml:space="preserve">(Mio. </w:t>
            </w:r>
            <w:r w:rsidR="00362B50">
              <w:rPr>
                <w:rFonts w:ascii="Arial" w:hAnsi="Arial" w:cs="Arial"/>
                <w:b/>
                <w:color w:val="FFFFFF"/>
                <w:sz w:val="16"/>
                <w:szCs w:val="16"/>
              </w:rPr>
              <w:t>Euro</w:t>
            </w:r>
            <w:r w:rsidRPr="00B76C77">
              <w:rPr>
                <w:rFonts w:ascii="Arial" w:hAnsi="Arial" w:cs="Arial"/>
                <w:b/>
                <w:color w:val="FFFFFF"/>
                <w:sz w:val="16"/>
                <w:szCs w:val="16"/>
              </w:rPr>
              <w:t>)</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BMW AG</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19.10.2012</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1,17</w:t>
            </w:r>
          </w:p>
        </w:tc>
      </w:tr>
      <w:tr w:rsidR="00B76C77" w:rsidTr="00B76C77">
        <w:trPr>
          <w:trHeight w:val="269"/>
        </w:trPr>
        <w:tc>
          <w:tcPr>
            <w:tcW w:w="4654" w:type="dxa"/>
          </w:tcPr>
          <w:p w:rsidR="00B76C77" w:rsidRPr="00B76C77" w:rsidRDefault="00B76C77" w:rsidP="0037590D">
            <w:pPr>
              <w:pStyle w:val="TableParagraph"/>
              <w:spacing w:line="249" w:lineRule="exact"/>
              <w:ind w:left="71"/>
              <w:jc w:val="left"/>
              <w:rPr>
                <w:rFonts w:ascii="Arial" w:hAnsi="Arial" w:cs="Arial"/>
                <w:sz w:val="16"/>
                <w:szCs w:val="16"/>
              </w:rPr>
            </w:pPr>
            <w:r w:rsidRPr="00B76C77">
              <w:rPr>
                <w:rFonts w:ascii="Arial" w:hAnsi="Arial" w:cs="Arial"/>
                <w:sz w:val="16"/>
                <w:szCs w:val="16"/>
              </w:rPr>
              <w:t>BMW AG</w:t>
            </w:r>
          </w:p>
        </w:tc>
        <w:tc>
          <w:tcPr>
            <w:tcW w:w="1276" w:type="dxa"/>
          </w:tcPr>
          <w:p w:rsidR="00B76C77" w:rsidRPr="00B76C77" w:rsidRDefault="00B76C77" w:rsidP="0037590D">
            <w:pPr>
              <w:pStyle w:val="TableParagraph"/>
              <w:spacing w:line="249" w:lineRule="exact"/>
              <w:ind w:right="57"/>
              <w:rPr>
                <w:rFonts w:ascii="Arial" w:hAnsi="Arial" w:cs="Arial"/>
                <w:sz w:val="16"/>
                <w:szCs w:val="16"/>
              </w:rPr>
            </w:pPr>
            <w:r w:rsidRPr="00B76C77">
              <w:rPr>
                <w:rFonts w:ascii="Arial" w:hAnsi="Arial" w:cs="Arial"/>
                <w:sz w:val="16"/>
                <w:szCs w:val="16"/>
              </w:rPr>
              <w:t>15.11.2012</w:t>
            </w:r>
          </w:p>
        </w:tc>
        <w:tc>
          <w:tcPr>
            <w:tcW w:w="2126" w:type="dxa"/>
          </w:tcPr>
          <w:p w:rsidR="00B76C77" w:rsidRPr="00B76C77" w:rsidRDefault="00B76C77" w:rsidP="0037590D">
            <w:pPr>
              <w:pStyle w:val="TableParagraph"/>
              <w:spacing w:line="249" w:lineRule="exact"/>
              <w:ind w:right="54"/>
              <w:rPr>
                <w:rFonts w:ascii="Arial" w:hAnsi="Arial" w:cs="Arial"/>
                <w:sz w:val="16"/>
                <w:szCs w:val="16"/>
              </w:rPr>
            </w:pPr>
            <w:r w:rsidRPr="00B76C77">
              <w:rPr>
                <w:rFonts w:ascii="Arial" w:hAnsi="Arial" w:cs="Arial"/>
                <w:sz w:val="16"/>
                <w:szCs w:val="16"/>
              </w:rPr>
              <w:t>0,30</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Fertigungsgerätebau A. Steinbach GmbH &amp; Co. KG</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12.12.2012</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0,83</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Winora-Staiger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27.04.2013</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0,10</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Batterie-Montage-Zentrum BMZ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27.04.2013</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0,09</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Jopp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27.04.2013</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0,58</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Rohde &amp; Schwarz GmbH &amp; Co. KG</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13.05.2013</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1,13</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Technagon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17.05.2013</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0,81</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BMW AG</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27.05.2013</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0,55</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Deutsche Post AG</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03.07.2013</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0,11</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Abt Sportsline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03.07.2013</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2,08</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Sensor Technik Wiedemann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03.07.2013</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0,15</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Audi AG</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10.07.2013</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0,90</w:t>
            </w:r>
          </w:p>
        </w:tc>
      </w:tr>
      <w:tr w:rsidR="00B76C77" w:rsidTr="00B76C77">
        <w:trPr>
          <w:trHeight w:val="271"/>
        </w:trPr>
        <w:tc>
          <w:tcPr>
            <w:tcW w:w="4654" w:type="dxa"/>
          </w:tcPr>
          <w:p w:rsidR="00B76C77" w:rsidRPr="00B76C77" w:rsidRDefault="00B76C77" w:rsidP="0037590D">
            <w:pPr>
              <w:pStyle w:val="TableParagraph"/>
              <w:spacing w:before="2" w:line="249" w:lineRule="exact"/>
              <w:ind w:left="71"/>
              <w:jc w:val="left"/>
              <w:rPr>
                <w:rFonts w:ascii="Arial" w:hAnsi="Arial" w:cs="Arial"/>
                <w:sz w:val="16"/>
                <w:szCs w:val="16"/>
              </w:rPr>
            </w:pPr>
            <w:r w:rsidRPr="00B76C77">
              <w:rPr>
                <w:rFonts w:ascii="Arial" w:hAnsi="Arial" w:cs="Arial"/>
                <w:sz w:val="16"/>
                <w:szCs w:val="16"/>
              </w:rPr>
              <w:t>Audi AG</w:t>
            </w:r>
          </w:p>
        </w:tc>
        <w:tc>
          <w:tcPr>
            <w:tcW w:w="1276" w:type="dxa"/>
          </w:tcPr>
          <w:p w:rsidR="00B76C77" w:rsidRPr="00B76C77" w:rsidRDefault="00B76C77" w:rsidP="0037590D">
            <w:pPr>
              <w:pStyle w:val="TableParagraph"/>
              <w:spacing w:before="2" w:line="249" w:lineRule="exact"/>
              <w:ind w:right="57"/>
              <w:rPr>
                <w:rFonts w:ascii="Arial" w:hAnsi="Arial" w:cs="Arial"/>
                <w:sz w:val="16"/>
                <w:szCs w:val="16"/>
              </w:rPr>
            </w:pPr>
            <w:r w:rsidRPr="00B76C77">
              <w:rPr>
                <w:rFonts w:ascii="Arial" w:hAnsi="Arial" w:cs="Arial"/>
                <w:sz w:val="16"/>
                <w:szCs w:val="16"/>
              </w:rPr>
              <w:t>15.07.2013</w:t>
            </w:r>
          </w:p>
        </w:tc>
        <w:tc>
          <w:tcPr>
            <w:tcW w:w="2126" w:type="dxa"/>
          </w:tcPr>
          <w:p w:rsidR="00B76C77" w:rsidRPr="00B76C77" w:rsidRDefault="00B76C77" w:rsidP="0037590D">
            <w:pPr>
              <w:pStyle w:val="TableParagraph"/>
              <w:spacing w:before="2" w:line="249" w:lineRule="exact"/>
              <w:ind w:right="54"/>
              <w:rPr>
                <w:rFonts w:ascii="Arial" w:hAnsi="Arial" w:cs="Arial"/>
                <w:sz w:val="16"/>
                <w:szCs w:val="16"/>
              </w:rPr>
            </w:pPr>
            <w:r w:rsidRPr="00B76C77">
              <w:rPr>
                <w:rFonts w:ascii="Arial" w:hAnsi="Arial" w:cs="Arial"/>
                <w:sz w:val="16"/>
                <w:szCs w:val="16"/>
              </w:rPr>
              <w:t>0,75</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Linuxpartner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23.07.2013</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0,22</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IBEKOR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25.07.2013</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0,10</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General Electric Global Research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06.08.2013</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0,28</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E-Wald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07.08.2013</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2,19</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HM-PV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07.08.2013</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0,98</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GAB Enterprise IT Solutions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07.08.2013</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0,84</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R&amp;R Fahrzeugtechnik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08.08.2013</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0,23</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Systemtechnik Leber GmbH &amp; Co. KG</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08.08.2013</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0,16</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Continental Temic Microelektronik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08.08.2013</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0,12</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Audi AG</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09.08.2013</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1,44</w:t>
            </w:r>
          </w:p>
        </w:tc>
      </w:tr>
      <w:tr w:rsidR="00B76C77" w:rsidTr="00B76C77">
        <w:trPr>
          <w:trHeight w:val="269"/>
        </w:trPr>
        <w:tc>
          <w:tcPr>
            <w:tcW w:w="4654" w:type="dxa"/>
          </w:tcPr>
          <w:p w:rsidR="00B76C77" w:rsidRPr="00B76C77" w:rsidRDefault="00B76C77" w:rsidP="0037590D">
            <w:pPr>
              <w:pStyle w:val="TableParagraph"/>
              <w:spacing w:line="249" w:lineRule="exact"/>
              <w:ind w:left="71"/>
              <w:jc w:val="left"/>
              <w:rPr>
                <w:rFonts w:ascii="Arial" w:hAnsi="Arial" w:cs="Arial"/>
                <w:sz w:val="16"/>
                <w:szCs w:val="16"/>
              </w:rPr>
            </w:pPr>
            <w:r w:rsidRPr="00B76C77">
              <w:rPr>
                <w:rFonts w:ascii="Arial" w:hAnsi="Arial" w:cs="Arial"/>
                <w:sz w:val="16"/>
                <w:szCs w:val="16"/>
              </w:rPr>
              <w:t>MTC Maintronic GmbH</w:t>
            </w:r>
          </w:p>
        </w:tc>
        <w:tc>
          <w:tcPr>
            <w:tcW w:w="1276" w:type="dxa"/>
          </w:tcPr>
          <w:p w:rsidR="00B76C77" w:rsidRPr="00B76C77" w:rsidRDefault="00B76C77" w:rsidP="0037590D">
            <w:pPr>
              <w:pStyle w:val="TableParagraph"/>
              <w:spacing w:line="249" w:lineRule="exact"/>
              <w:ind w:right="57"/>
              <w:rPr>
                <w:rFonts w:ascii="Arial" w:hAnsi="Arial" w:cs="Arial"/>
                <w:sz w:val="16"/>
                <w:szCs w:val="16"/>
              </w:rPr>
            </w:pPr>
            <w:r w:rsidRPr="00B76C77">
              <w:rPr>
                <w:rFonts w:ascii="Arial" w:hAnsi="Arial" w:cs="Arial"/>
                <w:sz w:val="16"/>
                <w:szCs w:val="16"/>
              </w:rPr>
              <w:t>27.11.2014</w:t>
            </w:r>
          </w:p>
        </w:tc>
        <w:tc>
          <w:tcPr>
            <w:tcW w:w="2126" w:type="dxa"/>
          </w:tcPr>
          <w:p w:rsidR="00B76C77" w:rsidRPr="00B76C77" w:rsidRDefault="00B76C77" w:rsidP="0037590D">
            <w:pPr>
              <w:pStyle w:val="TableParagraph"/>
              <w:spacing w:line="249" w:lineRule="exact"/>
              <w:ind w:right="54"/>
              <w:rPr>
                <w:rFonts w:ascii="Arial" w:hAnsi="Arial" w:cs="Arial"/>
                <w:sz w:val="16"/>
                <w:szCs w:val="16"/>
              </w:rPr>
            </w:pPr>
            <w:r w:rsidRPr="00B76C77">
              <w:rPr>
                <w:rFonts w:ascii="Arial" w:hAnsi="Arial" w:cs="Arial"/>
                <w:sz w:val="16"/>
                <w:szCs w:val="16"/>
              </w:rPr>
              <w:t>0,19</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Senertec Kraft-Wärme-Energiesysteme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27.11.2014</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0,16</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General Electric Global Research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02.12.2014</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0,10</w:t>
            </w:r>
          </w:p>
        </w:tc>
      </w:tr>
      <w:tr w:rsidR="00B76C77" w:rsidTr="00B76C77">
        <w:trPr>
          <w:trHeight w:val="268"/>
        </w:trPr>
        <w:tc>
          <w:tcPr>
            <w:tcW w:w="4654" w:type="dxa"/>
          </w:tcPr>
          <w:p w:rsidR="00B76C77" w:rsidRPr="00B76C77" w:rsidRDefault="00B76C77" w:rsidP="0037590D">
            <w:pPr>
              <w:pStyle w:val="TableParagraph"/>
              <w:ind w:left="71"/>
              <w:jc w:val="left"/>
              <w:rPr>
                <w:rFonts w:ascii="Arial" w:hAnsi="Arial" w:cs="Arial"/>
                <w:sz w:val="16"/>
                <w:szCs w:val="16"/>
              </w:rPr>
            </w:pPr>
            <w:r w:rsidRPr="00B76C77">
              <w:rPr>
                <w:rFonts w:ascii="Arial" w:hAnsi="Arial" w:cs="Arial"/>
                <w:sz w:val="16"/>
                <w:szCs w:val="16"/>
              </w:rPr>
              <w:t>IBEKOR GmbH</w:t>
            </w:r>
          </w:p>
        </w:tc>
        <w:tc>
          <w:tcPr>
            <w:tcW w:w="1276" w:type="dxa"/>
          </w:tcPr>
          <w:p w:rsidR="00B76C77" w:rsidRPr="00B76C77" w:rsidRDefault="00B76C77" w:rsidP="0037590D">
            <w:pPr>
              <w:pStyle w:val="TableParagraph"/>
              <w:ind w:right="57"/>
              <w:rPr>
                <w:rFonts w:ascii="Arial" w:hAnsi="Arial" w:cs="Arial"/>
                <w:sz w:val="16"/>
                <w:szCs w:val="16"/>
              </w:rPr>
            </w:pPr>
            <w:r w:rsidRPr="00B76C77">
              <w:rPr>
                <w:rFonts w:ascii="Arial" w:hAnsi="Arial" w:cs="Arial"/>
                <w:sz w:val="16"/>
                <w:szCs w:val="16"/>
              </w:rPr>
              <w:t>15.12.2014</w:t>
            </w:r>
          </w:p>
        </w:tc>
        <w:tc>
          <w:tcPr>
            <w:tcW w:w="2126" w:type="dxa"/>
          </w:tcPr>
          <w:p w:rsidR="00B76C77" w:rsidRPr="00B76C77" w:rsidRDefault="00B76C77" w:rsidP="0037590D">
            <w:pPr>
              <w:pStyle w:val="TableParagraph"/>
              <w:ind w:right="54"/>
              <w:rPr>
                <w:rFonts w:ascii="Arial" w:hAnsi="Arial" w:cs="Arial"/>
                <w:sz w:val="16"/>
                <w:szCs w:val="16"/>
              </w:rPr>
            </w:pPr>
            <w:r w:rsidRPr="00B76C77">
              <w:rPr>
                <w:rFonts w:ascii="Arial" w:hAnsi="Arial" w:cs="Arial"/>
                <w:sz w:val="16"/>
                <w:szCs w:val="16"/>
              </w:rPr>
              <w:t>0,04</w:t>
            </w:r>
          </w:p>
        </w:tc>
      </w:tr>
      <w:tr w:rsidR="00B76C77" w:rsidTr="00B76C77">
        <w:trPr>
          <w:trHeight w:val="270"/>
        </w:trPr>
        <w:tc>
          <w:tcPr>
            <w:tcW w:w="4654" w:type="dxa"/>
          </w:tcPr>
          <w:p w:rsidR="00B76C77" w:rsidRPr="00B76C77" w:rsidRDefault="00B76C77" w:rsidP="0037590D">
            <w:pPr>
              <w:pStyle w:val="TableParagraph"/>
              <w:spacing w:before="1" w:line="249" w:lineRule="exact"/>
              <w:ind w:left="71"/>
              <w:jc w:val="left"/>
              <w:rPr>
                <w:rFonts w:ascii="Arial" w:hAnsi="Arial" w:cs="Arial"/>
                <w:sz w:val="16"/>
                <w:szCs w:val="16"/>
              </w:rPr>
            </w:pPr>
            <w:r w:rsidRPr="00B76C77">
              <w:rPr>
                <w:rFonts w:ascii="Arial" w:hAnsi="Arial" w:cs="Arial"/>
                <w:sz w:val="16"/>
                <w:szCs w:val="16"/>
              </w:rPr>
              <w:t>Swarco Traffic Systems</w:t>
            </w:r>
          </w:p>
        </w:tc>
        <w:tc>
          <w:tcPr>
            <w:tcW w:w="1276" w:type="dxa"/>
          </w:tcPr>
          <w:p w:rsidR="00B76C77" w:rsidRPr="00B76C77" w:rsidRDefault="00B76C77" w:rsidP="0037590D">
            <w:pPr>
              <w:pStyle w:val="TableParagraph"/>
              <w:spacing w:before="1" w:line="249" w:lineRule="exact"/>
              <w:ind w:right="57"/>
              <w:rPr>
                <w:rFonts w:ascii="Arial" w:hAnsi="Arial" w:cs="Arial"/>
                <w:sz w:val="16"/>
                <w:szCs w:val="16"/>
              </w:rPr>
            </w:pPr>
            <w:r w:rsidRPr="00B76C77">
              <w:rPr>
                <w:rFonts w:ascii="Arial" w:hAnsi="Arial" w:cs="Arial"/>
                <w:sz w:val="16"/>
                <w:szCs w:val="16"/>
              </w:rPr>
              <w:t>16.12.2014</w:t>
            </w:r>
          </w:p>
        </w:tc>
        <w:tc>
          <w:tcPr>
            <w:tcW w:w="2126" w:type="dxa"/>
          </w:tcPr>
          <w:p w:rsidR="00B76C77" w:rsidRPr="00B76C77" w:rsidRDefault="00B76C77" w:rsidP="0037590D">
            <w:pPr>
              <w:pStyle w:val="TableParagraph"/>
              <w:spacing w:before="1" w:line="249" w:lineRule="exact"/>
              <w:ind w:right="54"/>
              <w:rPr>
                <w:rFonts w:ascii="Arial" w:hAnsi="Arial" w:cs="Arial"/>
                <w:sz w:val="16"/>
                <w:szCs w:val="16"/>
              </w:rPr>
            </w:pPr>
            <w:r w:rsidRPr="00B76C77">
              <w:rPr>
                <w:rFonts w:ascii="Arial" w:hAnsi="Arial" w:cs="Arial"/>
                <w:sz w:val="16"/>
                <w:szCs w:val="16"/>
              </w:rPr>
              <w:t>0,06</w:t>
            </w:r>
          </w:p>
        </w:tc>
      </w:tr>
    </w:tbl>
    <w:p w:rsidR="007E0861" w:rsidRDefault="007E0861" w:rsidP="007E0861">
      <w:pPr>
        <w:pStyle w:val="LTAntwortRessortText"/>
      </w:pPr>
    </w:p>
    <w:p w:rsidR="007E0861" w:rsidRDefault="007E0861">
      <w:bookmarkStart w:id="59" w:name="Frage_Nr_29_Ende"/>
      <w:bookmarkEnd w:id="59"/>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C53CDF" w:rsidTr="00C53CDF">
        <w:tc>
          <w:tcPr>
            <w:tcW w:w="1852" w:type="dxa"/>
          </w:tcPr>
          <w:p w:rsidR="00C53CDF" w:rsidRDefault="00C53CDF" w:rsidP="00C53CDF">
            <w:pPr>
              <w:pStyle w:val="LTAnfrageInitiator"/>
            </w:pPr>
            <w:r>
              <w:lastRenderedPageBreak/>
              <w:t>Abgeordneter</w:t>
            </w:r>
            <w:r>
              <w:rPr>
                <w:b/>
              </w:rPr>
              <w:br/>
              <w:t>Martin</w:t>
            </w:r>
            <w:r>
              <w:rPr>
                <w:b/>
              </w:rPr>
              <w:br/>
              <w:t>Hagen</w:t>
            </w:r>
            <w:r>
              <w:rPr>
                <w:b/>
              </w:rPr>
              <w:br/>
            </w:r>
            <w:r>
              <w:t>(FDP)</w:t>
            </w:r>
            <w:bookmarkStart w:id="60" w:name="Frage_Nr_30"/>
            <w:bookmarkEnd w:id="60"/>
          </w:p>
        </w:tc>
        <w:tc>
          <w:tcPr>
            <w:tcW w:w="5764" w:type="dxa"/>
          </w:tcPr>
          <w:p w:rsidR="00C53CDF" w:rsidRPr="00B72724" w:rsidRDefault="00C53CDF" w:rsidP="00B72724">
            <w:pPr>
              <w:pStyle w:val="LTAnfrageText"/>
            </w:pPr>
            <w:r w:rsidRPr="00B72724">
              <w:t>Die „Medizinische Bedarf Versorgungssicherstellungsverordnung“ (MedBVSV) trat am 26.05.2020 in Kraft, deshalb frage ich die Staatsregierung, ob die vom Staatsministerium für Wirtschaft, Landesentwicklung und Energie (StMWi) seinerzeit bei der niederbayerischen Firma Zettl, später Mitbegründer des Bayerischen Maskenverbundes, gekauften eine Million Atemschutzmasken entgegen der Verordnung (MedBVSV) in Kliniken, Arztpraxen und Pflegeeinrichtungen eingesetzt wurden, wenn kein Einsatz erfolgte, was passierte mit den CPA-Masken und mit welcher Begründung rechtfertigt das StMWi den Kauf der Masken der Firma Zettl zum Nettostückpreis von 5 Euro, obwohl das Landesamt für Gesundheit und Lebensmittelsicherheit gleichwertige Masken anderer Hersteller für 70 Cent pro Stück und FFP2-Masken für 2,70 Euro pro Stück kaufen konnte?</w:t>
            </w:r>
          </w:p>
        </w:tc>
        <w:tc>
          <w:tcPr>
            <w:tcW w:w="5764" w:type="dxa"/>
          </w:tcPr>
          <w:p w:rsidR="00C53CDF" w:rsidRDefault="00C53CDF" w:rsidP="00C53CDF">
            <w:pPr>
              <w:pStyle w:val="LTAnfrageText"/>
            </w:pPr>
          </w:p>
        </w:tc>
      </w:tr>
    </w:tbl>
    <w:p w:rsidR="007E0861" w:rsidRDefault="007E0861" w:rsidP="007E0861">
      <w:pPr>
        <w:pStyle w:val="LTUeberschrAntwortRessort"/>
      </w:pPr>
      <w:r>
        <w:t>Antwort des Staatsministeriums für Wirtschaft, Landesentwicklung und Energie</w:t>
      </w:r>
    </w:p>
    <w:p w:rsidR="007E0861" w:rsidRDefault="007E0861" w:rsidP="007E0861">
      <w:pPr>
        <w:pStyle w:val="LTAntwortRessortText"/>
      </w:pPr>
      <w:r>
        <w:t>Vorbemerkung:</w:t>
      </w:r>
    </w:p>
    <w:p w:rsidR="007E0861" w:rsidRDefault="007E0861" w:rsidP="00B76C77">
      <w:pPr>
        <w:pStyle w:val="LTAntwortRessortText"/>
        <w:spacing w:before="0"/>
      </w:pPr>
      <w:r>
        <w:t>Am 6. März 2020 stieg die Zahl der Corona-Erkrankten in Bayern auf über 100. Nur zehn T</w:t>
      </w:r>
      <w:r w:rsidR="00362B50">
        <w:t>age später waren bereits über 1 </w:t>
      </w:r>
      <w:r>
        <w:t>000 Person</w:t>
      </w:r>
      <w:r w:rsidR="00273798">
        <w:t>en infiziert. Mitte März verdop</w:t>
      </w:r>
      <w:r>
        <w:t>pelte sich die Zahl der Infizierten alle drei Tage. Das R</w:t>
      </w:r>
      <w:r w:rsidR="00362B50">
        <w:t>obert Koch-Institut (R</w:t>
      </w:r>
      <w:r>
        <w:t>KI</w:t>
      </w:r>
      <w:r w:rsidR="00362B50">
        <w:t>)</w:t>
      </w:r>
      <w:r>
        <w:t xml:space="preserve"> stufte die Gefährdungslage für die Bevölkerung nun als </w:t>
      </w:r>
      <w:r w:rsidR="00102307">
        <w:t>„</w:t>
      </w:r>
      <w:r>
        <w:t>hoch</w:t>
      </w:r>
      <w:r w:rsidR="00102307">
        <w:t>“</w:t>
      </w:r>
      <w:r>
        <w:t xml:space="preserve"> ein. Die Szenarien gingen damals davon aus, dass bis Mitte April schlimmstenfalls bis zu 2,4 </w:t>
      </w:r>
      <w:r w:rsidR="00362B50">
        <w:t>Mio.</w:t>
      </w:r>
      <w:r>
        <w:t xml:space="preserve"> Personen in Bayern erkrankt sein könnten. Es bestand die Gefahr, dass die Ausbreitung der Krankheit nicht unter Kontrolle gebracht werden kann. Um den Schutz de</w:t>
      </w:r>
      <w:r w:rsidR="00273798">
        <w:t>r bayerischen Bevölkerung zu ge</w:t>
      </w:r>
      <w:r>
        <w:t>währleisten, bereitete sich die Staatsregierung auf den äußersten Ernstfall vor. Es galt, die drohenden Materialengpässe in allen von der Katas</w:t>
      </w:r>
      <w:r w:rsidR="00273798">
        <w:t>trophe betroffenen Berei</w:t>
      </w:r>
      <w:r>
        <w:t>chen wie Medizin, Pflege, etc., abzuwenden. Beispielsweise drohten sogar Masken und Desinfektionsmittel in Krankenhäusern auszu</w:t>
      </w:r>
      <w:r w:rsidR="00273798">
        <w:t>gehen. Am 16. März wurde der Ka</w:t>
      </w:r>
      <w:r>
        <w:t>tastrophenfall ausgerufen. Einen Tag später, am 17. März, beschloss der Ministerrat umfangreiche Materialbeschaffungen: Alle Möglic</w:t>
      </w:r>
      <w:r w:rsidR="00273798">
        <w:t>hkeiten zur Beschaffung von not</w:t>
      </w:r>
      <w:r>
        <w:t>wendigem Material sollten ausgeschöpft werden, bis hin zur Beschlagnahmung.</w:t>
      </w:r>
    </w:p>
    <w:p w:rsidR="007E0861" w:rsidRDefault="007E0861" w:rsidP="007E0861">
      <w:pPr>
        <w:pStyle w:val="LTAntwortRessortText"/>
      </w:pPr>
      <w:r>
        <w:t>Die beschafften Masken der Firma Zettl haben bereits am 1. April 2020 eine Sonder-zulassung des Bundesinstituts für Arzneimittel und Medizinprodukte (BfArM) erhalten und konnten somit medizinischem Personal als Sc</w:t>
      </w:r>
      <w:r w:rsidR="00273798">
        <w:t>hutzausrüstung zur Verfügung ge</w:t>
      </w:r>
      <w:r>
        <w:t>stellt werden.</w:t>
      </w:r>
    </w:p>
    <w:p w:rsidR="007E0861" w:rsidRDefault="007E0861" w:rsidP="007E0861">
      <w:pPr>
        <w:pStyle w:val="LTAntwortRessortText"/>
      </w:pPr>
      <w:r>
        <w:t>Ein Einsatz entgegen der am 26.</w:t>
      </w:r>
      <w:r w:rsidR="00362B50">
        <w:t>05.</w:t>
      </w:r>
      <w:r>
        <w:t xml:space="preserve">2020 in Kraft getretenen Verordnung </w:t>
      </w:r>
      <w:r w:rsidR="00102307">
        <w:t>„</w:t>
      </w:r>
      <w:r>
        <w:t>Medizi</w:t>
      </w:r>
      <w:r w:rsidR="00273798">
        <w:t>ni</w:t>
      </w:r>
      <w:r>
        <w:t>sche Bedarf Versorgungssicherstellungsverordnung</w:t>
      </w:r>
      <w:r w:rsidR="00102307">
        <w:t>“</w:t>
      </w:r>
      <w:r>
        <w:t xml:space="preserve"> (MedBVSV) erfolgte somit nicht.</w:t>
      </w:r>
    </w:p>
    <w:p w:rsidR="007E0861" w:rsidRDefault="007E0861" w:rsidP="007E0861">
      <w:pPr>
        <w:pStyle w:val="LTAntwortRessortText"/>
      </w:pPr>
      <w:r>
        <w:t>Zitat aus</w:t>
      </w:r>
      <w:r w:rsidR="00362B50">
        <w:t xml:space="preserve"> der BfArM-Sonderzulassung vom 01.04.</w:t>
      </w:r>
      <w:r>
        <w:t>2020:</w:t>
      </w:r>
    </w:p>
    <w:p w:rsidR="007E0861" w:rsidRDefault="00102307" w:rsidP="00B76C77">
      <w:pPr>
        <w:pStyle w:val="LTAntwortRessortText"/>
        <w:ind w:left="680"/>
      </w:pPr>
      <w:r>
        <w:t>„</w:t>
      </w:r>
      <w:r w:rsidR="007E0861">
        <w:t xml:space="preserve">Das erstmalige Inverkehrbringen des oben angeführten Medizinprodukts auf dem Gebiet der Bundesrepublik Deutschland </w:t>
      </w:r>
      <w:r w:rsidR="00273798">
        <w:t>wird auch ohne CE-Kennzeich</w:t>
      </w:r>
      <w:r w:rsidR="007E0861">
        <w:t>nung aus Gründen des Gesundheitsschu</w:t>
      </w:r>
      <w:r w:rsidR="00273798">
        <w:t xml:space="preserve">tzes gemäß § 11 Abs. 1 </w:t>
      </w:r>
      <w:r w:rsidR="00362B50">
        <w:t>Medizinproduktegesetz (</w:t>
      </w:r>
      <w:r w:rsidR="00273798">
        <w:t>MPG</w:t>
      </w:r>
      <w:r w:rsidR="00362B50">
        <w:t>)</w:t>
      </w:r>
      <w:r w:rsidR="00273798">
        <w:t xml:space="preserve"> zuge</w:t>
      </w:r>
      <w:r w:rsidR="007E0861">
        <w:t>lassen.</w:t>
      </w:r>
      <w:r>
        <w:t>“</w:t>
      </w:r>
    </w:p>
    <w:p w:rsidR="007E0861" w:rsidRDefault="007E0861" w:rsidP="00B76C77">
      <w:pPr>
        <w:pStyle w:val="LTAntwortRessortText"/>
        <w:ind w:left="680"/>
      </w:pPr>
      <w:r>
        <w:lastRenderedPageBreak/>
        <w:t>Außerdem heißt es dort:</w:t>
      </w:r>
    </w:p>
    <w:p w:rsidR="007E0861" w:rsidRDefault="00102307" w:rsidP="00B76C77">
      <w:pPr>
        <w:pStyle w:val="LTAntwortRessortText"/>
        <w:ind w:left="680"/>
      </w:pPr>
      <w:r>
        <w:t>„</w:t>
      </w:r>
      <w:r w:rsidR="007E0861">
        <w:t xml:space="preserve">Dem BfArM ist der aktuell auf die </w:t>
      </w:r>
      <w:r>
        <w:t>COVID-19</w:t>
      </w:r>
      <w:r w:rsidR="00273798">
        <w:t>/SARS-CoV-2-Pandemie zurück</w:t>
      </w:r>
      <w:r w:rsidR="007E0861">
        <w:t>zuführende, weltweite Mangel von Atemschutzmasken bekann</w:t>
      </w:r>
      <w:r w:rsidR="00273798">
        <w:t>t. Die Versor</w:t>
      </w:r>
      <w:r w:rsidR="007E0861">
        <w:t>gung des medizinischen Personals in Deutschland kann zum gegenwärtigen Zeitpunkt nicht mit CE-gekennzeichneten Atemschutzmasken sichergestellt werden. Die Anwendung des betroffenen Medizinprodukts dient dem Schutz des medizinischen Personals vor Infektionen und der Aufrechterhaltung der Funktionsfähigkeit des Gesundheitssystems.</w:t>
      </w:r>
      <w:r>
        <w:t>“</w:t>
      </w:r>
    </w:p>
    <w:p w:rsidR="007E0861" w:rsidRDefault="007E0861" w:rsidP="007E0861">
      <w:pPr>
        <w:pStyle w:val="LTAntwortRessortText"/>
      </w:pPr>
      <w:r>
        <w:t>Ein Vergleich mit damaligen Preisen für OP-Masken ist unsachgemäß. Mangel herrschte damals insbesondere im Hinblick auf die</w:t>
      </w:r>
      <w:r w:rsidR="003830E9">
        <w:t xml:space="preserve"> dringend benötigten Atemschutz</w:t>
      </w:r>
      <w:r>
        <w:t>masken. Außerdem führte die mindere Qualität e</w:t>
      </w:r>
      <w:r w:rsidR="003830E9">
        <w:t>iniger ausländischer Atemschutz</w:t>
      </w:r>
      <w:r>
        <w:t>masken dazu, dass diese aufgrund ihrer Untauglichkeit nicht eingesetzt werden konnten. Das StMWi kümmerte sich daher um d</w:t>
      </w:r>
      <w:r w:rsidR="00273798">
        <w:t>en schnellen Aufbau einer heimi</w:t>
      </w:r>
      <w:r>
        <w:t xml:space="preserve">schen Produktion. Diesbezüglich stand Herr Staatsminister </w:t>
      </w:r>
      <w:r w:rsidR="00362B50">
        <w:t xml:space="preserve">Hubert </w:t>
      </w:r>
      <w:r>
        <w:t>Aiwanger insbesondere in sehr engem Kontakt v.</w:t>
      </w:r>
      <w:r w:rsidR="00362B50">
        <w:t> </w:t>
      </w:r>
      <w:r>
        <w:t>a. mit dem St</w:t>
      </w:r>
      <w:r w:rsidR="00362B50">
        <w:t xml:space="preserve">aatsministerium für Gesundheit und Pflege </w:t>
      </w:r>
      <w:r>
        <w:t>und dem St</w:t>
      </w:r>
      <w:r w:rsidR="00362B50">
        <w:t>aatsministerum für Unterricht und Kultus</w:t>
      </w:r>
      <w:r>
        <w:t>, da zunächst die Hürde der Zertifizierung genommen werden musste. Gemeinsa</w:t>
      </w:r>
      <w:r w:rsidR="003830E9">
        <w:t>m mit der DEKRA Testing and Cer</w:t>
      </w:r>
      <w:r>
        <w:t>tification GmbH gelang es in relativ kurzer Zeit die Maske der Firma Zettl auf Grundlage der von</w:t>
      </w:r>
      <w:r w:rsidR="00362B50">
        <w:t xml:space="preserve"> der EU-Kommission am 13.03.</w:t>
      </w:r>
      <w:r>
        <w:t xml:space="preserve">2020 erlassenen Empfehlung (EU) 2020/403 über Konformitätsbewertungs- und Marktüberwachungsverfahren als sogenannte </w:t>
      </w:r>
      <w:r w:rsidR="00B832D1">
        <w:t>Coronapandemie</w:t>
      </w:r>
      <w:r>
        <w:t>-Atemschutzmaske (CPA) zertifizieren zu lassen. Damit konnte sie als Surrogat für die damals sehr teuren FFP2-Masken genutzt werden. Mit diesen Atemschutzmasken bayerischer Qualität wurde medizinisches Personal versorgt und die Versorgungssicherheit des Freistaates mit diesen wichtigen Schutzgütern verbessert.</w:t>
      </w:r>
    </w:p>
    <w:p w:rsidR="007E0861" w:rsidRDefault="007E0861">
      <w:bookmarkStart w:id="61" w:name="Frage_Nr_30_Ende"/>
      <w:bookmarkEnd w:id="61"/>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C53CDF" w:rsidTr="00C53CDF">
        <w:tc>
          <w:tcPr>
            <w:tcW w:w="1854" w:type="dxa"/>
          </w:tcPr>
          <w:p w:rsidR="00C53CDF" w:rsidRDefault="00C53CDF" w:rsidP="00C53CDF">
            <w:pPr>
              <w:pStyle w:val="LTAnfrageInitiator"/>
            </w:pPr>
            <w:r>
              <w:lastRenderedPageBreak/>
              <w:t>Abgeordnete</w:t>
            </w:r>
            <w:r>
              <w:rPr>
                <w:b/>
              </w:rPr>
              <w:br/>
              <w:t>Annette</w:t>
            </w:r>
            <w:r>
              <w:rPr>
                <w:b/>
              </w:rPr>
              <w:br/>
              <w:t>Karl</w:t>
            </w:r>
            <w:r>
              <w:rPr>
                <w:b/>
              </w:rPr>
              <w:br/>
            </w:r>
            <w:r>
              <w:t>(SPD)</w:t>
            </w:r>
            <w:bookmarkStart w:id="62" w:name="Frage_Nr_31"/>
            <w:bookmarkEnd w:id="62"/>
          </w:p>
        </w:tc>
        <w:tc>
          <w:tcPr>
            <w:tcW w:w="5762" w:type="dxa"/>
          </w:tcPr>
          <w:p w:rsidR="00C53CDF" w:rsidRPr="00B72724" w:rsidRDefault="00C53CDF" w:rsidP="00B72724">
            <w:pPr>
              <w:pStyle w:val="LTAnfrageText"/>
            </w:pPr>
            <w:r w:rsidRPr="00B72724">
              <w:t>Nachdem in der Pressemitteilung des Staatsministeriums für Wirtschaft, Landesentwicklung und Energie (PM 91/21) vom 11.03.2021 Staatsminister Hubert Aiwanger fordert, dass Kommunen am Betrieb von PV-Freiflächenanlagen (PV = Photovoltaik) finanziell beteiligt werden sollen, eine solche finanzielle Beteiligung von Kommunen beim Betrieb von Windenergieanlagen seit Inkrafttreten des Erneuerbaren-Energien-Gesetzes (EEG) 2021 bereits möglich ist und dazu beitragen soll die Akzeptanz für den Bau von Windenergieanlagen zu steigern, frage ich die Staatsregierung, warum wurde von Seiten der Staatsregierung nicht bereits im Zuge der Verhandlungen zum EEG 2021 über einen Änderungsantrag im Bundesrat vor der Verabschiedung des Gesetzes am 19.12.2020 der Vorschlag eingebracht, Kommunen finanziell am Betrieb von PV-Freiflächenanlagen zu beteiligen? </w:t>
            </w:r>
          </w:p>
        </w:tc>
        <w:tc>
          <w:tcPr>
            <w:tcW w:w="5762" w:type="dxa"/>
          </w:tcPr>
          <w:p w:rsidR="00C53CDF" w:rsidRDefault="00C53CDF" w:rsidP="00C53CDF">
            <w:pPr>
              <w:pStyle w:val="LTAnfrageText"/>
            </w:pPr>
          </w:p>
        </w:tc>
      </w:tr>
    </w:tbl>
    <w:p w:rsidR="007E0861" w:rsidRDefault="007E0861" w:rsidP="007E0861">
      <w:pPr>
        <w:pStyle w:val="LTUeberschrAntwortRessort"/>
      </w:pPr>
      <w:r>
        <w:t>Antwort des Staatsministeriums für Wirtschaft, Landesentwicklung und Energie</w:t>
      </w:r>
    </w:p>
    <w:p w:rsidR="007E0861" w:rsidRDefault="007E0861" w:rsidP="007E0861">
      <w:pPr>
        <w:pStyle w:val="LTAntwortRessortText"/>
      </w:pPr>
      <w:r>
        <w:t>Mit der von Bayern lange geforderten finanziellen Beteiligung der Kommunen an Windenergieanlagen im EEG 2021 wurde ein Meilenstei</w:t>
      </w:r>
      <w:r w:rsidR="00273798">
        <w:t>n für mehr Akzeptanz für den Be</w:t>
      </w:r>
      <w:r>
        <w:t>reich der Windenergie erreicht.</w:t>
      </w:r>
    </w:p>
    <w:p w:rsidR="007E0861" w:rsidRDefault="007E0861" w:rsidP="007E0861">
      <w:pPr>
        <w:pStyle w:val="LTAntwortRessortText"/>
      </w:pPr>
      <w:r>
        <w:t>Aber nicht nur Windenergieanlagen, auch Photovoltaik-Freiflächenanlagen greifen in das Landschaftsbild ein und stoßen deswegen insbesondere bei größeren Anlagen vermehrt auf Vorbehalte der Bevölkerung vor Ort. Um ähnliche Probleme wie bei der Windenergie zu verhindern, sollten bereits frühze</w:t>
      </w:r>
      <w:r w:rsidR="00273798">
        <w:t>itig akzeptanzsteigernde Maßnah</w:t>
      </w:r>
      <w:r>
        <w:t>men ergriffen werden.</w:t>
      </w:r>
    </w:p>
    <w:p w:rsidR="007E0861" w:rsidRDefault="007E0861" w:rsidP="007E0861">
      <w:pPr>
        <w:pStyle w:val="LTAntwortRessortText"/>
      </w:pPr>
      <w:r>
        <w:t>Insbesondere sind auch PV-Freiflächenanlagen auf die Unterstützung der Gemeinden angewiesen, da sie im Außenbereich in der Regel n</w:t>
      </w:r>
      <w:r w:rsidR="00273798">
        <w:t>ur im Geltungsbereich eines Beb</w:t>
      </w:r>
      <w:r>
        <w:t>auungsplans errichtet werden dürfen.</w:t>
      </w:r>
    </w:p>
    <w:p w:rsidR="007E0861" w:rsidRDefault="007E0861" w:rsidP="00713B02">
      <w:pPr>
        <w:pStyle w:val="LTAntwortRessortText"/>
        <w:spacing w:before="0"/>
      </w:pPr>
      <w:r>
        <w:t>Mit § 95 Nr. 3 EEG 2021 wurde im EEG 2021 jetzt</w:t>
      </w:r>
      <w:r w:rsidR="00273798">
        <w:t xml:space="preserve"> eine Ermächtigung der Bundesre</w:t>
      </w:r>
      <w:r>
        <w:t>gierung geschaffen, mittels Verordnung eine finanzielle Beteiligung der Kommunen bei</w:t>
      </w:r>
      <w:r w:rsidR="00734E22">
        <w:t xml:space="preserve"> </w:t>
      </w:r>
      <w:r>
        <w:t>anderen erneuerbaren Energien als Windenergieanl</w:t>
      </w:r>
      <w:r w:rsidR="00362B50">
        <w:t>agen an Land –</w:t>
      </w:r>
      <w:r w:rsidR="00273798">
        <w:t xml:space="preserve"> also auch bei So</w:t>
      </w:r>
      <w:r w:rsidR="00362B50">
        <w:t>laranlagen –</w:t>
      </w:r>
      <w:r>
        <w:t xml:space="preserve"> zu ermöglichen.</w:t>
      </w:r>
    </w:p>
    <w:p w:rsidR="007E0861" w:rsidRDefault="007E0861" w:rsidP="007E0861">
      <w:pPr>
        <w:pStyle w:val="LTAntwortRessortText"/>
      </w:pPr>
      <w:r>
        <w:t>Diese Änderung wurde vom Bundestag kurz vor Verabschiedung des EEG 2021 über einen Änderungsantrag eingebracht. Damit wird letztlich der Ged</w:t>
      </w:r>
      <w:r w:rsidR="003830E9">
        <w:t>anke der Akzeptanz</w:t>
      </w:r>
      <w:r>
        <w:t>steigerung analog zur Windenergie aufgegriffen, der nicht zuletzt durch Bayern in die EEG-Thematik eingebracht worden ist.</w:t>
      </w:r>
    </w:p>
    <w:p w:rsidR="007E0861" w:rsidRDefault="007E0861" w:rsidP="007E0861">
      <w:pPr>
        <w:pStyle w:val="LTAntwortRessortText"/>
      </w:pPr>
      <w:r>
        <w:t>Deshalb ist es nun wichtig, hierauf aufzusetzen und den nächsten Schritt rechtzeitig zu gehen, um proaktiv die Akzeptanz der Bevölkerung</w:t>
      </w:r>
      <w:r w:rsidR="00273798">
        <w:t xml:space="preserve"> vor Ort für die PV-Freiflächen</w:t>
      </w:r>
      <w:r>
        <w:t>anlagen aufrechtzuerhalten.</w:t>
      </w:r>
    </w:p>
    <w:p w:rsidR="007E0861" w:rsidRDefault="007E0861">
      <w:bookmarkStart w:id="63" w:name="Frage_Nr_31_Ende"/>
      <w:bookmarkEnd w:id="63"/>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EE5DC7" w:rsidTr="00EE5DC7">
        <w:tc>
          <w:tcPr>
            <w:tcW w:w="1854" w:type="dxa"/>
          </w:tcPr>
          <w:p w:rsidR="00EE5DC7" w:rsidRDefault="00EE5DC7" w:rsidP="00EE5DC7">
            <w:pPr>
              <w:pStyle w:val="LTAnfrageInitiator"/>
            </w:pPr>
            <w:r>
              <w:lastRenderedPageBreak/>
              <w:t>Abgeordnete</w:t>
            </w:r>
            <w:r>
              <w:rPr>
                <w:b/>
              </w:rPr>
              <w:br/>
              <w:t>Ruth</w:t>
            </w:r>
            <w:r>
              <w:rPr>
                <w:b/>
              </w:rPr>
              <w:br/>
              <w:t>Müller</w:t>
            </w:r>
            <w:r>
              <w:rPr>
                <w:b/>
              </w:rPr>
              <w:br/>
            </w:r>
            <w:r>
              <w:t>(SPD)</w:t>
            </w:r>
            <w:bookmarkStart w:id="64" w:name="Frage_Nr_32"/>
            <w:bookmarkEnd w:id="64"/>
          </w:p>
        </w:tc>
        <w:tc>
          <w:tcPr>
            <w:tcW w:w="5762" w:type="dxa"/>
          </w:tcPr>
          <w:p w:rsidR="00EE5DC7" w:rsidRPr="00B72724" w:rsidRDefault="00EE5DC7" w:rsidP="00B72724">
            <w:pPr>
              <w:pStyle w:val="LTAnfrageText"/>
            </w:pPr>
            <w:r w:rsidRPr="00B72724">
              <w:t>Da die bayerische Fahrgastschifffahrt mindestens acht Tage Vorlaufzeit braucht, um den Betrieb aufzunehmen und eine mögliche Eröffnungsstrategie umzusetzen, frage ich die Staatsregierung, welche Wiedereröffnungsperspektive sie den Betreibern der Personenschifffahrt unter Berücksichtigung der existierenden Hygienekonzepte unterbreitet (zu Saisonbeginn: keine gastronomischen Angebote, Maskenpflicht auch während der Fahrt, keine Stehplätze sowie Vorgaben analog zum Hygienekonzept 2020 unter Einbeziehung existierender Par</w:t>
            </w:r>
            <w:r w:rsidR="003830E9">
              <w:t>kplatzkonzepte, Online-Buchungs</w:t>
            </w:r>
            <w:r w:rsidRPr="00B72724">
              <w:t>portale und Reservierungssysteme sowie ab dem Zeitpunkt der Gastronomieöffnungen analog geltende Vorschriften)? </w:t>
            </w:r>
          </w:p>
        </w:tc>
        <w:tc>
          <w:tcPr>
            <w:tcW w:w="5762" w:type="dxa"/>
          </w:tcPr>
          <w:p w:rsidR="00EE5DC7" w:rsidRDefault="00EE5DC7" w:rsidP="00EE5DC7">
            <w:pPr>
              <w:pStyle w:val="LTAnfrageText"/>
            </w:pPr>
          </w:p>
        </w:tc>
      </w:tr>
    </w:tbl>
    <w:p w:rsidR="007E0861" w:rsidRDefault="007E0861" w:rsidP="007E0861">
      <w:pPr>
        <w:pStyle w:val="LTUeberschrAntwortRessort"/>
      </w:pPr>
      <w:r>
        <w:t>Antwort des Staatsministeriums für Wirtschaft, Landesentwicklung und Energie</w:t>
      </w:r>
    </w:p>
    <w:p w:rsidR="007E0861" w:rsidRDefault="007E0861" w:rsidP="007E0861">
      <w:pPr>
        <w:pStyle w:val="LTAntwortRessortText"/>
      </w:pPr>
      <w:r>
        <w:t xml:space="preserve">Gemäß §11 </w:t>
      </w:r>
      <w:r w:rsidR="00362B50">
        <w:t>Abs. 4</w:t>
      </w:r>
      <w:r>
        <w:t xml:space="preserve"> der geltenden </w:t>
      </w:r>
      <w:r w:rsidR="00362B50">
        <w:t>Zwölfte</w:t>
      </w:r>
      <w:r w:rsidR="003830E9">
        <w:t>n</w:t>
      </w:r>
      <w:r w:rsidR="00362B50">
        <w:t xml:space="preserve"> Bayerische</w:t>
      </w:r>
      <w:r w:rsidR="003830E9">
        <w:t>n</w:t>
      </w:r>
      <w:r w:rsidR="00362B50">
        <w:t xml:space="preserve"> Infektionsschutzmaßnahmenverordnung (</w:t>
      </w:r>
      <w:r>
        <w:t>12. BayIfSMV</w:t>
      </w:r>
      <w:r w:rsidR="00362B50">
        <w:t>)</w:t>
      </w:r>
      <w:r>
        <w:t xml:space="preserve"> ist die Fl</w:t>
      </w:r>
      <w:r w:rsidR="00273798">
        <w:t>uss- und Seenschifffahrt im Aus</w:t>
      </w:r>
      <w:r>
        <w:t>flugsverkehr derzeit bis einschließlich 28. März 202</w:t>
      </w:r>
      <w:r w:rsidR="00273798">
        <w:t>1 untersagt. Die Personenschiff</w:t>
      </w:r>
      <w:r>
        <w:t>fahrt im Linienverkehr ist dagegen gegenwärtig - anders als Personenschi</w:t>
      </w:r>
      <w:r w:rsidR="00362B50">
        <w:t>fffahrt im Gelegenheitsverkehr –</w:t>
      </w:r>
      <w:r>
        <w:t xml:space="preserve"> analog § 8 der 12. BaylfSMV zulässig.</w:t>
      </w:r>
    </w:p>
    <w:p w:rsidR="007E0861" w:rsidRDefault="007E0861" w:rsidP="007E0861">
      <w:pPr>
        <w:pStyle w:val="LTAntwortRessortText"/>
      </w:pPr>
      <w:r>
        <w:t>Im Hinblick auf mögliche Öffnungsszenarien für Freizeiteinrichtungen und auch die Fahrgastschifffahrt im Ausflugsverkehr bleibt das Treffen der Ministerpräsidentinnen und Ministerpräsidenten mit Frau Bundeskan</w:t>
      </w:r>
      <w:r w:rsidR="00362B50">
        <w:t>zlerin Dr. Angela Merkel am 22. </w:t>
      </w:r>
      <w:r>
        <w:t>März 2021 abzuwarten.</w:t>
      </w:r>
    </w:p>
    <w:p w:rsidR="007E0861" w:rsidRDefault="007E0861" w:rsidP="007E0861">
      <w:pPr>
        <w:pStyle w:val="LTAntwortRessortText"/>
      </w:pPr>
      <w:r>
        <w:t>Im Falle einer Wiederaufnahme ihrer Tätigkeiten i</w:t>
      </w:r>
      <w:r w:rsidR="002B6C1B">
        <w:t>n Abhängigkeit vom Infektionsge</w:t>
      </w:r>
      <w:r>
        <w:t>schehen müssen sich Anbieter touristischer Ver</w:t>
      </w:r>
      <w:r w:rsidR="002B6C1B">
        <w:t>kehre an den Handlungsempfehlun</w:t>
      </w:r>
      <w:r>
        <w:t xml:space="preserve">gen des Rahmenhygienekonzepts Touristische Dienstleister, das gemeinsam von den Staatsministerien für Gesundheit und Pflege, </w:t>
      </w:r>
      <w:r w:rsidR="00362B50">
        <w:t xml:space="preserve">Staatsministerium für </w:t>
      </w:r>
      <w:r>
        <w:t>Wirtsch</w:t>
      </w:r>
      <w:r w:rsidR="002B6C1B">
        <w:t>aft, Landesentwicklung und Ener</w:t>
      </w:r>
      <w:r>
        <w:t>gie und für Wohnen, Bau und Verkehr bekannt gemacht wird, orientieren.</w:t>
      </w:r>
    </w:p>
    <w:p w:rsidR="007E0861" w:rsidRDefault="007E0861">
      <w:bookmarkStart w:id="65" w:name="Frage_Nr_32_Ende"/>
      <w:bookmarkEnd w:id="65"/>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EE5DC7" w:rsidTr="00EE5DC7">
        <w:tc>
          <w:tcPr>
            <w:tcW w:w="1840" w:type="dxa"/>
          </w:tcPr>
          <w:p w:rsidR="00EE5DC7" w:rsidRDefault="00EE5DC7" w:rsidP="00EE5DC7">
            <w:pPr>
              <w:pStyle w:val="LTAnfrageInitiator"/>
            </w:pPr>
            <w:r>
              <w:lastRenderedPageBreak/>
              <w:t>Abgeordneter</w:t>
            </w:r>
            <w:r>
              <w:rPr>
                <w:b/>
              </w:rPr>
              <w:br/>
              <w:t>Ulrich</w:t>
            </w:r>
            <w:r>
              <w:rPr>
                <w:b/>
              </w:rPr>
              <w:br/>
              <w:t>Singer</w:t>
            </w:r>
            <w:r>
              <w:rPr>
                <w:b/>
              </w:rPr>
              <w:br/>
            </w:r>
            <w:r>
              <w:t>(AfD)</w:t>
            </w:r>
            <w:bookmarkStart w:id="66" w:name="Frage_Nr_33"/>
            <w:bookmarkEnd w:id="66"/>
          </w:p>
        </w:tc>
        <w:tc>
          <w:tcPr>
            <w:tcW w:w="5776" w:type="dxa"/>
          </w:tcPr>
          <w:p w:rsidR="00EE5DC7" w:rsidRPr="00B72724" w:rsidRDefault="00EE5DC7" w:rsidP="00B72724">
            <w:pPr>
              <w:pStyle w:val="LTAnfrageText"/>
            </w:pPr>
            <w:r w:rsidRPr="00B72724">
              <w:t>Ich frage die Staatsregierung, wie wirken sich die Grenzschließungen im Zuge der Corona-Maßnahmen auf die Versorgungssicherheit in Bayern aus, ist zu befürchten, dass es zu einem Versorgungsengpass von Lebensmitteln und sonstigen Gütern des täglichen Bedarfs in Bayern kommt und wie kann trotz der Grenzschließungen die Versorgung mit Lebensmitteln und sonstigen Gütern des täglichen Bedarfs in Bayern garantiert werden?</w:t>
            </w:r>
          </w:p>
        </w:tc>
        <w:tc>
          <w:tcPr>
            <w:tcW w:w="5776" w:type="dxa"/>
          </w:tcPr>
          <w:p w:rsidR="00EE5DC7" w:rsidRDefault="00EE5DC7" w:rsidP="00EE5DC7">
            <w:pPr>
              <w:pStyle w:val="LTAnfrageText"/>
            </w:pPr>
          </w:p>
        </w:tc>
      </w:tr>
    </w:tbl>
    <w:p w:rsidR="007E0861" w:rsidRDefault="007E0861" w:rsidP="007E0861">
      <w:pPr>
        <w:pStyle w:val="LTUeberschrAntwortRessort"/>
      </w:pPr>
      <w:r>
        <w:t>Antwort des Staatsministeriums für Wirtschaft, Landesentwicklung und Energie</w:t>
      </w:r>
    </w:p>
    <w:p w:rsidR="007E0861" w:rsidRDefault="007E0861" w:rsidP="007E0861">
      <w:pPr>
        <w:pStyle w:val="LTAntwortRessortText"/>
      </w:pPr>
      <w:r>
        <w:t>Die Staatsregierung steht in regelmäßigem Kontakt mit dem bayerischen Handelsverband und mit den großen, in Bayern tätigen Lebensmitteleinzelhändlern. Eine wesentliche Beeinträchtigung der Lebensmittelversorgung und der Versorgung mit sonstigen Gütern des täglichen Bedarfs ist, trotz der eingeführten Grenzkontrollen, derzeit nicht erkennbar und wird auch nicht erwartet.</w:t>
      </w:r>
    </w:p>
    <w:p w:rsidR="007E0861" w:rsidRDefault="007E0861">
      <w:bookmarkStart w:id="67" w:name="Frage_Nr_33_Ende"/>
      <w:bookmarkEnd w:id="67"/>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E5DC7" w:rsidTr="00EE5DC7">
        <w:tc>
          <w:tcPr>
            <w:tcW w:w="1883" w:type="dxa"/>
          </w:tcPr>
          <w:p w:rsidR="00EE5DC7" w:rsidRDefault="00EE5DC7" w:rsidP="00EE5DC7">
            <w:pPr>
              <w:pStyle w:val="LTAnfrageInitiator"/>
            </w:pPr>
            <w:r>
              <w:lastRenderedPageBreak/>
              <w:t>Abgeordneter</w:t>
            </w:r>
            <w:r>
              <w:rPr>
                <w:b/>
              </w:rPr>
              <w:br/>
              <w:t>Martin</w:t>
            </w:r>
            <w:r>
              <w:rPr>
                <w:b/>
              </w:rPr>
              <w:br/>
              <w:t>Stümpfig</w:t>
            </w:r>
            <w:r>
              <w:rPr>
                <w:b/>
              </w:rPr>
              <w:br/>
            </w:r>
            <w:r>
              <w:t>(BÜNDNIS 90/DIE GRÜNEN)</w:t>
            </w:r>
            <w:bookmarkStart w:id="68" w:name="Frage_Nr_34"/>
            <w:bookmarkEnd w:id="68"/>
          </w:p>
        </w:tc>
        <w:tc>
          <w:tcPr>
            <w:tcW w:w="5733" w:type="dxa"/>
          </w:tcPr>
          <w:p w:rsidR="00EE5DC7" w:rsidRPr="00B72724" w:rsidRDefault="00EE5DC7" w:rsidP="00B72724">
            <w:pPr>
              <w:pStyle w:val="LTAnfrageText"/>
            </w:pPr>
            <w:r w:rsidRPr="00B72724">
              <w:t>Ich frage die Staatsregierung, in welcher Höhe sind Förderungen für Fernwärme-Verbundleitungen im Haushalt 2021 im Rahmen des Masterplans Geothermie eing</w:t>
            </w:r>
            <w:r w:rsidR="002B6C1B">
              <w:t>eplant, ist eine Fündigkeitsver</w:t>
            </w:r>
            <w:r w:rsidRPr="00B72724">
              <w:t>sicherung für Geothermiebohrungen im Masterplan vorgesehen und wie hoch waren die durchschnittlichen Einnahmen pro laufender Meter von Geothermie-Fernwärmeleitungen bei den bayrischen Staatsforsten in den letzten zehn Jahren?</w:t>
            </w:r>
          </w:p>
        </w:tc>
        <w:tc>
          <w:tcPr>
            <w:tcW w:w="5733" w:type="dxa"/>
          </w:tcPr>
          <w:p w:rsidR="00EE5DC7" w:rsidRDefault="00EE5DC7" w:rsidP="00EE5DC7">
            <w:pPr>
              <w:pStyle w:val="LTAnfrageText"/>
            </w:pPr>
          </w:p>
        </w:tc>
      </w:tr>
    </w:tbl>
    <w:p w:rsidR="007E0861" w:rsidRDefault="007E0861" w:rsidP="007E0861">
      <w:pPr>
        <w:pStyle w:val="LTUeberschrAntwortRessort"/>
      </w:pPr>
      <w:r>
        <w:t>Antwort des Staatsministeriums für Wirtschaft, Landesentwicklung und Energie</w:t>
      </w:r>
    </w:p>
    <w:p w:rsidR="007E0861" w:rsidRDefault="007E0861" w:rsidP="007E0861">
      <w:pPr>
        <w:pStyle w:val="LTAntwortRessortText"/>
      </w:pPr>
      <w:r>
        <w:t>Für die Umsetzung des Masterplans Geothermie sind im Haushaltsentwurf für 2021 Haushaltsmittel i.</w:t>
      </w:r>
      <w:r w:rsidR="00362B50">
        <w:t> </w:t>
      </w:r>
      <w:r>
        <w:t>H.</w:t>
      </w:r>
      <w:r w:rsidR="00362B50">
        <w:t> </w:t>
      </w:r>
      <w:r>
        <w:t xml:space="preserve">v. 2,5 Mio. </w:t>
      </w:r>
      <w:r w:rsidR="00102307">
        <w:t>Euro</w:t>
      </w:r>
      <w:r>
        <w:t xml:space="preserve"> sowie Verpflichtungsermächtigungen i.</w:t>
      </w:r>
      <w:r w:rsidR="00362B50">
        <w:t> </w:t>
      </w:r>
      <w:r>
        <w:t>H.</w:t>
      </w:r>
      <w:r w:rsidR="00362B50">
        <w:t> </w:t>
      </w:r>
      <w:r>
        <w:t xml:space="preserve">v. 2,5 Mio. </w:t>
      </w:r>
      <w:r w:rsidR="00102307">
        <w:t>Euro</w:t>
      </w:r>
      <w:r>
        <w:t xml:space="preserve"> eingestellt.</w:t>
      </w:r>
    </w:p>
    <w:p w:rsidR="007E0861" w:rsidRDefault="007E0861" w:rsidP="00693C55">
      <w:pPr>
        <w:pStyle w:val="LTAntwortRessortText"/>
        <w:spacing w:before="0"/>
      </w:pPr>
      <w:r>
        <w:t>Eine Fündigkeitsversicherung für Geothermiebohrungen ist im Masterplan Geothermie nicht vorgesehen. Sowohl für Wärme- als auch für Stromprojekte gibt es Angebote der privaten Versicherungswirtschaft, die durch eine staatliche Fündigkeitsversicherung keine Chance am Markt hätten. In der Vergangenheit gab es in Bayern zum Teil auch nicht fündige Projekte, die zu Versicherungsfällen mit hohen Ausfallzahlungen führten. Aufgrund der zum Teil sehr hohen Fündigkeitsrisik</w:t>
      </w:r>
      <w:r w:rsidR="002B6C1B">
        <w:t>en von Bohrprojekten und dem da</w:t>
      </w:r>
      <w:r>
        <w:t>mit verbundenen Ausfallrisiko ist eine staatliche Fündigkeitsversicherung auch aus haushaltsrechtlichen Gründen nicht opportun.</w:t>
      </w:r>
    </w:p>
    <w:p w:rsidR="007E0861" w:rsidRDefault="007E0861" w:rsidP="00693C55">
      <w:pPr>
        <w:pStyle w:val="LTAntwortRessortText"/>
        <w:spacing w:before="0"/>
      </w:pPr>
      <w:r>
        <w:t>Wie hoch die durchschnittlichen Einnahmen pro laufender Meter von Geothermie-Fernwärmeleitungen bei den Bayerischen Staatsforste</w:t>
      </w:r>
      <w:r w:rsidR="00362B50">
        <w:t>n (BaySF) in den letzten zehn</w:t>
      </w:r>
      <w:r w:rsidR="002B6C1B">
        <w:t xml:space="preserve"> Jah</w:t>
      </w:r>
      <w:r>
        <w:t>ren waren, bedarf einer eingehenden Prüfung und kann durch die BaySF auch auf Bitten der Staatsregierung in so kurzer Zeit nicht ausgewertet werden. Marktübliche Entgelte für Leitungsrechte liegen in Abhängigkeit</w:t>
      </w:r>
      <w:r w:rsidR="002B6C1B">
        <w:t xml:space="preserve"> der jeweilig betroffenen Grund</w:t>
      </w:r>
      <w:r>
        <w:t>stückswerte in der Größenordnung von 0,25 bis 5 E</w:t>
      </w:r>
      <w:r w:rsidR="002B6C1B">
        <w:t>uro pro Quadratmeter (nicht lau</w:t>
      </w:r>
      <w:r>
        <w:t>fender Meter).</w:t>
      </w:r>
    </w:p>
    <w:p w:rsidR="007E0861" w:rsidRDefault="007E0861">
      <w:bookmarkStart w:id="69" w:name="Frage_Nr_34_Ende"/>
      <w:bookmarkEnd w:id="69"/>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767D17" w:rsidTr="00767D17">
        <w:tc>
          <w:tcPr>
            <w:tcW w:w="1852" w:type="dxa"/>
          </w:tcPr>
          <w:p w:rsidR="00767D17" w:rsidRDefault="00767D17" w:rsidP="00767D17">
            <w:pPr>
              <w:pStyle w:val="LTAnfrageInitiator"/>
            </w:pPr>
            <w:r>
              <w:lastRenderedPageBreak/>
              <w:t>Abgeordneter</w:t>
            </w:r>
            <w:r>
              <w:rPr>
                <w:b/>
              </w:rPr>
              <w:br/>
              <w:t>Andreas</w:t>
            </w:r>
            <w:r>
              <w:rPr>
                <w:b/>
              </w:rPr>
              <w:br/>
              <w:t>Winhart</w:t>
            </w:r>
            <w:r>
              <w:rPr>
                <w:b/>
              </w:rPr>
              <w:br/>
            </w:r>
            <w:r>
              <w:t>(AfD)</w:t>
            </w:r>
            <w:bookmarkStart w:id="70" w:name="Frage_Nr_35"/>
            <w:bookmarkEnd w:id="70"/>
          </w:p>
        </w:tc>
        <w:tc>
          <w:tcPr>
            <w:tcW w:w="5764" w:type="dxa"/>
          </w:tcPr>
          <w:p w:rsidR="00767D17" w:rsidRPr="00B72724" w:rsidRDefault="00767D17" w:rsidP="00B72724">
            <w:pPr>
              <w:pStyle w:val="LTAnfrageText"/>
            </w:pPr>
            <w:r w:rsidRPr="00B72724">
              <w:t>Ich frage die Staatsregierung, wie hoch war die Förderung des Maskenverbundes Bayern durch die Staatsregierung, werden alle Bestandteile für Masken des Maskenverbundes Bayern in Bayern hergestellt (bitte genau auflisten) und wo werden die Masken des Maskenverbundes Bayern vertrieben (bitte genau auflisten)?</w:t>
            </w:r>
          </w:p>
        </w:tc>
        <w:tc>
          <w:tcPr>
            <w:tcW w:w="5764" w:type="dxa"/>
          </w:tcPr>
          <w:p w:rsidR="00767D17" w:rsidRDefault="00767D17" w:rsidP="00767D17">
            <w:pPr>
              <w:pStyle w:val="LTAnfrageText"/>
            </w:pPr>
          </w:p>
        </w:tc>
      </w:tr>
    </w:tbl>
    <w:p w:rsidR="007E0861" w:rsidRDefault="007E0861" w:rsidP="007E0861">
      <w:pPr>
        <w:pStyle w:val="LTUeberschrAntwortRessort"/>
      </w:pPr>
      <w:r>
        <w:t>Antwort des Staatsministeriums für Wirtschaft, Landesentwicklung und Energie</w:t>
      </w:r>
    </w:p>
    <w:p w:rsidR="007E0861" w:rsidRDefault="007E0861" w:rsidP="003830E9">
      <w:pPr>
        <w:pStyle w:val="LTAntwortRessortText"/>
      </w:pPr>
      <w:r>
        <w:t>Das Verbundforschungsvorhaben befindet sich aktuell in der Antragsphase. Geplant ist ein Verbund von sechs Partnern aus Wirtschaft und Wissenschaft. Bisher sind erst drei Teilanträge auf Unterstützung in Forschung und Entwicklung eingegangenen. Der Projektträger steht in ständigem Austausch mit den Petenten.</w:t>
      </w:r>
    </w:p>
    <w:p w:rsidR="007E0861" w:rsidRDefault="007E0861" w:rsidP="003830E9">
      <w:pPr>
        <w:pStyle w:val="LTAntwortRessortText"/>
      </w:pPr>
      <w:r>
        <w:t>Es liegen keine Angaben zu den Bestandteilen und ihr</w:t>
      </w:r>
      <w:r w:rsidR="002B6C1B">
        <w:t>em Herstellungsort vor. Die Aus</w:t>
      </w:r>
      <w:r>
        <w:t>gestaltung der jeweiligen Lieferbeziehung obliegt den Wirtschaftsakteuren, geschützt durch das Geschäftsgeheimnis.</w:t>
      </w:r>
    </w:p>
    <w:p w:rsidR="007E0861" w:rsidRDefault="007E0861" w:rsidP="003830E9">
      <w:pPr>
        <w:pStyle w:val="LTAntwortRessortText"/>
      </w:pPr>
      <w:r>
        <w:t>Bekannt ist, dass ein Teil in Bayern vertrieben wird. Eine Gesamtübersicht zu allen Vertriebskanälen liegt nicht vor. Vertriebsaktivitäten obliegen den Wirtschaftsakteuren selbst und unterliegen der unternehmerischen Geheimhaltung</w:t>
      </w:r>
      <w:r w:rsidR="003830E9">
        <w:t>.</w:t>
      </w:r>
    </w:p>
    <w:p w:rsidR="007E0861" w:rsidRDefault="007E0861">
      <w:bookmarkStart w:id="71" w:name="Frage_Nr_35_Ende"/>
      <w:bookmarkEnd w:id="71"/>
      <w:r>
        <w:br w:type="page"/>
      </w:r>
    </w:p>
    <w:p w:rsidR="007E0861" w:rsidRDefault="007E0861" w:rsidP="007E0861">
      <w:pPr>
        <w:pStyle w:val="LTUeberschrRessort"/>
      </w:pPr>
      <w:r>
        <w:lastRenderedPageBreak/>
        <w:t>Geschäftsbereich des Staatsministeriums für Umwelt und Verbraucherschutz</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67D17" w:rsidTr="00767D17">
        <w:tc>
          <w:tcPr>
            <w:tcW w:w="1854" w:type="dxa"/>
          </w:tcPr>
          <w:p w:rsidR="00767D17" w:rsidRDefault="00767D17" w:rsidP="00767D17">
            <w:pPr>
              <w:pStyle w:val="LTAnfrageInitiator"/>
            </w:pPr>
            <w:r>
              <w:t>Abgeordnete</w:t>
            </w:r>
            <w:r>
              <w:rPr>
                <w:b/>
              </w:rPr>
              <w:br/>
              <w:t>Inge</w:t>
            </w:r>
            <w:r>
              <w:rPr>
                <w:b/>
              </w:rPr>
              <w:br/>
              <w:t>Aures</w:t>
            </w:r>
            <w:r>
              <w:rPr>
                <w:b/>
              </w:rPr>
              <w:br/>
            </w:r>
            <w:r>
              <w:t>(SPD)</w:t>
            </w:r>
            <w:bookmarkStart w:id="72" w:name="Frage_Nr_36"/>
            <w:bookmarkEnd w:id="72"/>
          </w:p>
        </w:tc>
        <w:tc>
          <w:tcPr>
            <w:tcW w:w="5762" w:type="dxa"/>
          </w:tcPr>
          <w:p w:rsidR="00767D17" w:rsidRPr="00B72724" w:rsidRDefault="00767D17" w:rsidP="00B72724">
            <w:pPr>
              <w:pStyle w:val="LTAnfrageText"/>
            </w:pPr>
            <w:r w:rsidRPr="00B72724">
              <w:t>Vor dem Hintergrund der Berichterstattung zur geplanten Erweiterung des Wasserschutzgebietes „Zeller Quellen“ bei Würzburg, frage ich die Staatsregierung, was die Gründe sind, aus denen ein solches Erweiterungsverfahren bisher unterblieben ist und erst jetzt auf den Weg gebracht werden soll, bis wann nach Auffassung der Staatsregierung das Verfahren Erlass der neuen Schutzgebietsverordnung abgeschlossen sein sollte und welche Instrumente die Staatsregierung aktuell und perspektivisch für richtig und angemessen hält, um einen gerechten Ausgleich für die mit der Ausweisung verbundenen Einschränkungen für Kommunen, Landwirtschaft und private Eigentümer zu gewährleisten?</w:t>
            </w:r>
          </w:p>
        </w:tc>
        <w:tc>
          <w:tcPr>
            <w:tcW w:w="5762" w:type="dxa"/>
          </w:tcPr>
          <w:p w:rsidR="00767D17" w:rsidRDefault="00767D17" w:rsidP="00767D17">
            <w:pPr>
              <w:pStyle w:val="LTAnfrageText"/>
            </w:pPr>
          </w:p>
        </w:tc>
      </w:tr>
    </w:tbl>
    <w:p w:rsidR="007E0861" w:rsidRDefault="007E0861" w:rsidP="007E0861">
      <w:pPr>
        <w:pStyle w:val="LTUeberschrAntwortRessort"/>
      </w:pPr>
      <w:r>
        <w:t>Antwort des Staatsministeriums für Umwelt und Verbraucherschutz</w:t>
      </w:r>
    </w:p>
    <w:p w:rsidR="007E0861" w:rsidRDefault="007E0861" w:rsidP="007E0861">
      <w:pPr>
        <w:pStyle w:val="LTAntwortRessortText"/>
      </w:pPr>
      <w:r>
        <w:t>Das bestehende Wasserschutzgebiet (WSG) wurde 1978 festgesetzt. Bereits 1992 wurde deutlich, dass das WSG aus fachlicher Sicht zu überprüfen war. Ab 1996 wurden zahlreiche hydrogeologische Gutachten mit Untersuchungen an rund 400 Messstellen vom Wasserversorger in Auftrag gegeben. Weitere Detailgutachten folgten. Seit 2019 sind die Grenzen des unterirdischen Wassereinzugsgebietes hydrogeologisch nun hinreichend bekannt.</w:t>
      </w:r>
    </w:p>
    <w:p w:rsidR="007E0861" w:rsidRDefault="007E0861" w:rsidP="007E0861">
      <w:pPr>
        <w:pStyle w:val="LTAntwortRessortText"/>
      </w:pPr>
      <w:r>
        <w:t xml:space="preserve">Das vorgesehene Wasserschutzgebiet der </w:t>
      </w:r>
      <w:r w:rsidR="00102307">
        <w:t>„</w:t>
      </w:r>
      <w:r>
        <w:t>Zeller Quellen</w:t>
      </w:r>
      <w:r w:rsidR="00102307">
        <w:t>“</w:t>
      </w:r>
      <w:r>
        <w:t xml:space="preserve"> umfasst ein sehr großes Areal (ca. 66 km²) mit komplexen hydrogeologischen Verhältnissen und unterschiedlichsten anthropogenen Nutzungen.</w:t>
      </w:r>
    </w:p>
    <w:p w:rsidR="007E0861" w:rsidRDefault="007E0861" w:rsidP="007E0861">
      <w:pPr>
        <w:pStyle w:val="LTAntwortRessortText"/>
      </w:pPr>
      <w:r>
        <w:t>Im Rahmen der Erstellung der Verfahrensunterlagen wurden unter anderem alle existierenden und demnächst zu erwartenden Nutzungen und Betroffenheiten zeitaufwendig erfasst und bewertet. Im Hinblick auf ein rechts</w:t>
      </w:r>
      <w:r w:rsidR="003830E9">
        <w:t>s</w:t>
      </w:r>
      <w:r>
        <w:t>icheres Verfahren lässt sich dieser Prozess auch nicht signifikant beschleunigen. Die überarbeiteten aktuellen Antragsunterlagen für die Eröffnung des Verfahrens zur Ausweisung des WSG sollen d</w:t>
      </w:r>
      <w:r w:rsidR="003830E9">
        <w:t>emnächst eingereicht werden, so</w:t>
      </w:r>
      <w:r>
        <w:t>dass das Verfahren noch in 2021 eingeleitet werden kann. Bei einem Verfahren zur Ausweisung eines Wasserschutzgebiets handelt es sich um ein Verfahren mit Öffentlichkeitsbeteiligung, bei dem die entsprechenden Unterlagen öffentlich ausgelegt werden und die Betroffenen die Möglichkeit haben, ihre Einwendungen vorzubringen. Es ist Aufgabe des zuständigen Landratsamts als verfahrensführende Behörde sich mit diesen Einwendungen ergebnisoffen auseinanderzusetzen und alle maßgeblichen Entscheidungsgrundlagen zu sammeln, zu prüfen und zu bewerten.</w:t>
      </w:r>
    </w:p>
    <w:p w:rsidR="007E0861" w:rsidRDefault="007E0861" w:rsidP="007E0861">
      <w:pPr>
        <w:pStyle w:val="LTAntwortRessortText"/>
      </w:pPr>
      <w:r>
        <w:t>Da zum jetzigen Zeitpunkt nicht absehbar ist, wie viele Einwendungen in diesem Verfahren erhoben werden, kann zum jetzigen Zeitpunkt auch keine zeitliche Aussage zum Abschluss des Verfahrens getroffen werden.</w:t>
      </w:r>
    </w:p>
    <w:p w:rsidR="007E0861" w:rsidRDefault="007E0861" w:rsidP="007E0861">
      <w:pPr>
        <w:pStyle w:val="LTAntwortRessortText"/>
      </w:pPr>
      <w:r>
        <w:t xml:space="preserve">Grundsätzlich handelt es sich bei den Ge- und Verboten einer Wasserschutzgebietsverordnung um zulässige Inhalts- und Schrankenbestimmungen des Eigentums. Soweit möglich, werden unzumutbare Beschränkungen des Eigentums durch Befreiungsregelungen vermieden. Ist dies aus Gründen des Trinkwasserschutzes nicht möglich, so steht allen betroffenen Bürgern nach bestehender Rechtslage </w:t>
      </w:r>
      <w:r w:rsidR="002B6C1B">
        <w:br/>
      </w:r>
      <w:r>
        <w:lastRenderedPageBreak/>
        <w:t xml:space="preserve">(§ 52 Abs. 4 </w:t>
      </w:r>
      <w:r w:rsidR="00362B50">
        <w:t xml:space="preserve">Wasserhaushaltsgesetz – </w:t>
      </w:r>
      <w:r>
        <w:t>WHG) eine Entschädigung zu. Daneben bestehen auch Ausgleichsansprüche unterhalb der Unzumutbarkeitsschwelle für Einschränkungen der land- und forstwirtschaftlichen Bodennutzung sowie für Mehraufwendungen bei landwirtschaftlichen baulichen Anlagen (</w:t>
      </w:r>
      <w:r w:rsidR="00102307">
        <w:t>z. B.</w:t>
      </w:r>
      <w:r>
        <w:t xml:space="preserve"> zusätzliche Abdichtung/Leckerkennung bei Güllegruben oder Stallungen) nach § 52 Abs. 5 WHG und Art. 32 </w:t>
      </w:r>
      <w:r w:rsidR="00362B50">
        <w:t>Bayerisches Wassergesetz (</w:t>
      </w:r>
      <w:r>
        <w:t>BayWG</w:t>
      </w:r>
      <w:r w:rsidR="00362B50">
        <w:t>)</w:t>
      </w:r>
      <w:r>
        <w:t xml:space="preserve">. Diese Regelungen gewährleisten den durch Art. 14 Abs. 1 </w:t>
      </w:r>
      <w:r w:rsidR="00362B50">
        <w:t>Grundgesetz (</w:t>
      </w:r>
      <w:r>
        <w:t>GG</w:t>
      </w:r>
      <w:r w:rsidR="00362B50">
        <w:t>)</w:t>
      </w:r>
      <w:r>
        <w:t xml:space="preserve"> verfassungsrechtlich gebotenen Eigentumsschutz, indem sie die schutzwürdigen Interessen des Eigentümers und die Belange des Gemeinwohls in einen gerechten Ausgleich und ein ausgewogenes Verhältnis bringen.</w:t>
      </w:r>
    </w:p>
    <w:p w:rsidR="007E0861" w:rsidRDefault="007E0861">
      <w:bookmarkStart w:id="73" w:name="Frage_Nr_36_Ende"/>
      <w:bookmarkEnd w:id="73"/>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67D17" w:rsidTr="00767D17">
        <w:tc>
          <w:tcPr>
            <w:tcW w:w="1883" w:type="dxa"/>
          </w:tcPr>
          <w:p w:rsidR="00767D17" w:rsidRDefault="00767D17" w:rsidP="00767D17">
            <w:pPr>
              <w:pStyle w:val="LTAnfrageInitiator"/>
            </w:pPr>
            <w:r>
              <w:lastRenderedPageBreak/>
              <w:t>Abgeordneter</w:t>
            </w:r>
            <w:r>
              <w:rPr>
                <w:b/>
              </w:rPr>
              <w:br/>
              <w:t>Patrick</w:t>
            </w:r>
            <w:r>
              <w:rPr>
                <w:b/>
              </w:rPr>
              <w:br/>
              <w:t>Friedl</w:t>
            </w:r>
            <w:r>
              <w:rPr>
                <w:b/>
              </w:rPr>
              <w:br/>
            </w:r>
            <w:r>
              <w:t>(BÜNDNIS 90/DIE GRÜNEN)</w:t>
            </w:r>
            <w:bookmarkStart w:id="74" w:name="Frage_Nr_37"/>
            <w:bookmarkEnd w:id="74"/>
          </w:p>
        </w:tc>
        <w:tc>
          <w:tcPr>
            <w:tcW w:w="5733" w:type="dxa"/>
          </w:tcPr>
          <w:p w:rsidR="00767D17" w:rsidRPr="00B72724" w:rsidRDefault="00767D17" w:rsidP="00B72724">
            <w:pPr>
              <w:pStyle w:val="LTAnfrageText"/>
            </w:pPr>
            <w:r w:rsidRPr="00B72724">
              <w:t>Nachdem das Wasserschutzgebiet „Zeller Quellen“ bei Würzburg jetzt nach fast 30 Jahren Planung, nicht zuletzt geschuldet einer mangelnden Personalausstattung im zuständigen Wasserwirtschaftsamt, endlich voran kommen soll und anlässlich der Regierungserklärung des Staatsministers für Umwelt und Verbraucherschutz Thorsten Glauber vom 28.10.2020 „Wasserzukunft Bayern 2050 – Wasser neu denken“ in der er u. a. beim Thema „sauberes Wasser“ einen „Verantwortungspakt“ bei den 3 200 Wasserschutzgebieten bei derzeit zu langen „acht Jahre durchschnittliche Verfahrensdauer“ eine Beschleunigung angemahnt und in einem Appell alle Mandatsträgerinnen und -träger um Hilfe bei den Wasserschutzgebieten gebeten hat, frage ich die Staatsregierung, ob im nächsten halben Jahr eine Veränderungssperre (u. a. mit Befürwortung durch die Regierung von Unterfranken) für die geplante Erweiterung des Wasserschutzgebietes „Zeller Quellen“ auf 66 Quadratkilometer erlassen wird, um diesem „Verantwortungspakt für die Kinder und Enkel gerecht“ zu werden, wie wird (sonst) sichergestellt, dass unabhängig von evtl. für den Wasserschutz kritischen (Bau-)Vorhaben in der Region die Ausweisung des erweiterten Wasserschutzgebiets vorrangig und im Sinne von Staatsminister für Umwelt und Verbraucherschutz Thorsten Glauber beschleunigt durchgeführt und zeitnah abgeschlossen wird (bitte mit Angabe des Umgriffs des Wasserschutzgebietes „Zeller Quellen“, des aktuellen Umsetzungsstands und der voraussichtlichen Dauer der Ausweisung) und wäre eine neue Deponie der Klasse 1 in diesem erweiterten Wasserschutzgebiet nach Einschätzung der Staatsregierung vereinbar, ohne die Ausweisung des Wasserschutzgebiets weiter zu verzögern (bitte mit Angabe der Mindestanforderungen und Maßnahmen, die bei einer Errichtung einer Deponie Klasse 1 bei Helmstadt notwendig sind)? </w:t>
            </w:r>
          </w:p>
        </w:tc>
        <w:tc>
          <w:tcPr>
            <w:tcW w:w="5733" w:type="dxa"/>
          </w:tcPr>
          <w:p w:rsidR="00767D17" w:rsidRDefault="00767D17" w:rsidP="00767D17">
            <w:pPr>
              <w:pStyle w:val="LTAnfrageText"/>
            </w:pPr>
          </w:p>
        </w:tc>
      </w:tr>
    </w:tbl>
    <w:p w:rsidR="007E0861" w:rsidRDefault="007E0861" w:rsidP="007E0861">
      <w:pPr>
        <w:pStyle w:val="LTUeberschrAntwortRessort"/>
      </w:pPr>
      <w:r>
        <w:t>Antwort des Staatsministeriums für Umwelt und Verbraucherschutz</w:t>
      </w:r>
    </w:p>
    <w:p w:rsidR="007E0861" w:rsidRDefault="007E0861" w:rsidP="007E0861">
      <w:pPr>
        <w:pStyle w:val="LTAntwortRessortText"/>
      </w:pPr>
      <w:r>
        <w:t>Das zuständige Landratsamt Würzburg führt das Neufestsetzungsverfahren von Amts wegen in eigener Zuständigkeit nach den gesetzlichen Vorgaben durch. Nach aktuellem Kenntnisstand sollen die überarbeiteten Antragsunterlagen für die Einleitung des Verfahrens zur Ausweisung des WSG demnächst eingereicht werden. Insofern ist auch die dem Verfahren zugrunde zu legende Schutzgebietsgeometrie noch nicht abschließend bekannt. Das Verfahren könnte dann noch in 2021 begonnen werden.</w:t>
      </w:r>
    </w:p>
    <w:p w:rsidR="007E0861" w:rsidRDefault="007E0861" w:rsidP="00693C55">
      <w:pPr>
        <w:pStyle w:val="LTAntwortRessortText"/>
        <w:spacing w:before="0"/>
      </w:pPr>
      <w:r>
        <w:t>Bei einem Verfahren zur Ausweisung eines Wasserschutzgebiets handelt es sich um ein Verfahren mit Öffentlichkeitsbeteiligung, bei dem die entsprechenden Unterlagen öffentlich ausgelegt werden</w:t>
      </w:r>
      <w:r w:rsidR="0045610A">
        <w:t xml:space="preserve"> </w:t>
      </w:r>
      <w:r>
        <w:t>und die Betroffenen die Möglichkeit haben, ihre Einwendungen vorzubringen. Es ist Aufgabe des zuständigen Landratsamts als verfahrensführende Behörde</w:t>
      </w:r>
      <w:r w:rsidR="003830E9">
        <w:t>,</w:t>
      </w:r>
      <w:r>
        <w:t xml:space="preserve"> sich mit diesen Einwendungen auseinanderzusetzen und alle maßgeblichen Entscheidungsgrundlagen zu sammeln, zu prüfen und zu bewerten. Da zum jetzigen Zeitpunkt nicht absehbar ist, wie viele Einwendungen in diesem Verfahren erhoben werden, kann auch keine zeitliche Aussage zum Abschluss des Verfahrens getroffen werden. Allerdings ist es im Sinn der Staatsregierung, dass auch derartige Verfahren zügig und zeitnah zum Abschluss gebracht </w:t>
      </w:r>
      <w:r>
        <w:lastRenderedPageBreak/>
        <w:t>werden, um den Erfordernissen für den Grund- und Trinkwasserschutz Rechnung zu tragen.</w:t>
      </w:r>
    </w:p>
    <w:p w:rsidR="007E0861" w:rsidRDefault="007E0861" w:rsidP="00693C55">
      <w:pPr>
        <w:pStyle w:val="LTAntwortRessortText"/>
        <w:spacing w:before="0"/>
      </w:pPr>
      <w:r>
        <w:t>Das Landratsamt Würzburg hat umfassend geprüft, ob es geplante Vorhaben gibt, die den Erlass der Wasserschutzgebietsverordnung oder das Trinkwasservorkommen als solches gefährden könnten. Als einziges risikobehaftetes Vorhaben wurde die geplante Deponie der Klasse DK I bei Helmstadt ermittelt. Das Trinkwasservorkommen kann nach aktueller Einschätzung der Gutachter auch ohne Erlass einer Veränderungssperre ausreichend geschützt werden. Hierzu wurde das Sicherungskonzept der geplanten Deponie entsprechend überarbeitet. Maßnahmen, die über den Mindestanforderungen liegen, werden ergriffen, um Sicherheitsstandards anzuheben (Abdichtung verstärkt, Sicherheitseinrichtungen verbessert) und um die Kontrollierbarkeit bzw. Überwachung der potenziellen Auswirkungen der Deponie zu verbessern (Monitoring, Qualitätssicherung der Messstellen, Pumpanlagen etc.). Nach Einschätzung des vom Wasserversorger beauftragten Gutachters ergeben sich durch die geplante Deponie keine zusätzlichen Beeinflussungen gegenüber der jetzigen Situation</w:t>
      </w:r>
      <w:r w:rsidR="004937CE">
        <w:t>.</w:t>
      </w:r>
    </w:p>
    <w:p w:rsidR="007E0861" w:rsidRDefault="007E0861">
      <w:bookmarkStart w:id="75" w:name="Frage_Nr_37_Ende"/>
      <w:bookmarkEnd w:id="75"/>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67D17" w:rsidTr="00767D17">
        <w:tc>
          <w:tcPr>
            <w:tcW w:w="1883" w:type="dxa"/>
          </w:tcPr>
          <w:p w:rsidR="00767D17" w:rsidRDefault="00767D17" w:rsidP="00767D17">
            <w:pPr>
              <w:pStyle w:val="LTAnfrageInitiator"/>
            </w:pPr>
            <w:r>
              <w:lastRenderedPageBreak/>
              <w:t>Abgeordnete</w:t>
            </w:r>
            <w:r>
              <w:rPr>
                <w:b/>
              </w:rPr>
              <w:br/>
              <w:t>Claudia</w:t>
            </w:r>
            <w:r>
              <w:rPr>
                <w:b/>
              </w:rPr>
              <w:br/>
              <w:t>Köhler</w:t>
            </w:r>
            <w:r>
              <w:rPr>
                <w:b/>
              </w:rPr>
              <w:br/>
            </w:r>
            <w:r>
              <w:t>(BÜNDNIS 90/DIE GRÜNEN)</w:t>
            </w:r>
            <w:bookmarkStart w:id="76" w:name="Frage_Nr_38"/>
            <w:bookmarkEnd w:id="76"/>
          </w:p>
        </w:tc>
        <w:tc>
          <w:tcPr>
            <w:tcW w:w="5733" w:type="dxa"/>
          </w:tcPr>
          <w:p w:rsidR="00767D17" w:rsidRPr="00B72724" w:rsidRDefault="00767D17" w:rsidP="00B72724">
            <w:pPr>
              <w:pStyle w:val="LTAnfrageText"/>
            </w:pPr>
            <w:r w:rsidRPr="00B72724">
              <w:t xml:space="preserve">Ich frage die Staatsregierung, welche Konzentrationen an </w:t>
            </w:r>
            <w:r w:rsidRPr="00B72724">
              <w:br/>
              <w:t>Benzo(a)pyren wurden bei der schadstoffbelasteten Ackerfläche am Lehr- und Versuchsgut Oberschleißheim festgestellt, welche anderen Schadstoffe wurden untersucht und wann wurde die Gemeinde Oberschleißheim über die vorliegende Bodenkontamination informiert? </w:t>
            </w:r>
          </w:p>
        </w:tc>
        <w:tc>
          <w:tcPr>
            <w:tcW w:w="5733" w:type="dxa"/>
          </w:tcPr>
          <w:p w:rsidR="00767D17" w:rsidRDefault="00767D17" w:rsidP="00767D17">
            <w:pPr>
              <w:pStyle w:val="LTAnfrageText"/>
            </w:pPr>
          </w:p>
        </w:tc>
      </w:tr>
    </w:tbl>
    <w:p w:rsidR="007E0861" w:rsidRDefault="007E0861" w:rsidP="007E0861">
      <w:pPr>
        <w:pStyle w:val="LTUeberschrAntwortRessort"/>
      </w:pPr>
      <w:r>
        <w:t>Antwort des Staatsministeriums für Umwelt und Verbraucherschutz</w:t>
      </w:r>
    </w:p>
    <w:p w:rsidR="007E0861" w:rsidRDefault="007E0861" w:rsidP="007E0861">
      <w:pPr>
        <w:pStyle w:val="LTAntwortRessortText"/>
      </w:pPr>
      <w:r>
        <w:t>Sollte sich diese Anfrage, wie die Schriftliche Anfrage der Abgeordneten Dr. Markus Büchler und Claudia Köhler vom 29.01.2021 auf den Umgriff des derzeitigen Neubaus des Rinderlaufstalls im Lehr- und Versuchsgut Oberschleißheim (LVG) beziehen, können wir die Fragen wie folgt beantworten:</w:t>
      </w:r>
    </w:p>
    <w:p w:rsidR="007E0861" w:rsidRDefault="007E0861" w:rsidP="007E0861">
      <w:pPr>
        <w:pStyle w:val="LTAntwortRessortText"/>
      </w:pPr>
      <w:r>
        <w:t>Nach Auskunft des Landratsamtes München wurde für die Baumaßnahme vom staatlichen Bauamt München 2 ein Baugrundgutachter beauftragt. Bei der Baugrunduntersuchung wurden in ausgewählten Bodenproben für den polycyclischen aromatischen Kohlenwasserstoff Benzo(a)pyren (Einzelparameter) Gehalte von 0,3 bis 1,0 mg/kg ermittelt.</w:t>
      </w:r>
    </w:p>
    <w:p w:rsidR="007E0861" w:rsidRDefault="007E0861" w:rsidP="007E0861">
      <w:pPr>
        <w:pStyle w:val="LTAntwortRessortText"/>
      </w:pPr>
      <w:r>
        <w:t>Außerdem wurde in der Baugrunduntersuchung an ausgewählten Proben der Summenparameter für die polycyclischen aromatischen Kohlenwasserstoffe (PAK) und der Cyanid-Gehalt analysiert.</w:t>
      </w:r>
    </w:p>
    <w:p w:rsidR="007E0861" w:rsidRDefault="007E0861" w:rsidP="007E0861">
      <w:pPr>
        <w:pStyle w:val="LTAntwortRessortText"/>
      </w:pPr>
      <w:r>
        <w:t>Laut Auskunft des Landratsamtes München hat die Gemeinde Oberschleißheim mit Schreiben vom 06.02.2020 die Antragsunterlagen des im</w:t>
      </w:r>
      <w:r w:rsidR="002B6C1B">
        <w:t>missionsschutzrechtlichen Geneh</w:t>
      </w:r>
      <w:r>
        <w:t>migungsverfahrens im Rahmen der Beteiligung der Träger öffentlicher Belange erhalten. Die Baugrundgutachten lagen dem Antrag bei.</w:t>
      </w:r>
    </w:p>
    <w:p w:rsidR="007E0861" w:rsidRDefault="007E0861">
      <w:bookmarkStart w:id="77" w:name="Frage_Nr_38_Ende"/>
      <w:bookmarkEnd w:id="77"/>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67D17" w:rsidTr="00767D17">
        <w:tc>
          <w:tcPr>
            <w:tcW w:w="1883" w:type="dxa"/>
          </w:tcPr>
          <w:p w:rsidR="00767D17" w:rsidRDefault="00767D17" w:rsidP="00767D17">
            <w:pPr>
              <w:pStyle w:val="LTAnfrageInitiator"/>
            </w:pPr>
            <w:r>
              <w:lastRenderedPageBreak/>
              <w:t>Abgeordneter</w:t>
            </w:r>
            <w:r>
              <w:rPr>
                <w:b/>
              </w:rPr>
              <w:br/>
              <w:t>Hep</w:t>
            </w:r>
            <w:r>
              <w:rPr>
                <w:b/>
              </w:rPr>
              <w:br/>
              <w:t>Monatzeder</w:t>
            </w:r>
            <w:r>
              <w:rPr>
                <w:b/>
              </w:rPr>
              <w:br/>
            </w:r>
            <w:r>
              <w:t>(BÜNDNIS 90/DIE GRÜNEN)</w:t>
            </w:r>
            <w:bookmarkStart w:id="78" w:name="Frage_Nr_39"/>
            <w:bookmarkEnd w:id="78"/>
          </w:p>
        </w:tc>
        <w:tc>
          <w:tcPr>
            <w:tcW w:w="5733" w:type="dxa"/>
          </w:tcPr>
          <w:p w:rsidR="00767D17" w:rsidRPr="00B72724" w:rsidRDefault="00767D17" w:rsidP="00B72724">
            <w:pPr>
              <w:pStyle w:val="LTAnfrageText"/>
            </w:pPr>
            <w:r w:rsidRPr="00B72724">
              <w:t>Ich frage die Staatsregierung, bezugnehmend auf die Äußerung des Abgeordneten Benno Zierer (FREIE WÄHLER) in der Plenardebatte des Landtags am 04.03.2020 zu Drs. 18/14240, dass aktuell die Weiterentwicklung der Bayerischen Nachhaltigkeitsstrategie stattfindet und in der 2. Jahreshälfte im Landtag debattiert werden soll, welche Sachverständigen, Experten oder Verbände außerhalb der beteiligten Ressorts werden für die Überarbeitung der Strategie angehört, wie sieht der konkrete Zeitplan (Zwischenschritte, Abschluss des Verfahrens) zur Überarbeitung der Strategie aus und in welcher Form soll die geplante Debatte zur überarbeiteten Nachhaltigkeitsstrategie im Landtag konkret stattfinden?  </w:t>
            </w:r>
          </w:p>
        </w:tc>
        <w:tc>
          <w:tcPr>
            <w:tcW w:w="5733" w:type="dxa"/>
          </w:tcPr>
          <w:p w:rsidR="00767D17" w:rsidRDefault="00767D17" w:rsidP="00767D17">
            <w:pPr>
              <w:pStyle w:val="LTAnfrageText"/>
            </w:pPr>
          </w:p>
        </w:tc>
      </w:tr>
    </w:tbl>
    <w:p w:rsidR="007E0861" w:rsidRDefault="007E0861" w:rsidP="007E0861">
      <w:pPr>
        <w:pStyle w:val="LTUeberschrAntwortRessort"/>
      </w:pPr>
      <w:r>
        <w:t>Antwort des Staatsministeriums für Umwelt und Verbraucherschutz</w:t>
      </w:r>
    </w:p>
    <w:p w:rsidR="007E0861" w:rsidRDefault="007E0861" w:rsidP="003830E9">
      <w:pPr>
        <w:pStyle w:val="LTAntwortRessortText"/>
      </w:pPr>
      <w:r>
        <w:t>Über eine mögliche Anhörung von Sachverständigen, Experten oder Verbänden außerhalb der beteiligten Ressorts ist noch zu entscheiden.</w:t>
      </w:r>
    </w:p>
    <w:p w:rsidR="007E0861" w:rsidRDefault="007E0861" w:rsidP="003830E9">
      <w:pPr>
        <w:pStyle w:val="LTAntwortRessortText"/>
      </w:pPr>
      <w:r>
        <w:t>Die Staatsregierung wird noch in der laufenden Legislaturperiode eine weiterentwickelte Nachhaltigkeitsstrategie vorlegen. Vorgesehen ist eine Behandlung im Ministerrat in der zweiten Jahreshälfte 2021. Der Ministerrat entscheidet auch über mögliche weitere Schritte.</w:t>
      </w:r>
    </w:p>
    <w:p w:rsidR="007E0861" w:rsidRDefault="007E0861" w:rsidP="003830E9">
      <w:pPr>
        <w:pStyle w:val="LTAntwortRessortText"/>
      </w:pPr>
      <w:r>
        <w:t xml:space="preserve">Der Landtag entscheidet selbst über die Form seiner Debatten. </w:t>
      </w:r>
    </w:p>
    <w:p w:rsidR="007E0861" w:rsidRDefault="007E0861">
      <w:bookmarkStart w:id="79" w:name="Frage_Nr_39_Ende"/>
      <w:bookmarkEnd w:id="79"/>
      <w:r>
        <w:br w:type="page"/>
      </w:r>
    </w:p>
    <w:p w:rsidR="007E0861" w:rsidRDefault="007E0861" w:rsidP="007E0861">
      <w:pPr>
        <w:pStyle w:val="LTUeberschrRessort"/>
      </w:pPr>
      <w:r>
        <w:lastRenderedPageBreak/>
        <w:t>Geschäftsbereich des Staatsministeriums für Ernährung, Landwirtschaft und Forsten</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67D17" w:rsidTr="00767D17">
        <w:tc>
          <w:tcPr>
            <w:tcW w:w="1854" w:type="dxa"/>
          </w:tcPr>
          <w:p w:rsidR="00767D17" w:rsidRDefault="00767D17" w:rsidP="00767D17">
            <w:pPr>
              <w:pStyle w:val="LTAnfrageInitiator"/>
            </w:pPr>
            <w:r>
              <w:t>Abgeordnete</w:t>
            </w:r>
            <w:r>
              <w:rPr>
                <w:b/>
              </w:rPr>
              <w:br/>
              <w:t>Martina</w:t>
            </w:r>
            <w:r>
              <w:rPr>
                <w:b/>
              </w:rPr>
              <w:br/>
              <w:t>Fehlner</w:t>
            </w:r>
            <w:r>
              <w:rPr>
                <w:b/>
              </w:rPr>
              <w:br/>
            </w:r>
            <w:r>
              <w:t>(SPD)</w:t>
            </w:r>
            <w:bookmarkStart w:id="80" w:name="Frage_Nr_40"/>
            <w:bookmarkEnd w:id="80"/>
          </w:p>
        </w:tc>
        <w:tc>
          <w:tcPr>
            <w:tcW w:w="5762" w:type="dxa"/>
          </w:tcPr>
          <w:p w:rsidR="00767D17" w:rsidRPr="00B72724" w:rsidRDefault="00767D17" w:rsidP="00B72724">
            <w:pPr>
              <w:pStyle w:val="LTAnfrageText"/>
            </w:pPr>
            <w:r w:rsidRPr="00B72724">
              <w:t>Vor dem Hintergrund, dass die Auswirkungen der „Gemeinsamen Erklärung zur Sicherung der vorbildlichen Waldbewirtschaftung im Kommunalwald“ (Kommunalwaldpakt) bereits im Jahr 2019 evaluiert wurden, frage ich die Staatsregierung, wann die Ergebnisse der Evaluierung vorliegen, ob sie an den Inhalten der Erklärung trotz der durch den Klimawandel zunehmend geschädigten Wälder festhält und wie die Staatsregierung sicherstellt, dass waldbesitzende Kommunen mit mehr als 200 Hektar bei der nachhaltigen Bewirtschaftung ihrer Wälder auch nach 2025 ausreichend unterstützt werden?</w:t>
            </w:r>
          </w:p>
        </w:tc>
        <w:tc>
          <w:tcPr>
            <w:tcW w:w="5762" w:type="dxa"/>
          </w:tcPr>
          <w:p w:rsidR="00767D17" w:rsidRDefault="00767D17" w:rsidP="00767D17">
            <w:pPr>
              <w:pStyle w:val="LTAnfrageText"/>
            </w:pPr>
          </w:p>
        </w:tc>
      </w:tr>
    </w:tbl>
    <w:p w:rsidR="007E0861" w:rsidRDefault="007E0861" w:rsidP="007E0861">
      <w:pPr>
        <w:pStyle w:val="LTUeberschrAntwortRessort"/>
      </w:pPr>
      <w:r>
        <w:t>Antwort des Staatsministeriums für Ernährung, Landwirtschaft und Forsten</w:t>
      </w:r>
    </w:p>
    <w:p w:rsidR="007E0861" w:rsidRDefault="007E0861" w:rsidP="007E0861">
      <w:pPr>
        <w:pStyle w:val="LTAntwortRessortText"/>
      </w:pPr>
      <w:r>
        <w:t>Der Evaluierungsprozess läuft, die Fertigstellung erfolgt voraussichtlich im 2. Quartal 2021.</w:t>
      </w:r>
    </w:p>
    <w:p w:rsidR="007E0861" w:rsidRDefault="007E0861" w:rsidP="007E0861">
      <w:pPr>
        <w:pStyle w:val="LTAntwortRessortText"/>
      </w:pPr>
      <w:r>
        <w:t>Der Landtagsbeschluss Drs. 17/15445 v</w:t>
      </w:r>
      <w:r w:rsidR="002B6C1B">
        <w:t>om 14.02.2017 gibt die Rahmenbe</w:t>
      </w:r>
      <w:r>
        <w:t>dingungen für die staatliche Betriebsleitung und -ausführung im Kommunal-wald vor. Bei der Festlegung von Bewirtschaftungserschwernissen werden die Auswirkungen des Klimawandels auf die Wälder berücksichtigt.</w:t>
      </w:r>
    </w:p>
    <w:p w:rsidR="007E0861" w:rsidRDefault="007E0861" w:rsidP="007E0861">
      <w:pPr>
        <w:pStyle w:val="LTAntwortRessortText"/>
      </w:pPr>
      <w:r>
        <w:t>Jede waldbesitzende Kommune hat Zugan</w:t>
      </w:r>
      <w:r w:rsidR="002B6C1B">
        <w:t>g zu einer individuellen und ge</w:t>
      </w:r>
      <w:r>
        <w:t>meinwohlorientierten Beratung durch die ö</w:t>
      </w:r>
      <w:r w:rsidR="002B6C1B">
        <w:t>rtlich zuständigen Ämter für Er</w:t>
      </w:r>
      <w:r>
        <w:t>nährung Landwirtschaft und Forsten. Sie partizipieren zudem an den staatlichen Förderprogrammen wie dem waldbaulichen Förderprogramm (WALD-FÖPR), der Wegebauförderung (FO</w:t>
      </w:r>
      <w:r w:rsidR="002B6C1B">
        <w:t>RST-WEGR) und dem Vertragsnatur</w:t>
      </w:r>
      <w:r>
        <w:t xml:space="preserve">schutzprogramm Wald (VNP Wald), ferner profitieren Kommunen, die die staatliche Betreuungsdienstleistung nicht </w:t>
      </w:r>
      <w:r w:rsidR="002B6C1B">
        <w:t>in Anspruch nehmen, vom staatli</w:t>
      </w:r>
      <w:r>
        <w:t xml:space="preserve">chen Gemeinwohlausgleich. Für die Erstellung von Forstwirtschaftsplänen und Forstbetriebsgutachten übernimmt der </w:t>
      </w:r>
      <w:r w:rsidR="00262A38">
        <w:t>Freistaat Bayern i. </w:t>
      </w:r>
      <w:r w:rsidR="003830E9">
        <w:t xml:space="preserve">S. v. </w:t>
      </w:r>
      <w:r>
        <w:t xml:space="preserve">Art. 19 Abs. 2 </w:t>
      </w:r>
      <w:r w:rsidR="00262A38">
        <w:t>Bayerisches Waldgesetz (</w:t>
      </w:r>
      <w:r>
        <w:t>BayWaldG</w:t>
      </w:r>
      <w:r w:rsidR="00262A38">
        <w:t>)</w:t>
      </w:r>
      <w:r>
        <w:t xml:space="preserve"> 50 </w:t>
      </w:r>
      <w:r w:rsidR="00102307">
        <w:t>Prozent</w:t>
      </w:r>
      <w:r>
        <w:t xml:space="preserve"> der entstehenden Kosten. Die Bayerische Forstverwaltung ist damit auch in Zukunft für alle Kommunen verlässlicher Partner, darüber hinaus stehen den Kommunen Forstwirtschaftlichen Zusammenschlüsse und private Dienstleister zur Verfügung.</w:t>
      </w:r>
    </w:p>
    <w:p w:rsidR="007E0861" w:rsidRDefault="007E0861">
      <w:bookmarkStart w:id="81" w:name="Frage_Nr_40_Ende"/>
      <w:bookmarkEnd w:id="81"/>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767D17" w:rsidTr="00767D17">
        <w:tc>
          <w:tcPr>
            <w:tcW w:w="1896" w:type="dxa"/>
          </w:tcPr>
          <w:p w:rsidR="00767D17" w:rsidRDefault="00767D17" w:rsidP="00767D17">
            <w:pPr>
              <w:pStyle w:val="LTAnfrageInitiator"/>
            </w:pPr>
            <w:r>
              <w:lastRenderedPageBreak/>
              <w:t>Abgeordneter</w:t>
            </w:r>
            <w:r>
              <w:rPr>
                <w:b/>
              </w:rPr>
              <w:br/>
              <w:t>Christoph</w:t>
            </w:r>
            <w:r>
              <w:rPr>
                <w:b/>
              </w:rPr>
              <w:br/>
              <w:t>Skutella</w:t>
            </w:r>
            <w:r>
              <w:rPr>
                <w:b/>
              </w:rPr>
              <w:br/>
            </w:r>
            <w:r>
              <w:t>(FDP)</w:t>
            </w:r>
            <w:bookmarkStart w:id="82" w:name="Frage_Nr_41"/>
            <w:bookmarkEnd w:id="82"/>
          </w:p>
        </w:tc>
        <w:tc>
          <w:tcPr>
            <w:tcW w:w="5720" w:type="dxa"/>
          </w:tcPr>
          <w:p w:rsidR="00767D17" w:rsidRPr="00B72724" w:rsidRDefault="00767D17" w:rsidP="00B72724">
            <w:pPr>
              <w:pStyle w:val="LTAnfrageText"/>
            </w:pPr>
            <w:r w:rsidRPr="00B72724">
              <w:t>Ich frage die Staatsregierung, zu welchen Ergebnissen ist die Anfang 2020 eingerichtete Bund-Länder-Arbeitsgruppe, die vom Bundesministerium für Ernährung und Landwirtschaft (BMEL) mit der Prüfung und Planung der Honorierung der Klimaschutzleistungen der Waldbesitzer beauftragt wurde, bisher gekommen, welche Akteure aus Bayern sind Teil dieser Arbeitsgruppe und wie ist der Sachstand bei de</w:t>
            </w:r>
            <w:r w:rsidR="00262A38">
              <w:t>r Einführung einer CO</w:t>
            </w:r>
            <w:r w:rsidR="00262A38" w:rsidRPr="00262A38">
              <w:rPr>
                <w:vertAlign w:val="subscript"/>
              </w:rPr>
              <w:t>2</w:t>
            </w:r>
            <w:r w:rsidR="00262A38">
              <w:t>-Bindungs</w:t>
            </w:r>
            <w:r w:rsidRPr="00B72724">
              <w:t>prämie für kommunale und private Waldbesitzer?</w:t>
            </w:r>
          </w:p>
        </w:tc>
        <w:tc>
          <w:tcPr>
            <w:tcW w:w="5720" w:type="dxa"/>
          </w:tcPr>
          <w:p w:rsidR="00767D17" w:rsidRDefault="00767D17" w:rsidP="00767D17">
            <w:pPr>
              <w:pStyle w:val="LTAnfrageText"/>
            </w:pPr>
          </w:p>
        </w:tc>
      </w:tr>
    </w:tbl>
    <w:p w:rsidR="007E0861" w:rsidRDefault="007E0861" w:rsidP="007E0861">
      <w:pPr>
        <w:pStyle w:val="LTUeberschrAntwortRessort"/>
      </w:pPr>
      <w:r>
        <w:t>Antwort des Staatsministeriums für Ernährung, Landwirtschaft und Forsten</w:t>
      </w:r>
    </w:p>
    <w:p w:rsidR="007E0861" w:rsidRDefault="007E0861" w:rsidP="007E0861">
      <w:pPr>
        <w:pStyle w:val="LTAntwortRessortText"/>
      </w:pPr>
      <w:r>
        <w:t xml:space="preserve">Die Bund-Länder-Arbeitsgruppe hat im Sommer 2020 Eckpunkte für eine bundesweite Prämie für den Erhalt und die </w:t>
      </w:r>
      <w:r w:rsidR="002B6C1B">
        <w:t>nachhaltige Bewirtschaftung kli</w:t>
      </w:r>
      <w:r>
        <w:t>mastabiler Wälder vorgelegt. Im Herbst 2020 hat die A</w:t>
      </w:r>
      <w:r w:rsidR="00262A38">
        <w:t>rzneimittelkommission (A</w:t>
      </w:r>
      <w:r>
        <w:t>MK</w:t>
      </w:r>
      <w:r w:rsidR="00262A38">
        <w:t>)</w:t>
      </w:r>
      <w:r>
        <w:t xml:space="preserve"> sich zu einer Waldklimaprämie grundsätzlich zustimmend positioniert (s</w:t>
      </w:r>
      <w:r w:rsidR="00262A38">
        <w:t>iehe</w:t>
      </w:r>
      <w:r>
        <w:t xml:space="preserve"> Anlage</w:t>
      </w:r>
      <w:r w:rsidR="003830E9">
        <w:t>*</w:t>
      </w:r>
      <w:r>
        <w:t>).</w:t>
      </w:r>
    </w:p>
    <w:p w:rsidR="007E0861" w:rsidRDefault="00262A38" w:rsidP="00AB74CC">
      <w:pPr>
        <w:pStyle w:val="LTAntwortRessortText"/>
        <w:spacing w:before="0"/>
      </w:pPr>
      <w:r>
        <w:t xml:space="preserve">Das Staatsministerium für Ernährung, Landwirtschaft und Forsten </w:t>
      </w:r>
      <w:r w:rsidR="007E0861">
        <w:t>arbeitet in der Arbeitsgruppe des B</w:t>
      </w:r>
      <w:r>
        <w:t>undesministeriums für Ernährung und Landwirtschaft (B</w:t>
      </w:r>
      <w:r w:rsidR="007E0861">
        <w:t>MEL</w:t>
      </w:r>
      <w:r>
        <w:t>)</w:t>
      </w:r>
      <w:r w:rsidR="007E0861">
        <w:t xml:space="preserve"> mit.</w:t>
      </w:r>
    </w:p>
    <w:p w:rsidR="007E0861" w:rsidRDefault="007E0861" w:rsidP="007E0861">
      <w:pPr>
        <w:pStyle w:val="LTAntwortRessortText"/>
      </w:pPr>
      <w:r>
        <w:t>Das BMEL hat die angedachte Waldklimap</w:t>
      </w:r>
      <w:r w:rsidR="002B6C1B">
        <w:t>rämie in den letzten Monaten in</w:t>
      </w:r>
      <w:r>
        <w:t>nerhalb der Bundesregierung und im Ra</w:t>
      </w:r>
      <w:r w:rsidR="002B6C1B">
        <w:t>hmen von Bund-Länder-Arbeitsgre</w:t>
      </w:r>
      <w:r>
        <w:t xml:space="preserve">mien diskutiert und weiterentwickelt. </w:t>
      </w:r>
      <w:r w:rsidR="003830E9">
        <w:t>Bei der kommenden Agrarminister</w:t>
      </w:r>
      <w:r>
        <w:t>konferenz wird das BMEL über den Sach</w:t>
      </w:r>
      <w:r w:rsidR="002B6C1B">
        <w:t>stand berichten. Bericht und Er</w:t>
      </w:r>
      <w:r>
        <w:t>gebnis können im Nachgang zur Verfügung gestellt werden.</w:t>
      </w:r>
    </w:p>
    <w:p w:rsidR="003830E9" w:rsidRDefault="003830E9" w:rsidP="007E0861">
      <w:pPr>
        <w:pStyle w:val="LTAntwortRessortText"/>
      </w:pPr>
      <w:r>
        <w:t xml:space="preserve">*) Von einem Abdruck wurde abgesehen. Die Anlage ist als pdf-Dokument </w:t>
      </w:r>
      <w:hyperlink r:id="rId25" w:history="1">
        <w:r w:rsidRPr="002E02C7">
          <w:rPr>
            <w:rStyle w:val="LTHyperlinkZchn"/>
            <w:b w:val="0"/>
          </w:rPr>
          <w:t>hier</w:t>
        </w:r>
      </w:hyperlink>
      <w:r>
        <w:t xml:space="preserve"> einsehbar.</w:t>
      </w:r>
    </w:p>
    <w:p w:rsidR="003830E9" w:rsidRDefault="003830E9" w:rsidP="007E0861">
      <w:pPr>
        <w:pStyle w:val="LTAntwortRessortText"/>
      </w:pPr>
    </w:p>
    <w:p w:rsidR="003830E9" w:rsidRDefault="003830E9" w:rsidP="007E0861">
      <w:pPr>
        <w:pStyle w:val="LTAntwortRessortText"/>
      </w:pPr>
    </w:p>
    <w:p w:rsidR="007E0861" w:rsidRDefault="007E0861">
      <w:bookmarkStart w:id="83" w:name="Frage_Nr_41_Ende"/>
      <w:bookmarkEnd w:id="83"/>
      <w:r>
        <w:br w:type="page"/>
      </w:r>
    </w:p>
    <w:tbl>
      <w:tblPr>
        <w:tblStyle w:val="Tabellenraster"/>
        <w:tblW w:w="1334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5726"/>
        <w:gridCol w:w="5726"/>
      </w:tblGrid>
      <w:tr w:rsidR="00AD59F9" w:rsidTr="00AD59F9">
        <w:tc>
          <w:tcPr>
            <w:tcW w:w="1890" w:type="dxa"/>
          </w:tcPr>
          <w:p w:rsidR="00AD59F9" w:rsidRDefault="00AD59F9" w:rsidP="00AD59F9">
            <w:pPr>
              <w:pStyle w:val="LTAnfrageInitiator"/>
            </w:pPr>
            <w:r>
              <w:lastRenderedPageBreak/>
              <w:t>Abgeordnete</w:t>
            </w:r>
            <w:r>
              <w:rPr>
                <w:b/>
              </w:rPr>
              <w:br/>
              <w:t>Diana</w:t>
            </w:r>
            <w:r>
              <w:rPr>
                <w:b/>
              </w:rPr>
              <w:br/>
              <w:t>Stachowitz</w:t>
            </w:r>
            <w:r>
              <w:rPr>
                <w:b/>
              </w:rPr>
              <w:br/>
            </w:r>
            <w:r>
              <w:t>(SPD)</w:t>
            </w:r>
            <w:bookmarkStart w:id="84" w:name="Frage_Nr_42"/>
            <w:bookmarkEnd w:id="84"/>
          </w:p>
        </w:tc>
        <w:tc>
          <w:tcPr>
            <w:tcW w:w="5726" w:type="dxa"/>
          </w:tcPr>
          <w:p w:rsidR="00AD59F9" w:rsidRPr="00B72724" w:rsidRDefault="00AD59F9" w:rsidP="00B72724">
            <w:pPr>
              <w:pStyle w:val="LTAnfrageText"/>
            </w:pPr>
            <w:r w:rsidRPr="00B72724">
              <w:t>Ich frage die Staatsregierung, wurden nach der Durchführung des hydrologischen Gutachtens für das Hofgut Erlenfurt inzwischen weitere Planungen zum Eichenzentrum Hochspessart durchgeführt und bereits die finanziellen Auswirkungen der im Gutachten festgestellten Unwägbarkeiten abgeklärt, welcher Art – außer der Verlegung der bestehenden Wasserleitungen im Naturschutzgebiet – sind diese Unwägbarkeiten und wann sind hier Ergebnisse zu erwarten?</w:t>
            </w:r>
          </w:p>
        </w:tc>
        <w:tc>
          <w:tcPr>
            <w:tcW w:w="5726" w:type="dxa"/>
          </w:tcPr>
          <w:p w:rsidR="00AD59F9" w:rsidRDefault="00AD59F9" w:rsidP="00AD59F9">
            <w:pPr>
              <w:pStyle w:val="LTAnfrageText"/>
            </w:pPr>
          </w:p>
        </w:tc>
      </w:tr>
    </w:tbl>
    <w:p w:rsidR="007E0861" w:rsidRDefault="007E0861" w:rsidP="007E0861">
      <w:pPr>
        <w:pStyle w:val="LTUeberschrAntwortRessort"/>
      </w:pPr>
      <w:r>
        <w:t>Antwort des Staatsministeriums für Ernährung, Landwirtschaft und Forsten</w:t>
      </w:r>
    </w:p>
    <w:p w:rsidR="007E0861" w:rsidRDefault="007E0861" w:rsidP="007E0861">
      <w:pPr>
        <w:pStyle w:val="LTAntwortRessortText"/>
      </w:pPr>
      <w:r>
        <w:t xml:space="preserve">Laut des von der Regierung von Unterfranken übermittelten Gutachtens zum Standort Erlenfurt bestehen Unwägbarkeiten, die erst im Rahmen kommender Projektphasen aufgrund konkreter Planung </w:t>
      </w:r>
      <w:r w:rsidR="00CB2060">
        <w:t>abgeklärt werden können. Das er</w:t>
      </w:r>
      <w:r>
        <w:t>fordert für die finanzielle</w:t>
      </w:r>
      <w:r w:rsidR="00CB2060">
        <w:t>n</w:t>
      </w:r>
      <w:r>
        <w:t xml:space="preserve"> Risikobewertungen eine Betrachtu</w:t>
      </w:r>
      <w:r w:rsidR="00CB2060">
        <w:t>ng unterschiedli</w:t>
      </w:r>
      <w:r>
        <w:t>cher Szenarien. Die damit zusammenhängenden finanziellen Auswirkungen sind bislang nicht abgeklärt, ein Zeitpunkt zu</w:t>
      </w:r>
      <w:r w:rsidR="00CB2060">
        <w:t>r Vorlage der Ergebnisse ist of</w:t>
      </w:r>
      <w:r>
        <w:t>fen.</w:t>
      </w:r>
    </w:p>
    <w:p w:rsidR="007E0861" w:rsidRDefault="007E0861" w:rsidP="00AB74CC">
      <w:pPr>
        <w:pStyle w:val="LTAntwortRessortText"/>
        <w:spacing w:before="0"/>
      </w:pPr>
      <w:r>
        <w:t>Mit der zu untersuchenden Verlegung bestehender Wasserleitungen a</w:t>
      </w:r>
      <w:r w:rsidR="003830E9">
        <w:t>us dem Naturschutzgebiet heraus</w:t>
      </w:r>
      <w:r>
        <w:t xml:space="preserve"> sind auch Fragen zur Nutzung von Fremdeigentum verbunden. Genannt werden zudem Ve</w:t>
      </w:r>
      <w:r w:rsidR="00CB2060">
        <w:t>rmeidungs-, Ausgleichs- und Kom</w:t>
      </w:r>
      <w:r>
        <w:t>pensationsmaßnahmen im Hinblick auf Auswirkungen auf die Schutzgüter des Naturschutzgesetzes, Maßnahmen zur Sicherung der Wasserqualität des</w:t>
      </w:r>
      <w:r w:rsidR="0045610A">
        <w:t xml:space="preserve"> </w:t>
      </w:r>
      <w:r>
        <w:t>Trinkwassers für das Eichenzentrum bis hin zur Gewässergüte der Hafenlohr im Zusammenhang mit der geplanten Pflanzenkläranlage.</w:t>
      </w:r>
    </w:p>
    <w:p w:rsidR="007E0861" w:rsidRDefault="007E0861">
      <w:bookmarkStart w:id="85" w:name="Frage_Nr_42_Ende"/>
      <w:bookmarkEnd w:id="85"/>
      <w:r>
        <w:br w:type="page"/>
      </w:r>
    </w:p>
    <w:p w:rsidR="007E0861" w:rsidRDefault="007E0861" w:rsidP="007E0861">
      <w:pPr>
        <w:pStyle w:val="LTUeberschrRessort"/>
      </w:pPr>
      <w:r>
        <w:lastRenderedPageBreak/>
        <w:t>Geschäftsbereich des Staatsministeriums für Familie, Arbeit und Soziales</w:t>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AD59F9" w:rsidTr="00AD59F9">
        <w:tc>
          <w:tcPr>
            <w:tcW w:w="1856" w:type="dxa"/>
          </w:tcPr>
          <w:p w:rsidR="00AD59F9" w:rsidRDefault="00AD59F9" w:rsidP="00AD59F9">
            <w:pPr>
              <w:pStyle w:val="LTAnfrageInitiator"/>
            </w:pPr>
            <w:r>
              <w:t>Abgeordnete</w:t>
            </w:r>
            <w:r>
              <w:rPr>
                <w:b/>
              </w:rPr>
              <w:br/>
              <w:t>Julika</w:t>
            </w:r>
            <w:r>
              <w:rPr>
                <w:b/>
              </w:rPr>
              <w:br/>
              <w:t>Sandt</w:t>
            </w:r>
            <w:r>
              <w:rPr>
                <w:b/>
              </w:rPr>
              <w:br/>
            </w:r>
            <w:r>
              <w:t>(FDP)</w:t>
            </w:r>
            <w:bookmarkStart w:id="86" w:name="Frage_Nr_43"/>
            <w:bookmarkEnd w:id="86"/>
          </w:p>
        </w:tc>
        <w:tc>
          <w:tcPr>
            <w:tcW w:w="5760" w:type="dxa"/>
          </w:tcPr>
          <w:p w:rsidR="00AD59F9" w:rsidRPr="00B72724" w:rsidRDefault="00AD59F9" w:rsidP="00B72724">
            <w:pPr>
              <w:pStyle w:val="LTAnfrageText"/>
            </w:pPr>
            <w:r w:rsidRPr="00B72724">
              <w:t>Ich frage die Staatsregierung, ab wann sie sicherstellt, dass Schnelltests in den Kitas flächendeckend auch den dort betreuten Kindern angeboten werden, wie viele Tests dabei wöchentlich pro Kind durchgeführt werden und welche Arten von Tests (beispielsweise Lolly- oder Spucktests) dabei verwendet werden?</w:t>
            </w:r>
          </w:p>
        </w:tc>
        <w:tc>
          <w:tcPr>
            <w:tcW w:w="5760" w:type="dxa"/>
          </w:tcPr>
          <w:p w:rsidR="00AD59F9" w:rsidRDefault="00AD59F9" w:rsidP="00AD59F9">
            <w:pPr>
              <w:pStyle w:val="LTAnfrageText"/>
            </w:pPr>
          </w:p>
        </w:tc>
      </w:tr>
    </w:tbl>
    <w:p w:rsidR="007E0861" w:rsidRDefault="007E0861" w:rsidP="007E0861">
      <w:pPr>
        <w:pStyle w:val="LTUeberschrAntwortRessort"/>
      </w:pPr>
      <w:r>
        <w:t>Antwort des Staatsministeriums für Familie, Arbeit und Soziales</w:t>
      </w:r>
    </w:p>
    <w:p w:rsidR="007E0861" w:rsidRDefault="007E0861" w:rsidP="007E0861">
      <w:pPr>
        <w:pStyle w:val="LTAntwortRessortText"/>
      </w:pPr>
      <w:r>
        <w:t>Die Beschäftigten in der Kindertagesbetreuung haben die Möglichkeit, sich zweimal wöchentlich kostenlos mit</w:t>
      </w:r>
      <w:r w:rsidR="003830E9">
        <w:t>tels Selbsttest auf eine Corona</w:t>
      </w:r>
      <w:r>
        <w:t>virus-Infektion zu testen. Die Testung (PCR- oder POC-Antigen-Schnelltest) von Kindern ist bei den niedergelassenen Kinderärzten, in Apotheken und in den bayerischen Testzentren möglich. Diese Tests sind nur dann erforderlich, wenn Kinder trotz leichter Krankheitssymptome die Kindertageseinrichtung besuchen sollen oder wenn Kinder nach einer ernsthaften Erkrankung in die Einrichtung zurückkehren.</w:t>
      </w:r>
    </w:p>
    <w:p w:rsidR="007E0861" w:rsidRDefault="00262A38" w:rsidP="00E0053B">
      <w:pPr>
        <w:pStyle w:val="LTAntwortRessortText"/>
        <w:spacing w:before="0"/>
      </w:pPr>
      <w:r>
        <w:t>Gemeinschaftseinrichtungen i. S. </w:t>
      </w:r>
      <w:r w:rsidR="007E0861">
        <w:t>d. §</w:t>
      </w:r>
      <w:r w:rsidR="00CB2060">
        <w:t xml:space="preserve"> 33 </w:t>
      </w:r>
      <w:r>
        <w:t>Infektionsschutzgesetz (</w:t>
      </w:r>
      <w:r w:rsidR="00CB2060">
        <w:t>IfSG</w:t>
      </w:r>
      <w:r>
        <w:t>)</w:t>
      </w:r>
      <w:r w:rsidR="00CB2060">
        <w:t xml:space="preserve"> fallen des Weiteren un</w:t>
      </w:r>
      <w:r w:rsidR="007E0861">
        <w:t xml:space="preserve">ter § 3 Abs. 4a </w:t>
      </w:r>
      <w:r>
        <w:t>Medizinprodukte-Abgabeverordnung (</w:t>
      </w:r>
      <w:r w:rsidR="007E0861">
        <w:t>MedizinprodukteabgabeVO</w:t>
      </w:r>
      <w:r>
        <w:t>)</w:t>
      </w:r>
      <w:r w:rsidR="007E0861">
        <w:t xml:space="preserve"> des Bundes und können in der jetzigen </w:t>
      </w:r>
      <w:r w:rsidR="00102307">
        <w:t>„</w:t>
      </w:r>
      <w:r w:rsidR="007E0861">
        <w:t>epidemischen Lage</w:t>
      </w:r>
      <w:r w:rsidR="00102307">
        <w:t>“</w:t>
      </w:r>
      <w:r w:rsidR="007E0861">
        <w:t xml:space="preserve"> eigenverantwortlich und auf eigene Kosten selbst Schnelltests beziehen. Die POC-Antigen-Schnelltests müssen von geschulten Personen durchgeführt werden.</w:t>
      </w:r>
    </w:p>
    <w:p w:rsidR="007E0861" w:rsidRDefault="007E0861" w:rsidP="00E0053B">
      <w:pPr>
        <w:pStyle w:val="LTAntwortRessortText"/>
        <w:spacing w:before="0"/>
      </w:pPr>
      <w:r>
        <w:t>Lolly- oder Spu</w:t>
      </w:r>
      <w:r w:rsidR="003830E9">
        <w:t>c</w:t>
      </w:r>
      <w:r>
        <w:t>ktests kommen derzeit in der Kindertagesbetreuung nicht zum Einsatz.</w:t>
      </w:r>
    </w:p>
    <w:p w:rsidR="007E0861" w:rsidRDefault="007E0861">
      <w:bookmarkStart w:id="87" w:name="Frage_Nr_43_Ende"/>
      <w:bookmarkEnd w:id="87"/>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AD59F9" w:rsidTr="00AD59F9">
        <w:tc>
          <w:tcPr>
            <w:tcW w:w="1862" w:type="dxa"/>
          </w:tcPr>
          <w:p w:rsidR="00AD59F9" w:rsidRDefault="00AD59F9" w:rsidP="00AD59F9">
            <w:pPr>
              <w:pStyle w:val="LTAnfrageInitiator"/>
            </w:pPr>
            <w:r>
              <w:lastRenderedPageBreak/>
              <w:t>Abgeordnete</w:t>
            </w:r>
            <w:r>
              <w:rPr>
                <w:b/>
              </w:rPr>
              <w:br/>
              <w:t>Dr. Simone</w:t>
            </w:r>
            <w:r>
              <w:rPr>
                <w:b/>
              </w:rPr>
              <w:br/>
              <w:t>Strohmayr</w:t>
            </w:r>
            <w:r>
              <w:rPr>
                <w:b/>
              </w:rPr>
              <w:br/>
            </w:r>
            <w:r>
              <w:t>(SPD)</w:t>
            </w:r>
            <w:bookmarkStart w:id="88" w:name="Frage_Nr_44"/>
            <w:bookmarkEnd w:id="88"/>
          </w:p>
        </w:tc>
        <w:tc>
          <w:tcPr>
            <w:tcW w:w="5754" w:type="dxa"/>
          </w:tcPr>
          <w:p w:rsidR="00AD59F9" w:rsidRPr="00B72724" w:rsidRDefault="00AD59F9" w:rsidP="00B72724">
            <w:pPr>
              <w:pStyle w:val="LTAnfrageText"/>
            </w:pPr>
            <w:r w:rsidRPr="00B72724">
              <w:t>Ich frage die Staatsregierung, wie viele Mittel sind für wie viele Plätze an welchen Orten für das Modellprojekt „Kooperative Ganztagsbildung“ im Jahr 2021 im Entwurf der Staatsregierung für den Haushaltsplan 2021 vorgesehen? </w:t>
            </w:r>
          </w:p>
        </w:tc>
        <w:tc>
          <w:tcPr>
            <w:tcW w:w="5754" w:type="dxa"/>
          </w:tcPr>
          <w:p w:rsidR="00AD59F9" w:rsidRDefault="00AD59F9" w:rsidP="00AD59F9">
            <w:pPr>
              <w:pStyle w:val="LTAnfrageText"/>
            </w:pPr>
          </w:p>
        </w:tc>
      </w:tr>
    </w:tbl>
    <w:p w:rsidR="007E0861" w:rsidRDefault="007E0861" w:rsidP="007E0861">
      <w:pPr>
        <w:pStyle w:val="LTUeberschrAntwortRessort"/>
      </w:pPr>
      <w:r>
        <w:t>Antwort des Staatsministeriums für Familie, Arbeit und Soziales</w:t>
      </w:r>
    </w:p>
    <w:p w:rsidR="007E0861" w:rsidRDefault="007E0861" w:rsidP="007E0861">
      <w:pPr>
        <w:pStyle w:val="LTAntwortRessortText"/>
      </w:pPr>
      <w:r>
        <w:t>Bei der Haushaltsplanung wurden entsprechend dem Ausbauziel von 50 Standorten bis zum Jahr 2022 die erforderlichen Mittel (bei Titel 633 94 bzw. 684 94 Verpflichtungsermächtigungen mit einer Fälligkeit im Haushaltsjahr 2022 in Höhe von 3.915.4</w:t>
      </w:r>
      <w:r w:rsidR="00CB2060">
        <w:t>00 Euro) bereitgestellt. Die An</w:t>
      </w:r>
      <w:r>
        <w:t>zahl der Plätze für die bestehenden S</w:t>
      </w:r>
      <w:r w:rsidR="00CB2060">
        <w:t>tandorte wurde unter Berücksich</w:t>
      </w:r>
      <w:r>
        <w:t xml:space="preserve">tigung der Buchungszahlen in der </w:t>
      </w:r>
      <w:r w:rsidR="00CB2060">
        <w:t>Vergangenheit errechnet. Abgese</w:t>
      </w:r>
      <w:r>
        <w:t>hen von den bereits vorhandenen 23 Modellen (</w:t>
      </w:r>
      <w:r w:rsidR="00102307">
        <w:t>z. B.</w:t>
      </w:r>
      <w:r>
        <w:t xml:space="preserve"> OGTS-Kombi) werden (Stand 16.03.2021) an folge</w:t>
      </w:r>
      <w:r w:rsidR="00CB2060">
        <w:t>nden Standorten Kombieinrichtun</w:t>
      </w:r>
      <w:r>
        <w:t>gen sukzessive aufgebaut:</w:t>
      </w:r>
    </w:p>
    <w:p w:rsidR="007E0861" w:rsidRDefault="007E0861" w:rsidP="007E0861">
      <w:pPr>
        <w:pStyle w:val="LTAntwortRessortText"/>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977"/>
      </w:tblGrid>
      <w:tr w:rsidR="002E3E59" w:rsidTr="002E3E59">
        <w:trPr>
          <w:trHeight w:val="483"/>
        </w:trPr>
        <w:tc>
          <w:tcPr>
            <w:tcW w:w="2977" w:type="dxa"/>
            <w:vAlign w:val="center"/>
          </w:tcPr>
          <w:p w:rsidR="002E3E59" w:rsidRPr="002E3E59" w:rsidRDefault="002E3E59" w:rsidP="002E3E59">
            <w:pPr>
              <w:pStyle w:val="TableParagraph"/>
              <w:spacing w:line="321" w:lineRule="exact"/>
              <w:jc w:val="left"/>
              <w:rPr>
                <w:rFonts w:ascii="Arial" w:hAnsi="Arial" w:cs="Arial"/>
                <w:sz w:val="16"/>
                <w:szCs w:val="16"/>
              </w:rPr>
            </w:pPr>
            <w:r w:rsidRPr="002E3E59">
              <w:rPr>
                <w:rFonts w:ascii="Arial" w:hAnsi="Arial" w:cs="Arial"/>
                <w:sz w:val="16"/>
                <w:szCs w:val="16"/>
              </w:rPr>
              <w:t>München (10 Standorte)</w:t>
            </w:r>
          </w:p>
        </w:tc>
      </w:tr>
      <w:tr w:rsidR="002E3E59" w:rsidTr="002E3E59">
        <w:trPr>
          <w:trHeight w:val="481"/>
        </w:trPr>
        <w:tc>
          <w:tcPr>
            <w:tcW w:w="2977" w:type="dxa"/>
            <w:vAlign w:val="center"/>
          </w:tcPr>
          <w:p w:rsidR="002E3E59" w:rsidRPr="002E3E59" w:rsidRDefault="002E3E59" w:rsidP="002E3E59">
            <w:pPr>
              <w:pStyle w:val="TableParagraph"/>
              <w:jc w:val="left"/>
              <w:rPr>
                <w:rFonts w:ascii="Arial" w:hAnsi="Arial" w:cs="Arial"/>
                <w:sz w:val="16"/>
                <w:szCs w:val="16"/>
              </w:rPr>
            </w:pPr>
            <w:r w:rsidRPr="002E3E59">
              <w:rPr>
                <w:rFonts w:ascii="Arial" w:hAnsi="Arial" w:cs="Arial"/>
                <w:sz w:val="16"/>
                <w:szCs w:val="16"/>
              </w:rPr>
              <w:t>Nürnberg</w:t>
            </w:r>
          </w:p>
        </w:tc>
      </w:tr>
      <w:tr w:rsidR="002E3E59" w:rsidTr="002E3E59">
        <w:trPr>
          <w:trHeight w:val="484"/>
        </w:trPr>
        <w:tc>
          <w:tcPr>
            <w:tcW w:w="2977" w:type="dxa"/>
            <w:vAlign w:val="center"/>
          </w:tcPr>
          <w:p w:rsidR="002E3E59" w:rsidRPr="002E3E59" w:rsidRDefault="002E3E59" w:rsidP="002E3E59">
            <w:pPr>
              <w:pStyle w:val="TableParagraph"/>
              <w:spacing w:line="321" w:lineRule="exact"/>
              <w:jc w:val="left"/>
              <w:rPr>
                <w:rFonts w:ascii="Arial" w:hAnsi="Arial" w:cs="Arial"/>
                <w:sz w:val="16"/>
                <w:szCs w:val="16"/>
              </w:rPr>
            </w:pPr>
            <w:r w:rsidRPr="002E3E59">
              <w:rPr>
                <w:rFonts w:ascii="Arial" w:hAnsi="Arial" w:cs="Arial"/>
                <w:sz w:val="16"/>
                <w:szCs w:val="16"/>
              </w:rPr>
              <w:t>Würzburg (2 Standorte)</w:t>
            </w:r>
          </w:p>
        </w:tc>
      </w:tr>
      <w:tr w:rsidR="002E3E59" w:rsidTr="002E3E59">
        <w:trPr>
          <w:trHeight w:val="484"/>
        </w:trPr>
        <w:tc>
          <w:tcPr>
            <w:tcW w:w="2977" w:type="dxa"/>
            <w:vAlign w:val="center"/>
          </w:tcPr>
          <w:p w:rsidR="002E3E59" w:rsidRPr="002E3E59" w:rsidRDefault="002E3E59" w:rsidP="002E3E59">
            <w:pPr>
              <w:pStyle w:val="TableParagraph"/>
              <w:jc w:val="left"/>
              <w:rPr>
                <w:rFonts w:ascii="Arial" w:hAnsi="Arial" w:cs="Arial"/>
                <w:sz w:val="16"/>
                <w:szCs w:val="16"/>
              </w:rPr>
            </w:pPr>
            <w:r w:rsidRPr="002E3E59">
              <w:rPr>
                <w:rFonts w:ascii="Arial" w:hAnsi="Arial" w:cs="Arial"/>
                <w:sz w:val="16"/>
                <w:szCs w:val="16"/>
              </w:rPr>
              <w:t>Aschaffenburg</w:t>
            </w:r>
          </w:p>
        </w:tc>
      </w:tr>
      <w:tr w:rsidR="002E3E59" w:rsidTr="002E3E59">
        <w:trPr>
          <w:trHeight w:val="481"/>
        </w:trPr>
        <w:tc>
          <w:tcPr>
            <w:tcW w:w="2977" w:type="dxa"/>
            <w:vAlign w:val="center"/>
          </w:tcPr>
          <w:p w:rsidR="002E3E59" w:rsidRPr="002E3E59" w:rsidRDefault="002E3E59" w:rsidP="002E3E59">
            <w:pPr>
              <w:pStyle w:val="TableParagraph"/>
              <w:jc w:val="left"/>
              <w:rPr>
                <w:rFonts w:ascii="Arial" w:hAnsi="Arial" w:cs="Arial"/>
                <w:sz w:val="16"/>
                <w:szCs w:val="16"/>
              </w:rPr>
            </w:pPr>
            <w:r w:rsidRPr="002E3E59">
              <w:rPr>
                <w:rFonts w:ascii="Arial" w:hAnsi="Arial" w:cs="Arial"/>
                <w:sz w:val="16"/>
                <w:szCs w:val="16"/>
              </w:rPr>
              <w:t>Markt Goldbach</w:t>
            </w:r>
          </w:p>
        </w:tc>
      </w:tr>
      <w:tr w:rsidR="002E3E59" w:rsidTr="002E3E59">
        <w:trPr>
          <w:trHeight w:val="483"/>
        </w:trPr>
        <w:tc>
          <w:tcPr>
            <w:tcW w:w="2977" w:type="dxa"/>
            <w:vAlign w:val="center"/>
          </w:tcPr>
          <w:p w:rsidR="002E3E59" w:rsidRPr="002E3E59" w:rsidRDefault="002E3E59" w:rsidP="002E3E59">
            <w:pPr>
              <w:pStyle w:val="TableParagraph"/>
              <w:spacing w:line="321" w:lineRule="exact"/>
              <w:jc w:val="left"/>
              <w:rPr>
                <w:rFonts w:ascii="Arial" w:hAnsi="Arial" w:cs="Arial"/>
                <w:sz w:val="16"/>
                <w:szCs w:val="16"/>
              </w:rPr>
            </w:pPr>
            <w:r w:rsidRPr="002E3E59">
              <w:rPr>
                <w:rFonts w:ascii="Arial" w:hAnsi="Arial" w:cs="Arial"/>
                <w:sz w:val="16"/>
                <w:szCs w:val="16"/>
              </w:rPr>
              <w:t>Mühldorf a. Inn</w:t>
            </w:r>
          </w:p>
        </w:tc>
      </w:tr>
      <w:tr w:rsidR="002E3E59" w:rsidTr="002E3E59">
        <w:trPr>
          <w:trHeight w:val="481"/>
        </w:trPr>
        <w:tc>
          <w:tcPr>
            <w:tcW w:w="2977" w:type="dxa"/>
            <w:vAlign w:val="center"/>
          </w:tcPr>
          <w:p w:rsidR="002E3E59" w:rsidRPr="002E3E59" w:rsidRDefault="002E3E59" w:rsidP="002E3E59">
            <w:pPr>
              <w:pStyle w:val="TableParagraph"/>
              <w:jc w:val="left"/>
              <w:rPr>
                <w:rFonts w:ascii="Arial" w:hAnsi="Arial" w:cs="Arial"/>
                <w:sz w:val="16"/>
                <w:szCs w:val="16"/>
              </w:rPr>
            </w:pPr>
            <w:r w:rsidRPr="002E3E59">
              <w:rPr>
                <w:rFonts w:ascii="Arial" w:hAnsi="Arial" w:cs="Arial"/>
                <w:sz w:val="16"/>
                <w:szCs w:val="16"/>
              </w:rPr>
              <w:t>Markt Wendelstein</w:t>
            </w:r>
          </w:p>
        </w:tc>
      </w:tr>
      <w:tr w:rsidR="002E3E59" w:rsidTr="002E3E59">
        <w:trPr>
          <w:trHeight w:val="484"/>
        </w:trPr>
        <w:tc>
          <w:tcPr>
            <w:tcW w:w="2977" w:type="dxa"/>
            <w:vAlign w:val="center"/>
          </w:tcPr>
          <w:p w:rsidR="002E3E59" w:rsidRPr="002E3E59" w:rsidRDefault="002E3E59" w:rsidP="002E3E59">
            <w:pPr>
              <w:pStyle w:val="TableParagraph"/>
              <w:spacing w:line="321" w:lineRule="exact"/>
              <w:jc w:val="left"/>
              <w:rPr>
                <w:rFonts w:ascii="Arial" w:hAnsi="Arial" w:cs="Arial"/>
                <w:sz w:val="16"/>
                <w:szCs w:val="16"/>
              </w:rPr>
            </w:pPr>
            <w:r w:rsidRPr="002E3E59">
              <w:rPr>
                <w:rFonts w:ascii="Arial" w:hAnsi="Arial" w:cs="Arial"/>
                <w:sz w:val="16"/>
                <w:szCs w:val="16"/>
              </w:rPr>
              <w:t>Markt Neunkirchen a. Brand</w:t>
            </w:r>
          </w:p>
        </w:tc>
      </w:tr>
      <w:tr w:rsidR="002E3E59" w:rsidTr="002E3E59">
        <w:trPr>
          <w:trHeight w:val="483"/>
        </w:trPr>
        <w:tc>
          <w:tcPr>
            <w:tcW w:w="2977" w:type="dxa"/>
            <w:vAlign w:val="center"/>
          </w:tcPr>
          <w:p w:rsidR="002E3E59" w:rsidRPr="002E3E59" w:rsidRDefault="002E3E59" w:rsidP="002E3E59">
            <w:pPr>
              <w:pStyle w:val="TableParagraph"/>
              <w:jc w:val="left"/>
              <w:rPr>
                <w:rFonts w:ascii="Arial" w:hAnsi="Arial" w:cs="Arial"/>
                <w:sz w:val="16"/>
                <w:szCs w:val="16"/>
              </w:rPr>
            </w:pPr>
            <w:r w:rsidRPr="002E3E59">
              <w:rPr>
                <w:rFonts w:ascii="Arial" w:hAnsi="Arial" w:cs="Arial"/>
                <w:sz w:val="16"/>
                <w:szCs w:val="16"/>
              </w:rPr>
              <w:t>Kirchheim b. München</w:t>
            </w:r>
          </w:p>
        </w:tc>
      </w:tr>
    </w:tbl>
    <w:p w:rsidR="007E0861" w:rsidRDefault="007E0861" w:rsidP="007E0861">
      <w:pPr>
        <w:pStyle w:val="LTAntwortRessortText"/>
      </w:pPr>
      <w:r>
        <w:t>Den bereits vorhandenen 23 Modellstandorten wird ein Wechsel in die kooperative Ganztagsbildung angeboten. Im Haushaltsplan 2021 sind hierfür noch keine Mittel vorgesehen. Weitere Standorte befinden sich noch in Planungen für einen Start zu</w:t>
      </w:r>
      <w:r w:rsidR="00CB2060">
        <w:t>m Schuljahr 2021/</w:t>
      </w:r>
      <w:r w:rsidR="003830E9">
        <w:t>20</w:t>
      </w:r>
      <w:r w:rsidR="00CB2060">
        <w:t>22 und sind da</w:t>
      </w:r>
      <w:r>
        <w:t>her bei der Haushaltsplanung berücksichtigt.</w:t>
      </w:r>
    </w:p>
    <w:p w:rsidR="007E0861" w:rsidRDefault="007E0861">
      <w:bookmarkStart w:id="89" w:name="Frage_Nr_44_Ende"/>
      <w:bookmarkEnd w:id="89"/>
      <w:r>
        <w:br w:type="page"/>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35608B" w:rsidTr="0035608B">
        <w:tc>
          <w:tcPr>
            <w:tcW w:w="1873" w:type="dxa"/>
          </w:tcPr>
          <w:p w:rsidR="0035608B" w:rsidRDefault="0035608B" w:rsidP="0035608B">
            <w:pPr>
              <w:pStyle w:val="LTAnfrageInitiator"/>
            </w:pPr>
            <w:r>
              <w:lastRenderedPageBreak/>
              <w:t>Abgeordneter</w:t>
            </w:r>
            <w:r>
              <w:rPr>
                <w:b/>
              </w:rPr>
              <w:br/>
              <w:t>Arif</w:t>
            </w:r>
            <w:r>
              <w:rPr>
                <w:b/>
              </w:rPr>
              <w:br/>
              <w:t>Ta</w:t>
            </w:r>
            <w:r>
              <w:rPr>
                <w:rFonts w:cs="Arial"/>
                <w:b/>
              </w:rPr>
              <w:t>ş</w:t>
            </w:r>
            <w:r>
              <w:rPr>
                <w:b/>
              </w:rPr>
              <w:t>delen</w:t>
            </w:r>
            <w:r>
              <w:rPr>
                <w:b/>
              </w:rPr>
              <w:br/>
            </w:r>
            <w:r>
              <w:t>(SPD)</w:t>
            </w:r>
            <w:bookmarkStart w:id="90" w:name="Frage_Nr_45"/>
            <w:bookmarkEnd w:id="90"/>
          </w:p>
        </w:tc>
        <w:tc>
          <w:tcPr>
            <w:tcW w:w="5743" w:type="dxa"/>
          </w:tcPr>
          <w:p w:rsidR="0035608B" w:rsidRPr="00B72724" w:rsidRDefault="0035608B" w:rsidP="00B72724">
            <w:pPr>
              <w:pStyle w:val="LTAnfrageText"/>
            </w:pPr>
            <w:r w:rsidRPr="00B72724">
              <w:t>Vor dem Hintergrund, dass das Präsidium des Landesverbands Bayern im Deutschen Jugendherbergswerk am 26.02.2021 aufgrund der wirtschaftlichen Untragbarkeit die demnächst endgültige Schließung der Jugendherbergen in Lohr, Feuchtwangen und Kelheim beschlossen hat (</w:t>
            </w:r>
            <w:hyperlink r:id="rId26" w:history="1">
              <w:r w:rsidRPr="00B72724">
                <w:t>https://bit.ly/38I6Gx4</w:t>
              </w:r>
            </w:hyperlink>
            <w:r w:rsidRPr="00B72724">
              <w:t>), frage ich die Staatsregierung, wie viel Geld haben die bayerischen Jugendherbergen aus den bisher vom Freistaat Bayern aufgestellten Hilfsprogrammen erhalten (bitte Aufschlüsselung nach Regierungsbezirken, Jugendherbergen und jeweiligem Hilfsprogramm), welche weiteren finanziellen Hilfsprogramme und sonstigen Unterstützungsmaßnahmen zur Überbrückung der Einnahmeverluste aufgrund pandemiebedingter Schließungen plant sie für die Jugendherbergen und plant die Staatsregierung darüber hinaus finanzielle Sonderinvestitionen für die Unterstützung der Jugendherbergen bei Sanierungs- und Umbaumaßnahmen, die die Träger der Jugendherbergen aufgrund der coronabedingten Einnahmeverluste aufschieben müssen?</w:t>
            </w:r>
          </w:p>
        </w:tc>
        <w:tc>
          <w:tcPr>
            <w:tcW w:w="5743" w:type="dxa"/>
          </w:tcPr>
          <w:p w:rsidR="0035608B" w:rsidRDefault="0035608B" w:rsidP="0035608B">
            <w:pPr>
              <w:pStyle w:val="LTAnfrageText"/>
            </w:pPr>
          </w:p>
        </w:tc>
      </w:tr>
    </w:tbl>
    <w:p w:rsidR="007E0861" w:rsidRDefault="007E0861" w:rsidP="007E0861">
      <w:pPr>
        <w:pStyle w:val="LTUeberschrAntwortRessort"/>
      </w:pPr>
      <w:r>
        <w:t>Antwort des Staatsministeriums für Familie, Arbeit und Soziales</w:t>
      </w:r>
    </w:p>
    <w:p w:rsidR="007E0861" w:rsidRDefault="007E0861" w:rsidP="007E0861">
      <w:pPr>
        <w:pStyle w:val="LTAntwortRessortText"/>
      </w:pPr>
      <w:r>
        <w:t>Hinsichtlich der Mittel für die bayerischen Jugendherbergen aus den bisher vom Freistaat Bayern aufgest</w:t>
      </w:r>
      <w:r w:rsidR="00CB2060">
        <w:t>ellten Hilfsprogrammen kann Fol</w:t>
      </w:r>
      <w:r>
        <w:t>gendes mitgeteilt werden: Im Geschäftsbereich des Staatsminist</w:t>
      </w:r>
      <w:r w:rsidR="00CB2060">
        <w:t>eriums für Wirtschaft, Landesent</w:t>
      </w:r>
      <w:r>
        <w:t>wicklung und Energie (StMWi) wu</w:t>
      </w:r>
      <w:r w:rsidR="00262A38">
        <w:t>rden aus coronabedingten Landes</w:t>
      </w:r>
      <w:r>
        <w:t>programmen keine Hilfen an bayerische Jugendherbergen gewährt. Die Überbrückungshilfen und die außerordentlichen Wirtschaftshilfen</w:t>
      </w:r>
      <w:r w:rsidR="00CB2060">
        <w:t xml:space="preserve"> </w:t>
      </w:r>
      <w:r>
        <w:t>(November- bzw. Dezemberhilfe), fü</w:t>
      </w:r>
      <w:r w:rsidR="00CB2060">
        <w:t>r die Jugendherbergen grundsätz</w:t>
      </w:r>
      <w:r>
        <w:t>lich antragsberechtigt sind, sind Bundesprogramme.</w:t>
      </w:r>
    </w:p>
    <w:p w:rsidR="007E0861" w:rsidRDefault="007E0861" w:rsidP="005A439A">
      <w:pPr>
        <w:pStyle w:val="LTAntwortRessortText"/>
        <w:spacing w:before="0"/>
      </w:pPr>
      <w:r>
        <w:t xml:space="preserve">Im Geschäftsbereich des Staatsministeriums für Familie, Arbeit und Soziales (StMAS) wurden aus dem bayerischen </w:t>
      </w:r>
      <w:r w:rsidR="00102307">
        <w:t>„</w:t>
      </w:r>
      <w:r>
        <w:t>Corona-Programm Soziales</w:t>
      </w:r>
      <w:r w:rsidR="00102307">
        <w:t>“</w:t>
      </w:r>
      <w:r w:rsidR="00262A38">
        <w:t xml:space="preserve"> Billigkeitsleistungen i. H. </w:t>
      </w:r>
      <w:r>
        <w:t xml:space="preserve">v. insgesamt 7.993.702,63 </w:t>
      </w:r>
      <w:r w:rsidR="00102307">
        <w:t>Euro</w:t>
      </w:r>
      <w:r>
        <w:t xml:space="preserve"> an bayerische Jugendherbergen gewährt. Da die Billigkeitsleistungen nicht einrichtungs-, sondern trägerbezog</w:t>
      </w:r>
      <w:r w:rsidR="00262A38">
        <w:t>en gewährt wurden und Träger z. </w:t>
      </w:r>
      <w:r>
        <w:t>T. bayernweit mehrere Einrichtungen</w:t>
      </w:r>
      <w:r w:rsidR="00CB2060">
        <w:t xml:space="preserve"> betreiben, lassen sich die Bil</w:t>
      </w:r>
      <w:r>
        <w:t>ligkeitsleistungen nicht vollständig einzeln aufschlüsseln. Die Träger folgender im Deutschen Jugendherbe</w:t>
      </w:r>
      <w:r w:rsidR="00262A38">
        <w:t>rgswerk Landesverband Bayern e. </w:t>
      </w:r>
      <w:r>
        <w:t>V. vereinigten Jugendherbergseinrichtungen haben (aufgegliedert nach Regierungsbezirken) Billigkeitsleistungen erhalten:</w:t>
      </w:r>
    </w:p>
    <w:p w:rsidR="007E0861" w:rsidRDefault="007E0861" w:rsidP="005A439A">
      <w:pPr>
        <w:pStyle w:val="LTAntwortRessortText"/>
        <w:numPr>
          <w:ilvl w:val="1"/>
          <w:numId w:val="39"/>
        </w:numPr>
        <w:spacing w:before="0"/>
        <w:ind w:left="680" w:hanging="340"/>
      </w:pPr>
      <w:r>
        <w:t>Oberbayern: Jugendherber</w:t>
      </w:r>
      <w:r w:rsidR="00CB2060">
        <w:t>ge Bad Tölz, Jugendherberge Bay</w:t>
      </w:r>
      <w:r>
        <w:t>rischzell-Sudelfeld, Jugendher</w:t>
      </w:r>
      <w:r w:rsidR="00CB2060">
        <w:t>berge Bischofswiesen, Jugendher</w:t>
      </w:r>
      <w:r>
        <w:t>berge Burghausen, Jugen</w:t>
      </w:r>
      <w:r w:rsidR="00CB2060">
        <w:t>dherberge Dachau im Max-Mannhei</w:t>
      </w:r>
      <w:r>
        <w:t>mer-Haus, Jugendherberg</w:t>
      </w:r>
      <w:r w:rsidR="00CB2060">
        <w:t>e Eichstätt, Jugendherberge Gar</w:t>
      </w:r>
      <w:r>
        <w:t>misch-Partenkirchen, Jugendherberge Moun10, Jugendherberge Kreuth-Scharling. Jugendherberge Lenggries, Jugendherberge Mittenwald, Jugendherberge München-City, Jugendherberge München-Park, Jugendh</w:t>
      </w:r>
      <w:r w:rsidR="00CB2060">
        <w:t>erberge Oberammergau, Jugendher</w:t>
      </w:r>
      <w:r>
        <w:t>berge Pöcking, Jugendherberge Schliersee, Jugendherberge Walchensee, Jugendherberg</w:t>
      </w:r>
      <w:r w:rsidR="004D023C">
        <w:t>e Pullach –</w:t>
      </w:r>
      <w:r w:rsidR="00CB2060">
        <w:t xml:space="preserve"> Burg Schwan</w:t>
      </w:r>
      <w:r w:rsidR="004D023C">
        <w:t>-</w:t>
      </w:r>
      <w:r w:rsidR="004D023C">
        <w:br/>
      </w:r>
      <w:r w:rsidR="00CB2060">
        <w:t>eck</w:t>
      </w:r>
      <w:r w:rsidR="004D023C">
        <w:t xml:space="preserve"> </w:t>
      </w:r>
      <w:r w:rsidR="00CB2060">
        <w:t>-, Ju</w:t>
      </w:r>
      <w:r>
        <w:t xml:space="preserve">gendherberge Mühldorf und Jugendherberge Benediktbeuern </w:t>
      </w:r>
      <w:r w:rsidR="00102307">
        <w:t>„</w:t>
      </w:r>
      <w:r>
        <w:t>Don Bosco</w:t>
      </w:r>
      <w:r w:rsidR="00102307">
        <w:t>“</w:t>
      </w:r>
    </w:p>
    <w:p w:rsidR="007E0861" w:rsidRDefault="007E0861" w:rsidP="005A439A">
      <w:pPr>
        <w:pStyle w:val="LTAntwortRessortText"/>
        <w:numPr>
          <w:ilvl w:val="1"/>
          <w:numId w:val="39"/>
        </w:numPr>
        <w:spacing w:before="0"/>
        <w:ind w:left="680" w:hanging="340"/>
      </w:pPr>
      <w:r>
        <w:t>Niederbayern: Jugendherberg</w:t>
      </w:r>
      <w:r w:rsidR="00CB2060">
        <w:t>en Bayerisch Eisenstein, Jugend</w:t>
      </w:r>
      <w:r>
        <w:t>herberge Haidmühle, Jugendherberge Kelheim, Jugendherberge Passau, Jugendherberge Sa</w:t>
      </w:r>
      <w:r w:rsidR="00CB2060">
        <w:t>ldenburg und Jugendherberge Neu</w:t>
      </w:r>
      <w:r>
        <w:t>schönau</w:t>
      </w:r>
    </w:p>
    <w:p w:rsidR="007E0861" w:rsidRDefault="007E0861" w:rsidP="005A439A">
      <w:pPr>
        <w:pStyle w:val="LTAntwortRessortText"/>
        <w:numPr>
          <w:ilvl w:val="1"/>
          <w:numId w:val="39"/>
        </w:numPr>
        <w:spacing w:before="0"/>
        <w:ind w:left="680" w:hanging="340"/>
      </w:pPr>
      <w:r>
        <w:lastRenderedPageBreak/>
        <w:t>Schwaben: Jugendherberge</w:t>
      </w:r>
      <w:r w:rsidR="00CB2060">
        <w:t xml:space="preserve"> Donauwörth, Jugendherberge Füs</w:t>
      </w:r>
      <w:r>
        <w:t>sen, Jugendherberge Lindau, Jugendherberge Oberstdorf-Kornau, Jugendherberge Ottobeuren und Jugendherbergen Augsburg</w:t>
      </w:r>
    </w:p>
    <w:p w:rsidR="007E0861" w:rsidRDefault="007E0861" w:rsidP="005A439A">
      <w:pPr>
        <w:pStyle w:val="LTAntwortRessortText"/>
        <w:numPr>
          <w:ilvl w:val="1"/>
          <w:numId w:val="39"/>
        </w:numPr>
        <w:spacing w:before="0"/>
        <w:ind w:left="680" w:hanging="340"/>
      </w:pPr>
      <w:r>
        <w:t>Oberpfalz: Jugendherberge Bur</w:t>
      </w:r>
      <w:r w:rsidR="00CB2060">
        <w:t>g Trausnitz, Jugendherberge Fal</w:t>
      </w:r>
      <w:r>
        <w:t>kenberg-Tannenlohe, Jugendhe</w:t>
      </w:r>
      <w:r w:rsidR="00CB2060">
        <w:t>rberge Furth i. Wald und Jugend</w:t>
      </w:r>
      <w:r>
        <w:t>herberge Regensburg</w:t>
      </w:r>
    </w:p>
    <w:p w:rsidR="007E0861" w:rsidRDefault="007E0861" w:rsidP="005A439A">
      <w:pPr>
        <w:pStyle w:val="LTAntwortRessortText"/>
        <w:numPr>
          <w:ilvl w:val="1"/>
          <w:numId w:val="39"/>
        </w:numPr>
        <w:spacing w:before="0"/>
        <w:ind w:left="680" w:hanging="340"/>
      </w:pPr>
      <w:r>
        <w:t>Oberfranken: Jugendherber</w:t>
      </w:r>
      <w:r w:rsidR="00CB2060">
        <w:t>ge Bayreuth, Jugendherberge Wun</w:t>
      </w:r>
      <w:r>
        <w:t xml:space="preserve">siedel und Jugendherberge Bamberg </w:t>
      </w:r>
      <w:r w:rsidR="00102307">
        <w:t>„</w:t>
      </w:r>
      <w:r>
        <w:t>Am Kaulberg</w:t>
      </w:r>
      <w:r w:rsidR="00102307">
        <w:t>“</w:t>
      </w:r>
    </w:p>
    <w:p w:rsidR="007E0861" w:rsidRDefault="007E0861" w:rsidP="005A439A">
      <w:pPr>
        <w:pStyle w:val="LTAntwortRessortText"/>
        <w:numPr>
          <w:ilvl w:val="1"/>
          <w:numId w:val="39"/>
        </w:numPr>
        <w:spacing w:before="0"/>
        <w:ind w:left="680" w:hanging="340"/>
      </w:pPr>
      <w:r>
        <w:t>Mittelfranken: Jugendherberge Feuchtwangen, Jugendherberge Hartenstein, Jugendherber</w:t>
      </w:r>
      <w:r w:rsidR="00CB2060">
        <w:t>ge Nürnberg, Jugendherberge Rot</w:t>
      </w:r>
      <w:r>
        <w:t>henburg ob der Tauber, Jug</w:t>
      </w:r>
      <w:r w:rsidR="00CB2060">
        <w:t>endherberge Dinkelsbühl, Jugend</w:t>
      </w:r>
      <w:r>
        <w:t>herberge Burg Wernfels und Jugendherberge Gunzenhausen am Altmühlsee</w:t>
      </w:r>
    </w:p>
    <w:p w:rsidR="007E0861" w:rsidRDefault="007E0861" w:rsidP="005A439A">
      <w:pPr>
        <w:pStyle w:val="LTAntwortRessortText"/>
        <w:numPr>
          <w:ilvl w:val="1"/>
          <w:numId w:val="39"/>
        </w:numPr>
        <w:spacing w:before="0"/>
        <w:ind w:left="680" w:hanging="340"/>
      </w:pPr>
      <w:r>
        <w:t>Unterfranken: Jugendherberge Lohr, Jugendher</w:t>
      </w:r>
      <w:r w:rsidR="00CB2060">
        <w:t>berge Potten</w:t>
      </w:r>
      <w:r>
        <w:t>stein, Jugendherberge Schweinfurt, Jugendherberge Würzburg, Jugendherberge Bad Kissing</w:t>
      </w:r>
      <w:r w:rsidR="00CB2060">
        <w:t>en -Der Heiligenhof- und Jugend</w:t>
      </w:r>
      <w:r>
        <w:t>herberge Burg Rothenfels</w:t>
      </w:r>
    </w:p>
    <w:p w:rsidR="007E0861" w:rsidRDefault="007E0861" w:rsidP="007E0861">
      <w:pPr>
        <w:pStyle w:val="LTAntwortRessortText"/>
      </w:pPr>
      <w:r>
        <w:t>Die Staatsregierung plant derzeit keine weiteren Hilfsprogramme und sonstigen Unterstützungsmaßnahmen für die Jugendherbergen sowie auch keine finanziellen Sonderinvestitionen.</w:t>
      </w:r>
    </w:p>
    <w:p w:rsidR="007E0861" w:rsidRDefault="007E0861" w:rsidP="007E0861">
      <w:pPr>
        <w:pStyle w:val="LTAntwortRessortText"/>
      </w:pPr>
      <w:r>
        <w:t xml:space="preserve">Die Staatsregierung weist außerdem </w:t>
      </w:r>
      <w:r w:rsidR="00CB2060">
        <w:t>darauf hin, dass laut Pressemel</w:t>
      </w:r>
      <w:r>
        <w:t>dung des Deutschen Jugendherber</w:t>
      </w:r>
      <w:r w:rsidR="00262A38">
        <w:t>gswerks Landesverband Bayern e. </w:t>
      </w:r>
      <w:r>
        <w:t>V. vom 19</w:t>
      </w:r>
      <w:r w:rsidR="00262A38">
        <w:t>.01.</w:t>
      </w:r>
      <w:r>
        <w:t xml:space="preserve">2021 </w:t>
      </w:r>
      <w:r w:rsidR="00102307">
        <w:t>„</w:t>
      </w:r>
      <w:r>
        <w:t xml:space="preserve">die seit fast einem Jahr anhaltende </w:t>
      </w:r>
      <w:r w:rsidR="00B832D1">
        <w:t>Coronapandemie</w:t>
      </w:r>
      <w:r>
        <w:t xml:space="preserve"> nicht der Auslö</w:t>
      </w:r>
      <w:r w:rsidR="00CB2060">
        <w:t>ser und Grund für den Tendenzbe</w:t>
      </w:r>
      <w:r>
        <w:t>schluss zur Schließung [der Stand</w:t>
      </w:r>
      <w:r w:rsidR="00CB2060">
        <w:t>orte Lohr, Feuchtwangen und Kel</w:t>
      </w:r>
      <w:r>
        <w:t>heim] gewesen sei. Corona habe ledig</w:t>
      </w:r>
      <w:r w:rsidR="00262A38">
        <w:t>lich die Prozesse beschleunigt –</w:t>
      </w:r>
      <w:r w:rsidR="004C0F13">
        <w:t xml:space="preserve"> </w:t>
      </w:r>
      <w:r>
        <w:t>auch ohne diese Krise hätte mittelfristig die Entscheidung zur Aufgabe der drei Standorte getroffen werden müssen.</w:t>
      </w:r>
      <w:r w:rsidR="00102307">
        <w:t>“</w:t>
      </w:r>
    </w:p>
    <w:p w:rsidR="007E0861" w:rsidRDefault="007E0861">
      <w:bookmarkStart w:id="91" w:name="Frage_Nr_45_Ende"/>
      <w:bookmarkEnd w:id="91"/>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5608B" w:rsidTr="0035608B">
        <w:tc>
          <w:tcPr>
            <w:tcW w:w="1883" w:type="dxa"/>
          </w:tcPr>
          <w:p w:rsidR="0035608B" w:rsidRDefault="0035608B" w:rsidP="0035608B">
            <w:pPr>
              <w:pStyle w:val="LTAnfrageInitiator"/>
            </w:pPr>
            <w:r>
              <w:lastRenderedPageBreak/>
              <w:t>Abgeordneter</w:t>
            </w:r>
            <w:r>
              <w:rPr>
                <w:b/>
              </w:rPr>
              <w:br/>
              <w:t>Hans</w:t>
            </w:r>
            <w:r>
              <w:rPr>
                <w:b/>
              </w:rPr>
              <w:br/>
              <w:t>Urban</w:t>
            </w:r>
            <w:r>
              <w:rPr>
                <w:b/>
              </w:rPr>
              <w:br/>
            </w:r>
            <w:r>
              <w:t>(BÜNDNIS 90/DIE GRÜNEN)</w:t>
            </w:r>
            <w:bookmarkStart w:id="92" w:name="Frage_Nr_46"/>
            <w:bookmarkEnd w:id="92"/>
          </w:p>
        </w:tc>
        <w:tc>
          <w:tcPr>
            <w:tcW w:w="5733" w:type="dxa"/>
          </w:tcPr>
          <w:p w:rsidR="0035608B" w:rsidRPr="00B72724" w:rsidRDefault="0035608B" w:rsidP="00B72724">
            <w:pPr>
              <w:pStyle w:val="LTAnfrageText"/>
            </w:pPr>
            <w:r w:rsidRPr="00B72724">
              <w:t xml:space="preserve">Ich frage die Staatsregierung, wie viele Kinder im Alter bis zu </w:t>
            </w:r>
            <w:r w:rsidRPr="00B72724">
              <w:br/>
              <w:t>15 Jahren gibt es in Bayern, wie hoch ist die Armutsgefährdungsquote derzeit nach dem Bundesmedian bei Kindern bis zum Alter von 15 Jahren in Bayern und wie hat sich diese Quote seit 2010 entwickelt? </w:t>
            </w:r>
          </w:p>
        </w:tc>
        <w:tc>
          <w:tcPr>
            <w:tcW w:w="5733" w:type="dxa"/>
          </w:tcPr>
          <w:p w:rsidR="0035608B" w:rsidRDefault="0035608B" w:rsidP="0035608B">
            <w:pPr>
              <w:pStyle w:val="LTAnfrageText"/>
            </w:pPr>
          </w:p>
        </w:tc>
      </w:tr>
    </w:tbl>
    <w:p w:rsidR="007E0861" w:rsidRDefault="007E0861" w:rsidP="005A439A">
      <w:pPr>
        <w:pStyle w:val="LTUeberschrAntwortRessort"/>
        <w:spacing w:before="520"/>
      </w:pPr>
      <w:r>
        <w:t>Antwort des Staatsministeriums für Familie, Arbeit und Soziales</w:t>
      </w:r>
    </w:p>
    <w:p w:rsidR="007E0861" w:rsidRDefault="007E0861" w:rsidP="007E0861">
      <w:pPr>
        <w:pStyle w:val="LTAntwortRessortText"/>
      </w:pPr>
      <w:r>
        <w:t xml:space="preserve">Entsprechend den Ergebnissen der Bevölkerungsfortschreibung lebten in Bayern zum Jahresende 2019 rund </w:t>
      </w:r>
      <w:r w:rsidR="00CB2060">
        <w:t>1,8 Mio. Kinder im Alter von un</w:t>
      </w:r>
      <w:r>
        <w:t>ter 15</w:t>
      </w:r>
      <w:r w:rsidR="00262A38">
        <w:t xml:space="preserve"> Jahren. Zuzüglich von rund 119 </w:t>
      </w:r>
      <w:r>
        <w:t>000 15-Jährigen ergab sich eine Anzahl von rund 1,919 Mio. Personen im Alter bis einschließlich 15 Jahren.</w:t>
      </w:r>
    </w:p>
    <w:p w:rsidR="007E0861" w:rsidRDefault="007E0861" w:rsidP="007E0861">
      <w:pPr>
        <w:pStyle w:val="LTAntwortRessortText"/>
      </w:pPr>
      <w:r>
        <w:t>Die sog. Armutsgefährdungsquote für unter 15-J</w:t>
      </w:r>
      <w:r w:rsidR="00CB2060">
        <w:t>ährige auf Basis des Bundesme</w:t>
      </w:r>
      <w:r w:rsidR="00262A38">
        <w:t>-</w:t>
      </w:r>
      <w:r w:rsidR="00CB2060">
        <w:t>dia</w:t>
      </w:r>
      <w:r>
        <w:t>ns liegt lediglich für da</w:t>
      </w:r>
      <w:r w:rsidR="00CB2060">
        <w:t>s Jahr 2014 vor. Sie bildet auf</w:t>
      </w:r>
      <w:r>
        <w:t>grund der unterschiedlichen Datenque</w:t>
      </w:r>
      <w:r w:rsidR="005A439A">
        <w:t>lle (Mikrozensus) und des unter</w:t>
      </w:r>
      <w:r>
        <w:t>schiedlichen Bezugszeitpunkts/-raums (Jahresdurchschnittswert) aber ohnehin eine unpassende Vergleichs</w:t>
      </w:r>
      <w:r w:rsidR="00CB2060">
        <w:t>basis zu den vorgenannten Bevöl</w:t>
      </w:r>
      <w:r>
        <w:t>kerungsdaten. Im Jahr 2014 lag sie in Bayern mit 12,0 Prozent deutlich unter dem gesamtdeutschen Vergleichswert von 17,6 Prozent (vgl. Vierter Bericht der Staatsregierung zur sozialen Lage in Bayern, Darstellung 5.24, S. 170).</w:t>
      </w:r>
    </w:p>
    <w:p w:rsidR="007E0861" w:rsidRDefault="007E0861" w:rsidP="007E0861">
      <w:pPr>
        <w:pStyle w:val="LTAntwortRessortText"/>
      </w:pPr>
      <w:r>
        <w:t>Alternativ kann die Entwicklung der</w:t>
      </w:r>
      <w:r w:rsidR="00CB2060">
        <w:t xml:space="preserve"> sog. Armutsgefährdungsquote so</w:t>
      </w:r>
      <w:r>
        <w:t>wie der S</w:t>
      </w:r>
      <w:r w:rsidR="00262A38">
        <w:t>ozialgesetzbuch Zwei</w:t>
      </w:r>
      <w:r>
        <w:t xml:space="preserve">-Quote </w:t>
      </w:r>
      <w:r w:rsidR="00262A38">
        <w:t xml:space="preserve">(SGB II-Quote) </w:t>
      </w:r>
      <w:r>
        <w:t>der unter 18-Jährigen in Bayern wie Deutschland zwischen 2010 und 2019 der nachfolgenden Darstellung entnommen</w:t>
      </w:r>
      <w:r w:rsidR="004C0F13">
        <w:t xml:space="preserve"> </w:t>
      </w:r>
      <w:r>
        <w:t>werden. Beide Quoten verzeichneten für Kinder und Jugendliche im Alter</w:t>
      </w:r>
      <w:r w:rsidR="004C0F13">
        <w:t xml:space="preserve"> </w:t>
      </w:r>
      <w:r>
        <w:t>von unter 18 Jahren im Zuge der gestiegenen Zuwanderung bis</w:t>
      </w:r>
      <w:r w:rsidR="004C0F13">
        <w:t xml:space="preserve"> </w:t>
      </w:r>
      <w:r>
        <w:t>2017 einen leichten Anstieg mit anschließender Entspannung. Die</w:t>
      </w:r>
      <w:r w:rsidR="004C0F13">
        <w:t xml:space="preserve"> </w:t>
      </w:r>
      <w:r>
        <w:t>Werte für Bayern rangieren jeweils deutlich unter den gesamtdeutschen</w:t>
      </w:r>
      <w:r w:rsidR="004C0F13">
        <w:t xml:space="preserve"> </w:t>
      </w:r>
      <w:r>
        <w:t>Durchschnittszahlen.</w:t>
      </w:r>
    </w:p>
    <w:p w:rsidR="005A439A" w:rsidRDefault="005A439A">
      <w:r>
        <w:br w:type="page"/>
      </w:r>
    </w:p>
    <w:p w:rsidR="007E0861" w:rsidRDefault="007E0861" w:rsidP="007E0861">
      <w:pPr>
        <w:pStyle w:val="LTAntwortRessortText"/>
      </w:pPr>
      <w:r>
        <w:lastRenderedPageBreak/>
        <w:t>Darstellung: Entwicklung der sog. Armutsgefährdungsquote und</w:t>
      </w:r>
      <w:r w:rsidR="004C0F13">
        <w:t xml:space="preserve"> </w:t>
      </w:r>
      <w:r>
        <w:t>SGB II-Quote von unter 18-Jährigen in Bayern und</w:t>
      </w:r>
      <w:r w:rsidR="004C0F13">
        <w:t xml:space="preserve"> </w:t>
      </w:r>
      <w:r>
        <w:t>Deutschland 2010-2019 (in Prozent)</w:t>
      </w:r>
    </w:p>
    <w:tbl>
      <w:tblPr>
        <w:tblStyle w:val="TableNormal"/>
        <w:tblpPr w:leftFromText="141" w:rightFromText="141" w:vertAnchor="text" w:horzAnchor="margin" w:tblpY="393"/>
        <w:tblW w:w="8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6"/>
        <w:gridCol w:w="615"/>
        <w:gridCol w:w="705"/>
        <w:gridCol w:w="705"/>
        <w:gridCol w:w="705"/>
        <w:gridCol w:w="705"/>
        <w:gridCol w:w="705"/>
        <w:gridCol w:w="705"/>
        <w:gridCol w:w="705"/>
        <w:gridCol w:w="705"/>
        <w:gridCol w:w="705"/>
      </w:tblGrid>
      <w:tr w:rsidR="005A439A" w:rsidRPr="00DD6036" w:rsidTr="005A439A">
        <w:trPr>
          <w:trHeight w:val="387"/>
        </w:trPr>
        <w:tc>
          <w:tcPr>
            <w:tcW w:w="1276" w:type="dxa"/>
          </w:tcPr>
          <w:p w:rsidR="005A439A" w:rsidRPr="00DD6036" w:rsidRDefault="005A439A" w:rsidP="005A439A">
            <w:pPr>
              <w:pStyle w:val="TableParagraph"/>
              <w:jc w:val="left"/>
              <w:rPr>
                <w:rFonts w:ascii="Arial" w:hAnsi="Arial" w:cs="Arial"/>
                <w:sz w:val="16"/>
                <w:szCs w:val="16"/>
              </w:rPr>
            </w:pPr>
          </w:p>
        </w:tc>
        <w:tc>
          <w:tcPr>
            <w:tcW w:w="615" w:type="dxa"/>
          </w:tcPr>
          <w:p w:rsidR="005A439A" w:rsidRPr="00DD6036" w:rsidRDefault="005A439A" w:rsidP="005A439A">
            <w:pPr>
              <w:pStyle w:val="TableParagraph"/>
              <w:spacing w:before="57"/>
              <w:ind w:left="69" w:right="55"/>
              <w:rPr>
                <w:rFonts w:ascii="Arial" w:hAnsi="Arial" w:cs="Arial"/>
                <w:b/>
                <w:sz w:val="16"/>
                <w:szCs w:val="16"/>
              </w:rPr>
            </w:pPr>
            <w:r w:rsidRPr="00DD6036">
              <w:rPr>
                <w:rFonts w:ascii="Arial" w:hAnsi="Arial" w:cs="Arial"/>
                <w:b/>
                <w:sz w:val="16"/>
                <w:szCs w:val="16"/>
              </w:rPr>
              <w:t>2010</w:t>
            </w:r>
          </w:p>
        </w:tc>
        <w:tc>
          <w:tcPr>
            <w:tcW w:w="705" w:type="dxa"/>
          </w:tcPr>
          <w:p w:rsidR="005A439A" w:rsidRPr="00DD6036" w:rsidRDefault="005A439A" w:rsidP="005A439A">
            <w:pPr>
              <w:pStyle w:val="TableParagraph"/>
              <w:spacing w:before="57"/>
              <w:ind w:right="75"/>
              <w:rPr>
                <w:rFonts w:ascii="Arial" w:hAnsi="Arial" w:cs="Arial"/>
                <w:b/>
                <w:sz w:val="16"/>
                <w:szCs w:val="16"/>
              </w:rPr>
            </w:pPr>
            <w:r w:rsidRPr="00DD6036">
              <w:rPr>
                <w:rFonts w:ascii="Arial" w:hAnsi="Arial" w:cs="Arial"/>
                <w:b/>
                <w:sz w:val="16"/>
                <w:szCs w:val="16"/>
              </w:rPr>
              <w:t>2011</w:t>
            </w:r>
          </w:p>
        </w:tc>
        <w:tc>
          <w:tcPr>
            <w:tcW w:w="705" w:type="dxa"/>
          </w:tcPr>
          <w:p w:rsidR="005A439A" w:rsidRPr="00DD6036" w:rsidRDefault="005A439A" w:rsidP="005A439A">
            <w:pPr>
              <w:pStyle w:val="TableParagraph"/>
              <w:spacing w:before="57"/>
              <w:ind w:right="75"/>
              <w:rPr>
                <w:rFonts w:ascii="Arial" w:hAnsi="Arial" w:cs="Arial"/>
                <w:b/>
                <w:sz w:val="16"/>
                <w:szCs w:val="16"/>
              </w:rPr>
            </w:pPr>
            <w:r w:rsidRPr="00DD6036">
              <w:rPr>
                <w:rFonts w:ascii="Arial" w:hAnsi="Arial" w:cs="Arial"/>
                <w:b/>
                <w:sz w:val="16"/>
                <w:szCs w:val="16"/>
              </w:rPr>
              <w:t>2012</w:t>
            </w:r>
          </w:p>
        </w:tc>
        <w:tc>
          <w:tcPr>
            <w:tcW w:w="705" w:type="dxa"/>
          </w:tcPr>
          <w:p w:rsidR="005A439A" w:rsidRPr="00DD6036" w:rsidRDefault="005A439A" w:rsidP="005A439A">
            <w:pPr>
              <w:pStyle w:val="TableParagraph"/>
              <w:spacing w:before="57"/>
              <w:ind w:left="74" w:right="55"/>
              <w:rPr>
                <w:rFonts w:ascii="Arial" w:hAnsi="Arial" w:cs="Arial"/>
                <w:b/>
                <w:sz w:val="16"/>
                <w:szCs w:val="16"/>
              </w:rPr>
            </w:pPr>
            <w:r w:rsidRPr="00DD6036">
              <w:rPr>
                <w:rFonts w:ascii="Arial" w:hAnsi="Arial" w:cs="Arial"/>
                <w:b/>
                <w:sz w:val="16"/>
                <w:szCs w:val="16"/>
              </w:rPr>
              <w:t>2013</w:t>
            </w:r>
          </w:p>
        </w:tc>
        <w:tc>
          <w:tcPr>
            <w:tcW w:w="705" w:type="dxa"/>
          </w:tcPr>
          <w:p w:rsidR="005A439A" w:rsidRPr="00DD6036" w:rsidRDefault="005A439A" w:rsidP="005A439A">
            <w:pPr>
              <w:pStyle w:val="TableParagraph"/>
              <w:spacing w:before="57"/>
              <w:ind w:left="75" w:right="55"/>
              <w:rPr>
                <w:rFonts w:ascii="Arial" w:hAnsi="Arial" w:cs="Arial"/>
                <w:b/>
                <w:sz w:val="16"/>
                <w:szCs w:val="16"/>
              </w:rPr>
            </w:pPr>
            <w:r w:rsidRPr="00DD6036">
              <w:rPr>
                <w:rFonts w:ascii="Arial" w:hAnsi="Arial" w:cs="Arial"/>
                <w:b/>
                <w:sz w:val="16"/>
                <w:szCs w:val="16"/>
              </w:rPr>
              <w:t>2014</w:t>
            </w:r>
          </w:p>
        </w:tc>
        <w:tc>
          <w:tcPr>
            <w:tcW w:w="705" w:type="dxa"/>
          </w:tcPr>
          <w:p w:rsidR="005A439A" w:rsidRPr="00DD6036" w:rsidRDefault="005A439A" w:rsidP="005A439A">
            <w:pPr>
              <w:pStyle w:val="TableParagraph"/>
              <w:spacing w:before="57"/>
              <w:ind w:left="97"/>
              <w:jc w:val="left"/>
              <w:rPr>
                <w:rFonts w:ascii="Arial" w:hAnsi="Arial" w:cs="Arial"/>
                <w:b/>
                <w:sz w:val="16"/>
                <w:szCs w:val="16"/>
              </w:rPr>
            </w:pPr>
            <w:r w:rsidRPr="00DD6036">
              <w:rPr>
                <w:rFonts w:ascii="Arial" w:hAnsi="Arial" w:cs="Arial"/>
                <w:b/>
                <w:sz w:val="16"/>
                <w:szCs w:val="16"/>
              </w:rPr>
              <w:t>2015</w:t>
            </w:r>
          </w:p>
        </w:tc>
        <w:tc>
          <w:tcPr>
            <w:tcW w:w="705" w:type="dxa"/>
          </w:tcPr>
          <w:p w:rsidR="005A439A" w:rsidRPr="00DD6036" w:rsidRDefault="005A439A" w:rsidP="005A439A">
            <w:pPr>
              <w:pStyle w:val="TableParagraph"/>
              <w:spacing w:before="57"/>
              <w:ind w:right="72"/>
              <w:rPr>
                <w:rFonts w:ascii="Arial" w:hAnsi="Arial" w:cs="Arial"/>
                <w:b/>
                <w:sz w:val="16"/>
                <w:szCs w:val="16"/>
              </w:rPr>
            </w:pPr>
            <w:r w:rsidRPr="00DD6036">
              <w:rPr>
                <w:rFonts w:ascii="Arial" w:hAnsi="Arial" w:cs="Arial"/>
                <w:b/>
                <w:sz w:val="16"/>
                <w:szCs w:val="16"/>
              </w:rPr>
              <w:t>2016</w:t>
            </w:r>
          </w:p>
        </w:tc>
        <w:tc>
          <w:tcPr>
            <w:tcW w:w="705" w:type="dxa"/>
          </w:tcPr>
          <w:p w:rsidR="005A439A" w:rsidRPr="00DD6036" w:rsidRDefault="005A439A" w:rsidP="005A439A">
            <w:pPr>
              <w:pStyle w:val="TableParagraph"/>
              <w:spacing w:before="57"/>
              <w:ind w:right="71"/>
              <w:rPr>
                <w:rFonts w:ascii="Arial" w:hAnsi="Arial" w:cs="Arial"/>
                <w:b/>
                <w:sz w:val="16"/>
                <w:szCs w:val="16"/>
              </w:rPr>
            </w:pPr>
            <w:r w:rsidRPr="00DD6036">
              <w:rPr>
                <w:rFonts w:ascii="Arial" w:hAnsi="Arial" w:cs="Arial"/>
                <w:b/>
                <w:sz w:val="16"/>
                <w:szCs w:val="16"/>
              </w:rPr>
              <w:t>2017</w:t>
            </w:r>
          </w:p>
        </w:tc>
        <w:tc>
          <w:tcPr>
            <w:tcW w:w="705" w:type="dxa"/>
          </w:tcPr>
          <w:p w:rsidR="005A439A" w:rsidRPr="00DD6036" w:rsidRDefault="005A439A" w:rsidP="005A439A">
            <w:pPr>
              <w:pStyle w:val="TableParagraph"/>
              <w:spacing w:before="57"/>
              <w:ind w:right="71"/>
              <w:rPr>
                <w:rFonts w:ascii="Arial" w:hAnsi="Arial" w:cs="Arial"/>
                <w:b/>
                <w:sz w:val="16"/>
                <w:szCs w:val="16"/>
              </w:rPr>
            </w:pPr>
            <w:r w:rsidRPr="00DD6036">
              <w:rPr>
                <w:rFonts w:ascii="Arial" w:hAnsi="Arial" w:cs="Arial"/>
                <w:b/>
                <w:sz w:val="16"/>
                <w:szCs w:val="16"/>
              </w:rPr>
              <w:t>2018</w:t>
            </w:r>
          </w:p>
        </w:tc>
        <w:tc>
          <w:tcPr>
            <w:tcW w:w="705" w:type="dxa"/>
          </w:tcPr>
          <w:p w:rsidR="005A439A" w:rsidRPr="00DD6036" w:rsidRDefault="005A439A" w:rsidP="005A439A">
            <w:pPr>
              <w:pStyle w:val="TableParagraph"/>
              <w:spacing w:before="57"/>
              <w:ind w:left="76" w:right="49"/>
              <w:rPr>
                <w:rFonts w:ascii="Arial" w:hAnsi="Arial" w:cs="Arial"/>
                <w:b/>
                <w:sz w:val="16"/>
                <w:szCs w:val="16"/>
              </w:rPr>
            </w:pPr>
            <w:r w:rsidRPr="00DD6036">
              <w:rPr>
                <w:rFonts w:ascii="Arial" w:hAnsi="Arial" w:cs="Arial"/>
                <w:b/>
                <w:sz w:val="16"/>
                <w:szCs w:val="16"/>
              </w:rPr>
              <w:t>2019</w:t>
            </w:r>
          </w:p>
        </w:tc>
      </w:tr>
      <w:tr w:rsidR="005A439A" w:rsidRPr="00DD6036" w:rsidTr="005A439A">
        <w:trPr>
          <w:trHeight w:val="387"/>
        </w:trPr>
        <w:tc>
          <w:tcPr>
            <w:tcW w:w="1276" w:type="dxa"/>
          </w:tcPr>
          <w:p w:rsidR="005A439A" w:rsidRPr="00DD6036" w:rsidRDefault="005A439A" w:rsidP="005A439A">
            <w:pPr>
              <w:pStyle w:val="TableParagraph"/>
              <w:jc w:val="left"/>
              <w:rPr>
                <w:rFonts w:ascii="Arial" w:hAnsi="Arial" w:cs="Arial"/>
                <w:sz w:val="16"/>
                <w:szCs w:val="16"/>
              </w:rPr>
            </w:pPr>
          </w:p>
        </w:tc>
        <w:tc>
          <w:tcPr>
            <w:tcW w:w="6960" w:type="dxa"/>
            <w:gridSpan w:val="10"/>
          </w:tcPr>
          <w:p w:rsidR="005A439A" w:rsidRPr="00DD6036" w:rsidRDefault="005A439A" w:rsidP="005A439A">
            <w:pPr>
              <w:pStyle w:val="TableParagraph"/>
              <w:spacing w:before="57"/>
              <w:ind w:left="2049" w:right="2032"/>
              <w:rPr>
                <w:rFonts w:ascii="Arial" w:hAnsi="Arial" w:cs="Arial"/>
                <w:b/>
                <w:sz w:val="16"/>
                <w:szCs w:val="16"/>
              </w:rPr>
            </w:pPr>
            <w:r w:rsidRPr="00DD6036">
              <w:rPr>
                <w:rFonts w:ascii="Arial" w:hAnsi="Arial" w:cs="Arial"/>
                <w:b/>
                <w:sz w:val="16"/>
                <w:szCs w:val="16"/>
              </w:rPr>
              <w:t>Armutsgefährdungsquote*</w:t>
            </w:r>
          </w:p>
        </w:tc>
      </w:tr>
      <w:tr w:rsidR="005A439A" w:rsidRPr="00DD6036" w:rsidTr="005A439A">
        <w:trPr>
          <w:trHeight w:val="329"/>
        </w:trPr>
        <w:tc>
          <w:tcPr>
            <w:tcW w:w="1276" w:type="dxa"/>
            <w:tcBorders>
              <w:bottom w:val="single" w:sz="6" w:space="0" w:color="D3D3D3"/>
            </w:tcBorders>
          </w:tcPr>
          <w:p w:rsidR="005A439A" w:rsidRPr="00DD6036" w:rsidRDefault="005A439A" w:rsidP="005A439A">
            <w:pPr>
              <w:pStyle w:val="TableParagraph"/>
              <w:spacing w:before="28"/>
              <w:ind w:left="50"/>
              <w:jc w:val="left"/>
              <w:rPr>
                <w:rFonts w:ascii="Arial" w:hAnsi="Arial" w:cs="Arial"/>
                <w:b/>
                <w:sz w:val="16"/>
                <w:szCs w:val="16"/>
              </w:rPr>
            </w:pPr>
            <w:r w:rsidRPr="00DD6036">
              <w:rPr>
                <w:rFonts w:ascii="Arial" w:hAnsi="Arial" w:cs="Arial"/>
                <w:b/>
                <w:sz w:val="16"/>
                <w:szCs w:val="16"/>
              </w:rPr>
              <w:t>Bayern</w:t>
            </w:r>
          </w:p>
        </w:tc>
        <w:tc>
          <w:tcPr>
            <w:tcW w:w="615" w:type="dxa"/>
            <w:tcBorders>
              <w:bottom w:val="single" w:sz="6" w:space="0" w:color="D3D3D3"/>
              <w:right w:val="single" w:sz="6" w:space="0" w:color="D3D3D3"/>
            </w:tcBorders>
          </w:tcPr>
          <w:p w:rsidR="005A439A" w:rsidRPr="00DD6036" w:rsidRDefault="005A439A" w:rsidP="005A439A">
            <w:pPr>
              <w:pStyle w:val="TableParagraph"/>
              <w:ind w:left="76" w:right="49"/>
              <w:rPr>
                <w:rFonts w:ascii="Arial" w:hAnsi="Arial" w:cs="Arial"/>
                <w:sz w:val="16"/>
                <w:szCs w:val="16"/>
              </w:rPr>
            </w:pPr>
            <w:r w:rsidRPr="00DD6036">
              <w:rPr>
                <w:rFonts w:ascii="Arial" w:hAnsi="Arial" w:cs="Arial"/>
                <w:sz w:val="16"/>
                <w:szCs w:val="16"/>
              </w:rPr>
              <w:t>11,6</w:t>
            </w:r>
          </w:p>
        </w:tc>
        <w:tc>
          <w:tcPr>
            <w:tcW w:w="705" w:type="dxa"/>
            <w:tcBorders>
              <w:left w:val="single" w:sz="6" w:space="0" w:color="D3D3D3"/>
              <w:bottom w:val="single" w:sz="6" w:space="0" w:color="D3D3D3"/>
              <w:right w:val="single" w:sz="6" w:space="0" w:color="D3D3D3"/>
            </w:tcBorders>
          </w:tcPr>
          <w:p w:rsidR="005A439A" w:rsidRPr="00DD6036" w:rsidRDefault="005A439A" w:rsidP="005A439A">
            <w:pPr>
              <w:pStyle w:val="TableParagraph"/>
              <w:ind w:right="105"/>
              <w:rPr>
                <w:rFonts w:ascii="Arial" w:hAnsi="Arial" w:cs="Arial"/>
                <w:sz w:val="16"/>
                <w:szCs w:val="16"/>
              </w:rPr>
            </w:pPr>
            <w:r w:rsidRPr="00DD6036">
              <w:rPr>
                <w:rFonts w:ascii="Arial" w:hAnsi="Arial" w:cs="Arial"/>
                <w:sz w:val="16"/>
                <w:szCs w:val="16"/>
              </w:rPr>
              <w:t>11,6</w:t>
            </w:r>
          </w:p>
        </w:tc>
        <w:tc>
          <w:tcPr>
            <w:tcW w:w="705" w:type="dxa"/>
            <w:tcBorders>
              <w:left w:val="single" w:sz="6" w:space="0" w:color="D3D3D3"/>
              <w:bottom w:val="single" w:sz="6" w:space="0" w:color="D3D3D3"/>
              <w:right w:val="single" w:sz="6" w:space="0" w:color="D3D3D3"/>
            </w:tcBorders>
          </w:tcPr>
          <w:p w:rsidR="005A439A" w:rsidRPr="00DD6036" w:rsidRDefault="005A439A" w:rsidP="005A439A">
            <w:pPr>
              <w:pStyle w:val="TableParagraph"/>
              <w:ind w:right="105"/>
              <w:rPr>
                <w:rFonts w:ascii="Arial" w:hAnsi="Arial" w:cs="Arial"/>
                <w:sz w:val="16"/>
                <w:szCs w:val="16"/>
              </w:rPr>
            </w:pPr>
            <w:r w:rsidRPr="00DD6036">
              <w:rPr>
                <w:rFonts w:ascii="Arial" w:hAnsi="Arial" w:cs="Arial"/>
                <w:sz w:val="16"/>
                <w:szCs w:val="16"/>
              </w:rPr>
              <w:t>11,6</w:t>
            </w:r>
          </w:p>
        </w:tc>
        <w:tc>
          <w:tcPr>
            <w:tcW w:w="705" w:type="dxa"/>
            <w:tcBorders>
              <w:left w:val="single" w:sz="6" w:space="0" w:color="D3D3D3"/>
              <w:bottom w:val="single" w:sz="6" w:space="0" w:color="D3D3D3"/>
              <w:right w:val="single" w:sz="6" w:space="0" w:color="D3D3D3"/>
            </w:tcBorders>
          </w:tcPr>
          <w:p w:rsidR="005A439A" w:rsidRPr="00DD6036" w:rsidRDefault="005A439A" w:rsidP="005A439A">
            <w:pPr>
              <w:pStyle w:val="TableParagraph"/>
              <w:ind w:left="76" w:right="44"/>
              <w:rPr>
                <w:rFonts w:ascii="Arial" w:hAnsi="Arial" w:cs="Arial"/>
                <w:sz w:val="16"/>
                <w:szCs w:val="16"/>
              </w:rPr>
            </w:pPr>
            <w:r w:rsidRPr="00DD6036">
              <w:rPr>
                <w:rFonts w:ascii="Arial" w:hAnsi="Arial" w:cs="Arial"/>
                <w:sz w:val="16"/>
                <w:szCs w:val="16"/>
              </w:rPr>
              <w:t>11,6</w:t>
            </w:r>
          </w:p>
        </w:tc>
        <w:tc>
          <w:tcPr>
            <w:tcW w:w="705" w:type="dxa"/>
            <w:tcBorders>
              <w:left w:val="single" w:sz="6" w:space="0" w:color="D3D3D3"/>
              <w:bottom w:val="single" w:sz="6" w:space="0" w:color="D3D3D3"/>
              <w:right w:val="single" w:sz="6" w:space="0" w:color="D3D3D3"/>
            </w:tcBorders>
          </w:tcPr>
          <w:p w:rsidR="005A439A" w:rsidRPr="00DD6036" w:rsidRDefault="005A439A" w:rsidP="005A439A">
            <w:pPr>
              <w:pStyle w:val="TableParagraph"/>
              <w:ind w:left="76" w:right="43"/>
              <w:rPr>
                <w:rFonts w:ascii="Arial" w:hAnsi="Arial" w:cs="Arial"/>
                <w:sz w:val="16"/>
                <w:szCs w:val="16"/>
              </w:rPr>
            </w:pPr>
            <w:r w:rsidRPr="00DD6036">
              <w:rPr>
                <w:rFonts w:ascii="Arial" w:hAnsi="Arial" w:cs="Arial"/>
                <w:sz w:val="16"/>
                <w:szCs w:val="16"/>
              </w:rPr>
              <w:t>11,9</w:t>
            </w:r>
          </w:p>
        </w:tc>
        <w:tc>
          <w:tcPr>
            <w:tcW w:w="705" w:type="dxa"/>
            <w:tcBorders>
              <w:left w:val="single" w:sz="6" w:space="0" w:color="D3D3D3"/>
              <w:bottom w:val="single" w:sz="6" w:space="0" w:color="D3D3D3"/>
              <w:right w:val="single" w:sz="6" w:space="0" w:color="D3D3D3"/>
            </w:tcBorders>
          </w:tcPr>
          <w:p w:rsidR="005A439A" w:rsidRPr="00DD6036" w:rsidRDefault="005A439A" w:rsidP="005A439A">
            <w:pPr>
              <w:pStyle w:val="TableParagraph"/>
              <w:ind w:left="140"/>
              <w:jc w:val="left"/>
              <w:rPr>
                <w:rFonts w:ascii="Arial" w:hAnsi="Arial" w:cs="Arial"/>
                <w:sz w:val="16"/>
                <w:szCs w:val="16"/>
              </w:rPr>
            </w:pPr>
            <w:r w:rsidRPr="00DD6036">
              <w:rPr>
                <w:rFonts w:ascii="Arial" w:hAnsi="Arial" w:cs="Arial"/>
                <w:sz w:val="16"/>
                <w:szCs w:val="16"/>
              </w:rPr>
              <w:t>12,3</w:t>
            </w:r>
          </w:p>
        </w:tc>
        <w:tc>
          <w:tcPr>
            <w:tcW w:w="705" w:type="dxa"/>
            <w:tcBorders>
              <w:left w:val="single" w:sz="6" w:space="0" w:color="D3D3D3"/>
              <w:bottom w:val="single" w:sz="6" w:space="0" w:color="D3D3D3"/>
              <w:right w:val="single" w:sz="6" w:space="0" w:color="D3D3D3"/>
            </w:tcBorders>
          </w:tcPr>
          <w:p w:rsidR="005A439A" w:rsidRPr="00DD6036" w:rsidRDefault="005A439A" w:rsidP="005A439A">
            <w:pPr>
              <w:pStyle w:val="TableParagraph"/>
              <w:ind w:right="102"/>
              <w:rPr>
                <w:rFonts w:ascii="Arial" w:hAnsi="Arial" w:cs="Arial"/>
                <w:sz w:val="16"/>
                <w:szCs w:val="16"/>
              </w:rPr>
            </w:pPr>
            <w:r w:rsidRPr="00DD6036">
              <w:rPr>
                <w:rFonts w:ascii="Arial" w:hAnsi="Arial" w:cs="Arial"/>
                <w:sz w:val="16"/>
                <w:szCs w:val="16"/>
              </w:rPr>
              <w:t>13,1</w:t>
            </w:r>
          </w:p>
        </w:tc>
        <w:tc>
          <w:tcPr>
            <w:tcW w:w="705" w:type="dxa"/>
            <w:tcBorders>
              <w:left w:val="single" w:sz="6" w:space="0" w:color="D3D3D3"/>
              <w:bottom w:val="single" w:sz="6" w:space="0" w:color="D3D3D3"/>
              <w:right w:val="single" w:sz="6" w:space="0" w:color="D3D3D3"/>
            </w:tcBorders>
          </w:tcPr>
          <w:p w:rsidR="005A439A" w:rsidRPr="00DD6036" w:rsidRDefault="005A439A" w:rsidP="005A439A">
            <w:pPr>
              <w:pStyle w:val="TableParagraph"/>
              <w:ind w:right="103"/>
              <w:rPr>
                <w:rFonts w:ascii="Arial" w:hAnsi="Arial" w:cs="Arial"/>
                <w:sz w:val="16"/>
                <w:szCs w:val="16"/>
              </w:rPr>
            </w:pPr>
            <w:r w:rsidRPr="00DD6036">
              <w:rPr>
                <w:rFonts w:ascii="Arial" w:hAnsi="Arial" w:cs="Arial"/>
                <w:sz w:val="16"/>
                <w:szCs w:val="16"/>
              </w:rPr>
              <w:t>13,2</w:t>
            </w:r>
          </w:p>
        </w:tc>
        <w:tc>
          <w:tcPr>
            <w:tcW w:w="705" w:type="dxa"/>
            <w:tcBorders>
              <w:left w:val="single" w:sz="6" w:space="0" w:color="D3D3D3"/>
              <w:bottom w:val="single" w:sz="6" w:space="0" w:color="D3D3D3"/>
              <w:right w:val="single" w:sz="6" w:space="0" w:color="D3D3D3"/>
            </w:tcBorders>
          </w:tcPr>
          <w:p w:rsidR="005A439A" w:rsidRPr="00DD6036" w:rsidRDefault="005A439A" w:rsidP="005A439A">
            <w:pPr>
              <w:pStyle w:val="TableParagraph"/>
              <w:ind w:right="101"/>
              <w:rPr>
                <w:rFonts w:ascii="Arial" w:hAnsi="Arial" w:cs="Arial"/>
                <w:sz w:val="16"/>
                <w:szCs w:val="16"/>
              </w:rPr>
            </w:pPr>
            <w:r w:rsidRPr="00DD6036">
              <w:rPr>
                <w:rFonts w:ascii="Arial" w:hAnsi="Arial" w:cs="Arial"/>
                <w:sz w:val="16"/>
                <w:szCs w:val="16"/>
              </w:rPr>
              <w:t>12,9</w:t>
            </w:r>
          </w:p>
        </w:tc>
        <w:tc>
          <w:tcPr>
            <w:tcW w:w="705" w:type="dxa"/>
            <w:tcBorders>
              <w:left w:val="single" w:sz="6" w:space="0" w:color="D3D3D3"/>
              <w:bottom w:val="single" w:sz="6" w:space="0" w:color="D3D3D3"/>
            </w:tcBorders>
          </w:tcPr>
          <w:p w:rsidR="005A439A" w:rsidRPr="00DD6036" w:rsidRDefault="005A439A" w:rsidP="005A439A">
            <w:pPr>
              <w:pStyle w:val="TableParagraph"/>
              <w:ind w:left="76" w:right="36"/>
              <w:rPr>
                <w:rFonts w:ascii="Arial" w:hAnsi="Arial" w:cs="Arial"/>
                <w:sz w:val="16"/>
                <w:szCs w:val="16"/>
              </w:rPr>
            </w:pPr>
            <w:r w:rsidRPr="00DD6036">
              <w:rPr>
                <w:rFonts w:ascii="Arial" w:hAnsi="Arial" w:cs="Arial"/>
                <w:sz w:val="16"/>
                <w:szCs w:val="16"/>
              </w:rPr>
              <w:t>13,1</w:t>
            </w:r>
          </w:p>
        </w:tc>
      </w:tr>
      <w:tr w:rsidR="005A439A" w:rsidRPr="00DD6036" w:rsidTr="005A439A">
        <w:trPr>
          <w:trHeight w:val="330"/>
        </w:trPr>
        <w:tc>
          <w:tcPr>
            <w:tcW w:w="1276" w:type="dxa"/>
            <w:tcBorders>
              <w:top w:val="single" w:sz="6" w:space="0" w:color="D3D3D3"/>
            </w:tcBorders>
          </w:tcPr>
          <w:p w:rsidR="005A439A" w:rsidRPr="00DD6036" w:rsidRDefault="005A439A" w:rsidP="005A439A">
            <w:pPr>
              <w:pStyle w:val="TableParagraph"/>
              <w:spacing w:before="28"/>
              <w:ind w:left="50"/>
              <w:jc w:val="left"/>
              <w:rPr>
                <w:rFonts w:ascii="Arial" w:hAnsi="Arial" w:cs="Arial"/>
                <w:b/>
                <w:sz w:val="16"/>
                <w:szCs w:val="16"/>
              </w:rPr>
            </w:pPr>
            <w:r w:rsidRPr="00DD6036">
              <w:rPr>
                <w:rFonts w:ascii="Arial" w:hAnsi="Arial" w:cs="Arial"/>
                <w:b/>
                <w:sz w:val="16"/>
                <w:szCs w:val="16"/>
              </w:rPr>
              <w:t>Deutschland</w:t>
            </w:r>
          </w:p>
        </w:tc>
        <w:tc>
          <w:tcPr>
            <w:tcW w:w="615" w:type="dxa"/>
            <w:tcBorders>
              <w:top w:val="single" w:sz="6" w:space="0" w:color="D3D3D3"/>
              <w:right w:val="single" w:sz="6" w:space="0" w:color="D3D3D3"/>
            </w:tcBorders>
          </w:tcPr>
          <w:p w:rsidR="005A439A" w:rsidRPr="00DD6036" w:rsidRDefault="005A439A" w:rsidP="005A439A">
            <w:pPr>
              <w:pStyle w:val="TableParagraph"/>
              <w:ind w:left="76" w:right="49"/>
              <w:rPr>
                <w:rFonts w:ascii="Arial" w:hAnsi="Arial" w:cs="Arial"/>
                <w:sz w:val="16"/>
                <w:szCs w:val="16"/>
              </w:rPr>
            </w:pPr>
            <w:r w:rsidRPr="00DD6036">
              <w:rPr>
                <w:rFonts w:ascii="Arial" w:hAnsi="Arial" w:cs="Arial"/>
                <w:sz w:val="16"/>
                <w:szCs w:val="16"/>
              </w:rPr>
              <w:t>18,2</w:t>
            </w:r>
          </w:p>
        </w:tc>
        <w:tc>
          <w:tcPr>
            <w:tcW w:w="705" w:type="dxa"/>
            <w:tcBorders>
              <w:top w:val="single" w:sz="6" w:space="0" w:color="D3D3D3"/>
              <w:left w:val="single" w:sz="6" w:space="0" w:color="D3D3D3"/>
              <w:right w:val="single" w:sz="6" w:space="0" w:color="D3D3D3"/>
            </w:tcBorders>
          </w:tcPr>
          <w:p w:rsidR="005A439A" w:rsidRPr="00DD6036" w:rsidRDefault="005A439A" w:rsidP="005A439A">
            <w:pPr>
              <w:pStyle w:val="TableParagraph"/>
              <w:ind w:right="105"/>
              <w:rPr>
                <w:rFonts w:ascii="Arial" w:hAnsi="Arial" w:cs="Arial"/>
                <w:sz w:val="16"/>
                <w:szCs w:val="16"/>
              </w:rPr>
            </w:pPr>
            <w:r w:rsidRPr="00DD6036">
              <w:rPr>
                <w:rFonts w:ascii="Arial" w:hAnsi="Arial" w:cs="Arial"/>
                <w:sz w:val="16"/>
                <w:szCs w:val="16"/>
              </w:rPr>
              <w:t>18,7</w:t>
            </w:r>
          </w:p>
        </w:tc>
        <w:tc>
          <w:tcPr>
            <w:tcW w:w="705" w:type="dxa"/>
            <w:tcBorders>
              <w:top w:val="single" w:sz="6" w:space="0" w:color="D3D3D3"/>
              <w:left w:val="single" w:sz="6" w:space="0" w:color="D3D3D3"/>
              <w:right w:val="single" w:sz="6" w:space="0" w:color="D3D3D3"/>
            </w:tcBorders>
          </w:tcPr>
          <w:p w:rsidR="005A439A" w:rsidRPr="00DD6036" w:rsidRDefault="005A439A" w:rsidP="005A439A">
            <w:pPr>
              <w:pStyle w:val="TableParagraph"/>
              <w:ind w:right="105"/>
              <w:rPr>
                <w:rFonts w:ascii="Arial" w:hAnsi="Arial" w:cs="Arial"/>
                <w:sz w:val="16"/>
                <w:szCs w:val="16"/>
              </w:rPr>
            </w:pPr>
            <w:r w:rsidRPr="00DD6036">
              <w:rPr>
                <w:rFonts w:ascii="Arial" w:hAnsi="Arial" w:cs="Arial"/>
                <w:sz w:val="16"/>
                <w:szCs w:val="16"/>
              </w:rPr>
              <w:t>18,7</w:t>
            </w:r>
          </w:p>
        </w:tc>
        <w:tc>
          <w:tcPr>
            <w:tcW w:w="705" w:type="dxa"/>
            <w:tcBorders>
              <w:top w:val="single" w:sz="6" w:space="0" w:color="D3D3D3"/>
              <w:left w:val="single" w:sz="6" w:space="0" w:color="D3D3D3"/>
              <w:right w:val="single" w:sz="6" w:space="0" w:color="D3D3D3"/>
            </w:tcBorders>
          </w:tcPr>
          <w:p w:rsidR="005A439A" w:rsidRPr="00DD6036" w:rsidRDefault="005A439A" w:rsidP="005A439A">
            <w:pPr>
              <w:pStyle w:val="TableParagraph"/>
              <w:ind w:left="76" w:right="44"/>
              <w:rPr>
                <w:rFonts w:ascii="Arial" w:hAnsi="Arial" w:cs="Arial"/>
                <w:sz w:val="16"/>
                <w:szCs w:val="16"/>
              </w:rPr>
            </w:pPr>
            <w:r w:rsidRPr="00DD6036">
              <w:rPr>
                <w:rFonts w:ascii="Arial" w:hAnsi="Arial" w:cs="Arial"/>
                <w:sz w:val="16"/>
                <w:szCs w:val="16"/>
              </w:rPr>
              <w:t>19,2</w:t>
            </w:r>
          </w:p>
        </w:tc>
        <w:tc>
          <w:tcPr>
            <w:tcW w:w="705" w:type="dxa"/>
            <w:tcBorders>
              <w:top w:val="single" w:sz="6" w:space="0" w:color="D3D3D3"/>
              <w:left w:val="single" w:sz="6" w:space="0" w:color="D3D3D3"/>
              <w:right w:val="single" w:sz="6" w:space="0" w:color="D3D3D3"/>
            </w:tcBorders>
          </w:tcPr>
          <w:p w:rsidR="005A439A" w:rsidRPr="00DD6036" w:rsidRDefault="005A439A" w:rsidP="005A439A">
            <w:pPr>
              <w:pStyle w:val="TableParagraph"/>
              <w:ind w:left="76" w:right="43"/>
              <w:rPr>
                <w:rFonts w:ascii="Arial" w:hAnsi="Arial" w:cs="Arial"/>
                <w:sz w:val="16"/>
                <w:szCs w:val="16"/>
              </w:rPr>
            </w:pPr>
            <w:r w:rsidRPr="00DD6036">
              <w:rPr>
                <w:rFonts w:ascii="Arial" w:hAnsi="Arial" w:cs="Arial"/>
                <w:sz w:val="16"/>
                <w:szCs w:val="16"/>
              </w:rPr>
              <w:t>19,0</w:t>
            </w:r>
          </w:p>
        </w:tc>
        <w:tc>
          <w:tcPr>
            <w:tcW w:w="705" w:type="dxa"/>
            <w:tcBorders>
              <w:top w:val="single" w:sz="6" w:space="0" w:color="D3D3D3"/>
              <w:left w:val="single" w:sz="6" w:space="0" w:color="D3D3D3"/>
              <w:right w:val="single" w:sz="6" w:space="0" w:color="D3D3D3"/>
            </w:tcBorders>
          </w:tcPr>
          <w:p w:rsidR="005A439A" w:rsidRPr="00DD6036" w:rsidRDefault="005A439A" w:rsidP="005A439A">
            <w:pPr>
              <w:pStyle w:val="TableParagraph"/>
              <w:ind w:left="140"/>
              <w:jc w:val="left"/>
              <w:rPr>
                <w:rFonts w:ascii="Arial" w:hAnsi="Arial" w:cs="Arial"/>
                <w:sz w:val="16"/>
                <w:szCs w:val="16"/>
              </w:rPr>
            </w:pPr>
            <w:r w:rsidRPr="00DD6036">
              <w:rPr>
                <w:rFonts w:ascii="Arial" w:hAnsi="Arial" w:cs="Arial"/>
                <w:sz w:val="16"/>
                <w:szCs w:val="16"/>
              </w:rPr>
              <w:t>19,7</w:t>
            </w:r>
          </w:p>
        </w:tc>
        <w:tc>
          <w:tcPr>
            <w:tcW w:w="705" w:type="dxa"/>
            <w:tcBorders>
              <w:top w:val="single" w:sz="6" w:space="0" w:color="D3D3D3"/>
              <w:left w:val="single" w:sz="6" w:space="0" w:color="D3D3D3"/>
              <w:right w:val="single" w:sz="6" w:space="0" w:color="D3D3D3"/>
            </w:tcBorders>
          </w:tcPr>
          <w:p w:rsidR="005A439A" w:rsidRPr="00DD6036" w:rsidRDefault="005A439A" w:rsidP="005A439A">
            <w:pPr>
              <w:pStyle w:val="TableParagraph"/>
              <w:ind w:right="102"/>
              <w:rPr>
                <w:rFonts w:ascii="Arial" w:hAnsi="Arial" w:cs="Arial"/>
                <w:sz w:val="16"/>
                <w:szCs w:val="16"/>
              </w:rPr>
            </w:pPr>
            <w:r w:rsidRPr="00DD6036">
              <w:rPr>
                <w:rFonts w:ascii="Arial" w:hAnsi="Arial" w:cs="Arial"/>
                <w:sz w:val="16"/>
                <w:szCs w:val="16"/>
              </w:rPr>
              <w:t>20,2</w:t>
            </w:r>
          </w:p>
        </w:tc>
        <w:tc>
          <w:tcPr>
            <w:tcW w:w="705" w:type="dxa"/>
            <w:tcBorders>
              <w:top w:val="single" w:sz="6" w:space="0" w:color="D3D3D3"/>
              <w:left w:val="single" w:sz="6" w:space="0" w:color="D3D3D3"/>
              <w:right w:val="single" w:sz="6" w:space="0" w:color="D3D3D3"/>
            </w:tcBorders>
          </w:tcPr>
          <w:p w:rsidR="005A439A" w:rsidRPr="00DD6036" w:rsidRDefault="005A439A" w:rsidP="005A439A">
            <w:pPr>
              <w:pStyle w:val="TableParagraph"/>
              <w:ind w:right="103"/>
              <w:rPr>
                <w:rFonts w:ascii="Arial" w:hAnsi="Arial" w:cs="Arial"/>
                <w:sz w:val="16"/>
                <w:szCs w:val="16"/>
              </w:rPr>
            </w:pPr>
            <w:r w:rsidRPr="00DD6036">
              <w:rPr>
                <w:rFonts w:ascii="Arial" w:hAnsi="Arial" w:cs="Arial"/>
                <w:sz w:val="16"/>
                <w:szCs w:val="16"/>
              </w:rPr>
              <w:t>20,4</w:t>
            </w:r>
          </w:p>
        </w:tc>
        <w:tc>
          <w:tcPr>
            <w:tcW w:w="705" w:type="dxa"/>
            <w:tcBorders>
              <w:top w:val="single" w:sz="6" w:space="0" w:color="D3D3D3"/>
              <w:left w:val="single" w:sz="6" w:space="0" w:color="D3D3D3"/>
              <w:right w:val="single" w:sz="6" w:space="0" w:color="D3D3D3"/>
            </w:tcBorders>
          </w:tcPr>
          <w:p w:rsidR="005A439A" w:rsidRPr="00DD6036" w:rsidRDefault="005A439A" w:rsidP="005A439A">
            <w:pPr>
              <w:pStyle w:val="TableParagraph"/>
              <w:ind w:right="101"/>
              <w:rPr>
                <w:rFonts w:ascii="Arial" w:hAnsi="Arial" w:cs="Arial"/>
                <w:sz w:val="16"/>
                <w:szCs w:val="16"/>
              </w:rPr>
            </w:pPr>
            <w:r w:rsidRPr="00DD6036">
              <w:rPr>
                <w:rFonts w:ascii="Arial" w:hAnsi="Arial" w:cs="Arial"/>
                <w:sz w:val="16"/>
                <w:szCs w:val="16"/>
              </w:rPr>
              <w:t>20,1</w:t>
            </w:r>
          </w:p>
        </w:tc>
        <w:tc>
          <w:tcPr>
            <w:tcW w:w="705" w:type="dxa"/>
            <w:tcBorders>
              <w:top w:val="single" w:sz="6" w:space="0" w:color="D3D3D3"/>
              <w:left w:val="single" w:sz="6" w:space="0" w:color="D3D3D3"/>
            </w:tcBorders>
          </w:tcPr>
          <w:p w:rsidR="005A439A" w:rsidRPr="00DD6036" w:rsidRDefault="005A439A" w:rsidP="005A439A">
            <w:pPr>
              <w:pStyle w:val="TableParagraph"/>
              <w:ind w:left="76" w:right="36"/>
              <w:rPr>
                <w:rFonts w:ascii="Arial" w:hAnsi="Arial" w:cs="Arial"/>
                <w:sz w:val="16"/>
                <w:szCs w:val="16"/>
              </w:rPr>
            </w:pPr>
            <w:r w:rsidRPr="00DD6036">
              <w:rPr>
                <w:rFonts w:ascii="Arial" w:hAnsi="Arial" w:cs="Arial"/>
                <w:sz w:val="16"/>
                <w:szCs w:val="16"/>
              </w:rPr>
              <w:t>20,5</w:t>
            </w:r>
          </w:p>
        </w:tc>
      </w:tr>
      <w:tr w:rsidR="005A439A" w:rsidRPr="00DD6036" w:rsidTr="005A439A">
        <w:trPr>
          <w:trHeight w:val="329"/>
        </w:trPr>
        <w:tc>
          <w:tcPr>
            <w:tcW w:w="1276" w:type="dxa"/>
          </w:tcPr>
          <w:p w:rsidR="005A439A" w:rsidRPr="00DD6036" w:rsidRDefault="005A439A" w:rsidP="005A439A">
            <w:pPr>
              <w:pStyle w:val="TableParagraph"/>
              <w:jc w:val="left"/>
              <w:rPr>
                <w:rFonts w:ascii="Arial" w:hAnsi="Arial" w:cs="Arial"/>
                <w:sz w:val="16"/>
                <w:szCs w:val="16"/>
              </w:rPr>
            </w:pPr>
          </w:p>
        </w:tc>
        <w:tc>
          <w:tcPr>
            <w:tcW w:w="6960" w:type="dxa"/>
            <w:gridSpan w:val="10"/>
          </w:tcPr>
          <w:p w:rsidR="005A439A" w:rsidRPr="00DD6036" w:rsidRDefault="005A439A" w:rsidP="005A439A">
            <w:pPr>
              <w:pStyle w:val="TableParagraph"/>
              <w:spacing w:before="28"/>
              <w:ind w:left="2049" w:right="2012"/>
              <w:rPr>
                <w:rFonts w:ascii="Arial" w:hAnsi="Arial" w:cs="Arial"/>
                <w:b/>
                <w:sz w:val="16"/>
                <w:szCs w:val="16"/>
              </w:rPr>
            </w:pPr>
            <w:r w:rsidRPr="00DD6036">
              <w:rPr>
                <w:rFonts w:ascii="Arial" w:hAnsi="Arial" w:cs="Arial"/>
                <w:b/>
                <w:sz w:val="16"/>
                <w:szCs w:val="16"/>
              </w:rPr>
              <w:t>SGB II-Quote**</w:t>
            </w:r>
          </w:p>
        </w:tc>
      </w:tr>
      <w:tr w:rsidR="005A439A" w:rsidRPr="00DD6036" w:rsidTr="005A439A">
        <w:trPr>
          <w:trHeight w:val="330"/>
        </w:trPr>
        <w:tc>
          <w:tcPr>
            <w:tcW w:w="1276" w:type="dxa"/>
            <w:tcBorders>
              <w:bottom w:val="single" w:sz="6" w:space="0" w:color="D3D3D3"/>
            </w:tcBorders>
          </w:tcPr>
          <w:p w:rsidR="005A439A" w:rsidRPr="00DD6036" w:rsidRDefault="005A439A" w:rsidP="005A439A">
            <w:pPr>
              <w:pStyle w:val="TableParagraph"/>
              <w:spacing w:before="28"/>
              <w:ind w:left="50"/>
              <w:jc w:val="left"/>
              <w:rPr>
                <w:rFonts w:ascii="Arial" w:hAnsi="Arial" w:cs="Arial"/>
                <w:b/>
                <w:sz w:val="16"/>
                <w:szCs w:val="16"/>
              </w:rPr>
            </w:pPr>
            <w:r w:rsidRPr="00DD6036">
              <w:rPr>
                <w:rFonts w:ascii="Arial" w:hAnsi="Arial" w:cs="Arial"/>
                <w:b/>
                <w:sz w:val="16"/>
                <w:szCs w:val="16"/>
              </w:rPr>
              <w:t>Bayern</w:t>
            </w:r>
          </w:p>
        </w:tc>
        <w:tc>
          <w:tcPr>
            <w:tcW w:w="615" w:type="dxa"/>
            <w:tcBorders>
              <w:bottom w:val="single" w:sz="6" w:space="0" w:color="D3D3D3"/>
              <w:right w:val="single" w:sz="6" w:space="0" w:color="D3D3D3"/>
            </w:tcBorders>
          </w:tcPr>
          <w:p w:rsidR="005A439A" w:rsidRPr="00DD6036" w:rsidRDefault="005A439A" w:rsidP="005A439A">
            <w:pPr>
              <w:pStyle w:val="TableParagraph"/>
              <w:ind w:left="69" w:right="55"/>
              <w:rPr>
                <w:rFonts w:ascii="Arial" w:hAnsi="Arial" w:cs="Arial"/>
                <w:sz w:val="16"/>
                <w:szCs w:val="16"/>
              </w:rPr>
            </w:pPr>
            <w:r w:rsidRPr="00DD6036">
              <w:rPr>
                <w:rFonts w:ascii="Arial" w:hAnsi="Arial" w:cs="Arial"/>
                <w:sz w:val="16"/>
                <w:szCs w:val="16"/>
              </w:rPr>
              <w:t>5,5</w:t>
            </w:r>
          </w:p>
        </w:tc>
        <w:tc>
          <w:tcPr>
            <w:tcW w:w="705" w:type="dxa"/>
            <w:tcBorders>
              <w:left w:val="single" w:sz="6" w:space="0" w:color="D3D3D3"/>
              <w:bottom w:val="single" w:sz="6" w:space="0" w:color="D3D3D3"/>
              <w:right w:val="single" w:sz="6" w:space="0" w:color="D3D3D3"/>
            </w:tcBorders>
          </w:tcPr>
          <w:p w:rsidR="005A439A" w:rsidRPr="00DD6036" w:rsidRDefault="005A439A" w:rsidP="005A439A">
            <w:pPr>
              <w:pStyle w:val="TableParagraph"/>
              <w:ind w:left="195"/>
              <w:jc w:val="left"/>
              <w:rPr>
                <w:rFonts w:ascii="Arial" w:hAnsi="Arial" w:cs="Arial"/>
                <w:sz w:val="16"/>
                <w:szCs w:val="16"/>
              </w:rPr>
            </w:pPr>
            <w:r w:rsidRPr="00DD6036">
              <w:rPr>
                <w:rFonts w:ascii="Arial" w:hAnsi="Arial" w:cs="Arial"/>
                <w:sz w:val="16"/>
                <w:szCs w:val="16"/>
              </w:rPr>
              <w:t>5,3</w:t>
            </w:r>
          </w:p>
        </w:tc>
        <w:tc>
          <w:tcPr>
            <w:tcW w:w="705" w:type="dxa"/>
            <w:tcBorders>
              <w:left w:val="single" w:sz="6" w:space="0" w:color="D3D3D3"/>
              <w:bottom w:val="single" w:sz="6" w:space="0" w:color="D3D3D3"/>
              <w:right w:val="single" w:sz="6" w:space="0" w:color="D3D3D3"/>
            </w:tcBorders>
          </w:tcPr>
          <w:p w:rsidR="005A439A" w:rsidRPr="00DD6036" w:rsidRDefault="005A439A" w:rsidP="005A439A">
            <w:pPr>
              <w:pStyle w:val="TableParagraph"/>
              <w:ind w:left="195"/>
              <w:jc w:val="left"/>
              <w:rPr>
                <w:rFonts w:ascii="Arial" w:hAnsi="Arial" w:cs="Arial"/>
                <w:sz w:val="16"/>
                <w:szCs w:val="16"/>
              </w:rPr>
            </w:pPr>
            <w:r w:rsidRPr="00DD6036">
              <w:rPr>
                <w:rFonts w:ascii="Arial" w:hAnsi="Arial" w:cs="Arial"/>
                <w:sz w:val="16"/>
                <w:szCs w:val="16"/>
              </w:rPr>
              <w:t>5,4</w:t>
            </w:r>
          </w:p>
        </w:tc>
        <w:tc>
          <w:tcPr>
            <w:tcW w:w="705" w:type="dxa"/>
            <w:tcBorders>
              <w:left w:val="single" w:sz="6" w:space="0" w:color="D3D3D3"/>
              <w:bottom w:val="single" w:sz="6" w:space="0" w:color="D3D3D3"/>
              <w:right w:val="single" w:sz="6" w:space="0" w:color="D3D3D3"/>
            </w:tcBorders>
          </w:tcPr>
          <w:p w:rsidR="005A439A" w:rsidRPr="00DD6036" w:rsidRDefault="005A439A" w:rsidP="005A439A">
            <w:pPr>
              <w:pStyle w:val="TableParagraph"/>
              <w:ind w:left="73" w:right="55"/>
              <w:rPr>
                <w:rFonts w:ascii="Arial" w:hAnsi="Arial" w:cs="Arial"/>
                <w:sz w:val="16"/>
                <w:szCs w:val="16"/>
              </w:rPr>
            </w:pPr>
            <w:r w:rsidRPr="00DD6036">
              <w:rPr>
                <w:rFonts w:ascii="Arial" w:hAnsi="Arial" w:cs="Arial"/>
                <w:sz w:val="16"/>
                <w:szCs w:val="16"/>
              </w:rPr>
              <w:t>5,7</w:t>
            </w:r>
          </w:p>
        </w:tc>
        <w:tc>
          <w:tcPr>
            <w:tcW w:w="705" w:type="dxa"/>
            <w:tcBorders>
              <w:left w:val="single" w:sz="6" w:space="0" w:color="D3D3D3"/>
              <w:bottom w:val="single" w:sz="6" w:space="0" w:color="D3D3D3"/>
              <w:right w:val="single" w:sz="6" w:space="0" w:color="D3D3D3"/>
            </w:tcBorders>
          </w:tcPr>
          <w:p w:rsidR="005A439A" w:rsidRPr="00DD6036" w:rsidRDefault="005A439A" w:rsidP="005A439A">
            <w:pPr>
              <w:pStyle w:val="TableParagraph"/>
              <w:ind w:left="74" w:right="55"/>
              <w:rPr>
                <w:rFonts w:ascii="Arial" w:hAnsi="Arial" w:cs="Arial"/>
                <w:sz w:val="16"/>
                <w:szCs w:val="16"/>
              </w:rPr>
            </w:pPr>
            <w:r w:rsidRPr="00DD6036">
              <w:rPr>
                <w:rFonts w:ascii="Arial" w:hAnsi="Arial" w:cs="Arial"/>
                <w:sz w:val="16"/>
                <w:szCs w:val="16"/>
              </w:rPr>
              <w:t>6,0</w:t>
            </w:r>
          </w:p>
        </w:tc>
        <w:tc>
          <w:tcPr>
            <w:tcW w:w="705" w:type="dxa"/>
            <w:tcBorders>
              <w:left w:val="single" w:sz="6" w:space="0" w:color="D3D3D3"/>
              <w:bottom w:val="single" w:sz="6" w:space="0" w:color="D3D3D3"/>
              <w:right w:val="single" w:sz="6" w:space="0" w:color="D3D3D3"/>
            </w:tcBorders>
          </w:tcPr>
          <w:p w:rsidR="005A439A" w:rsidRPr="00DD6036" w:rsidRDefault="005A439A" w:rsidP="005A439A">
            <w:pPr>
              <w:pStyle w:val="TableParagraph"/>
              <w:ind w:left="198"/>
              <w:jc w:val="left"/>
              <w:rPr>
                <w:rFonts w:ascii="Arial" w:hAnsi="Arial" w:cs="Arial"/>
                <w:sz w:val="16"/>
                <w:szCs w:val="16"/>
              </w:rPr>
            </w:pPr>
            <w:r w:rsidRPr="00DD6036">
              <w:rPr>
                <w:rFonts w:ascii="Arial" w:hAnsi="Arial" w:cs="Arial"/>
                <w:sz w:val="16"/>
                <w:szCs w:val="16"/>
              </w:rPr>
              <w:t>6,1</w:t>
            </w:r>
          </w:p>
        </w:tc>
        <w:tc>
          <w:tcPr>
            <w:tcW w:w="705" w:type="dxa"/>
            <w:tcBorders>
              <w:left w:val="single" w:sz="6" w:space="0" w:color="D3D3D3"/>
              <w:bottom w:val="single" w:sz="6" w:space="0" w:color="D3D3D3"/>
              <w:right w:val="single" w:sz="6" w:space="0" w:color="D3D3D3"/>
            </w:tcBorders>
          </w:tcPr>
          <w:p w:rsidR="005A439A" w:rsidRPr="00DD6036" w:rsidRDefault="005A439A" w:rsidP="005A439A">
            <w:pPr>
              <w:pStyle w:val="TableParagraph"/>
              <w:ind w:right="174"/>
              <w:rPr>
                <w:rFonts w:ascii="Arial" w:hAnsi="Arial" w:cs="Arial"/>
                <w:sz w:val="16"/>
                <w:szCs w:val="16"/>
              </w:rPr>
            </w:pPr>
            <w:r w:rsidRPr="00DD6036">
              <w:rPr>
                <w:rFonts w:ascii="Arial" w:hAnsi="Arial" w:cs="Arial"/>
                <w:sz w:val="16"/>
                <w:szCs w:val="16"/>
              </w:rPr>
              <w:t>6,5</w:t>
            </w:r>
          </w:p>
        </w:tc>
        <w:tc>
          <w:tcPr>
            <w:tcW w:w="705" w:type="dxa"/>
            <w:tcBorders>
              <w:left w:val="single" w:sz="6" w:space="0" w:color="D3D3D3"/>
              <w:bottom w:val="single" w:sz="6" w:space="0" w:color="D3D3D3"/>
              <w:right w:val="single" w:sz="6" w:space="0" w:color="D3D3D3"/>
            </w:tcBorders>
          </w:tcPr>
          <w:p w:rsidR="005A439A" w:rsidRPr="00DD6036" w:rsidRDefault="005A439A" w:rsidP="005A439A">
            <w:pPr>
              <w:pStyle w:val="TableParagraph"/>
              <w:ind w:left="199"/>
              <w:jc w:val="left"/>
              <w:rPr>
                <w:rFonts w:ascii="Arial" w:hAnsi="Arial" w:cs="Arial"/>
                <w:sz w:val="16"/>
                <w:szCs w:val="16"/>
              </w:rPr>
            </w:pPr>
            <w:r w:rsidRPr="00DD6036">
              <w:rPr>
                <w:rFonts w:ascii="Arial" w:hAnsi="Arial" w:cs="Arial"/>
                <w:sz w:val="16"/>
                <w:szCs w:val="16"/>
              </w:rPr>
              <w:t>6,6</w:t>
            </w:r>
          </w:p>
        </w:tc>
        <w:tc>
          <w:tcPr>
            <w:tcW w:w="705" w:type="dxa"/>
            <w:tcBorders>
              <w:left w:val="single" w:sz="6" w:space="0" w:color="D3D3D3"/>
              <w:bottom w:val="single" w:sz="6" w:space="0" w:color="D3D3D3"/>
              <w:right w:val="single" w:sz="6" w:space="0" w:color="D3D3D3"/>
            </w:tcBorders>
          </w:tcPr>
          <w:p w:rsidR="005A439A" w:rsidRPr="00DD6036" w:rsidRDefault="005A439A" w:rsidP="005A439A">
            <w:pPr>
              <w:pStyle w:val="TableParagraph"/>
              <w:ind w:left="200"/>
              <w:jc w:val="left"/>
              <w:rPr>
                <w:rFonts w:ascii="Arial" w:hAnsi="Arial" w:cs="Arial"/>
                <w:sz w:val="16"/>
                <w:szCs w:val="16"/>
              </w:rPr>
            </w:pPr>
            <w:r w:rsidRPr="00DD6036">
              <w:rPr>
                <w:rFonts w:ascii="Arial" w:hAnsi="Arial" w:cs="Arial"/>
                <w:sz w:val="16"/>
                <w:szCs w:val="16"/>
              </w:rPr>
              <w:t>6,1</w:t>
            </w:r>
          </w:p>
        </w:tc>
        <w:tc>
          <w:tcPr>
            <w:tcW w:w="705" w:type="dxa"/>
            <w:tcBorders>
              <w:left w:val="single" w:sz="6" w:space="0" w:color="D3D3D3"/>
              <w:bottom w:val="single" w:sz="6" w:space="0" w:color="D3D3D3"/>
            </w:tcBorders>
          </w:tcPr>
          <w:p w:rsidR="005A439A" w:rsidRPr="00DD6036" w:rsidRDefault="005A439A" w:rsidP="005A439A">
            <w:pPr>
              <w:pStyle w:val="TableParagraph"/>
              <w:ind w:left="76" w:right="50"/>
              <w:rPr>
                <w:rFonts w:ascii="Arial" w:hAnsi="Arial" w:cs="Arial"/>
                <w:sz w:val="16"/>
                <w:szCs w:val="16"/>
              </w:rPr>
            </w:pPr>
            <w:r w:rsidRPr="00DD6036">
              <w:rPr>
                <w:rFonts w:ascii="Arial" w:hAnsi="Arial" w:cs="Arial"/>
                <w:sz w:val="16"/>
                <w:szCs w:val="16"/>
              </w:rPr>
              <w:t>5,8</w:t>
            </w:r>
          </w:p>
        </w:tc>
      </w:tr>
      <w:tr w:rsidR="005A439A" w:rsidRPr="00DD6036" w:rsidTr="005A439A">
        <w:trPr>
          <w:trHeight w:val="329"/>
        </w:trPr>
        <w:tc>
          <w:tcPr>
            <w:tcW w:w="1276" w:type="dxa"/>
            <w:tcBorders>
              <w:top w:val="single" w:sz="6" w:space="0" w:color="D3D3D3"/>
            </w:tcBorders>
          </w:tcPr>
          <w:p w:rsidR="005A439A" w:rsidRPr="00DD6036" w:rsidRDefault="005A439A" w:rsidP="005A439A">
            <w:pPr>
              <w:pStyle w:val="TableParagraph"/>
              <w:spacing w:before="28"/>
              <w:ind w:left="50"/>
              <w:jc w:val="left"/>
              <w:rPr>
                <w:rFonts w:ascii="Arial" w:hAnsi="Arial" w:cs="Arial"/>
                <w:b/>
                <w:sz w:val="16"/>
                <w:szCs w:val="16"/>
              </w:rPr>
            </w:pPr>
            <w:r w:rsidRPr="00DD6036">
              <w:rPr>
                <w:rFonts w:ascii="Arial" w:hAnsi="Arial" w:cs="Arial"/>
                <w:b/>
                <w:sz w:val="16"/>
                <w:szCs w:val="16"/>
              </w:rPr>
              <w:t>Deutschland</w:t>
            </w:r>
          </w:p>
        </w:tc>
        <w:tc>
          <w:tcPr>
            <w:tcW w:w="615" w:type="dxa"/>
            <w:tcBorders>
              <w:top w:val="single" w:sz="6" w:space="0" w:color="D3D3D3"/>
              <w:right w:val="single" w:sz="6" w:space="0" w:color="D3D3D3"/>
            </w:tcBorders>
          </w:tcPr>
          <w:p w:rsidR="005A439A" w:rsidRPr="00DD6036" w:rsidRDefault="005A439A" w:rsidP="005A439A">
            <w:pPr>
              <w:pStyle w:val="TableParagraph"/>
              <w:ind w:left="76" w:right="49"/>
              <w:rPr>
                <w:rFonts w:ascii="Arial" w:hAnsi="Arial" w:cs="Arial"/>
                <w:sz w:val="16"/>
                <w:szCs w:val="16"/>
              </w:rPr>
            </w:pPr>
            <w:r w:rsidRPr="00DD6036">
              <w:rPr>
                <w:rFonts w:ascii="Arial" w:hAnsi="Arial" w:cs="Arial"/>
                <w:sz w:val="16"/>
                <w:szCs w:val="16"/>
              </w:rPr>
              <w:t>12,5</w:t>
            </w:r>
          </w:p>
        </w:tc>
        <w:tc>
          <w:tcPr>
            <w:tcW w:w="705" w:type="dxa"/>
            <w:tcBorders>
              <w:top w:val="single" w:sz="6" w:space="0" w:color="D3D3D3"/>
              <w:left w:val="single" w:sz="6" w:space="0" w:color="D3D3D3"/>
              <w:right w:val="single" w:sz="6" w:space="0" w:color="D3D3D3"/>
            </w:tcBorders>
          </w:tcPr>
          <w:p w:rsidR="005A439A" w:rsidRPr="00DD6036" w:rsidRDefault="005A439A" w:rsidP="005A439A">
            <w:pPr>
              <w:pStyle w:val="TableParagraph"/>
              <w:ind w:right="105"/>
              <w:rPr>
                <w:rFonts w:ascii="Arial" w:hAnsi="Arial" w:cs="Arial"/>
                <w:sz w:val="16"/>
                <w:szCs w:val="16"/>
              </w:rPr>
            </w:pPr>
            <w:r w:rsidRPr="00DD6036">
              <w:rPr>
                <w:rFonts w:ascii="Arial" w:hAnsi="Arial" w:cs="Arial"/>
                <w:sz w:val="16"/>
                <w:szCs w:val="16"/>
              </w:rPr>
              <w:t>12,5</w:t>
            </w:r>
          </w:p>
        </w:tc>
        <w:tc>
          <w:tcPr>
            <w:tcW w:w="705" w:type="dxa"/>
            <w:tcBorders>
              <w:top w:val="single" w:sz="6" w:space="0" w:color="D3D3D3"/>
              <w:left w:val="single" w:sz="6" w:space="0" w:color="D3D3D3"/>
              <w:right w:val="single" w:sz="6" w:space="0" w:color="D3D3D3"/>
            </w:tcBorders>
          </w:tcPr>
          <w:p w:rsidR="005A439A" w:rsidRPr="00DD6036" w:rsidRDefault="005A439A" w:rsidP="005A439A">
            <w:pPr>
              <w:pStyle w:val="TableParagraph"/>
              <w:ind w:right="105"/>
              <w:rPr>
                <w:rFonts w:ascii="Arial" w:hAnsi="Arial" w:cs="Arial"/>
                <w:sz w:val="16"/>
                <w:szCs w:val="16"/>
              </w:rPr>
            </w:pPr>
            <w:r w:rsidRPr="00DD6036">
              <w:rPr>
                <w:rFonts w:ascii="Arial" w:hAnsi="Arial" w:cs="Arial"/>
                <w:sz w:val="16"/>
                <w:szCs w:val="16"/>
              </w:rPr>
              <w:t>12,8</w:t>
            </w:r>
          </w:p>
        </w:tc>
        <w:tc>
          <w:tcPr>
            <w:tcW w:w="705" w:type="dxa"/>
            <w:tcBorders>
              <w:top w:val="single" w:sz="6" w:space="0" w:color="D3D3D3"/>
              <w:left w:val="single" w:sz="6" w:space="0" w:color="D3D3D3"/>
              <w:right w:val="single" w:sz="6" w:space="0" w:color="D3D3D3"/>
            </w:tcBorders>
          </w:tcPr>
          <w:p w:rsidR="005A439A" w:rsidRPr="00DD6036" w:rsidRDefault="005A439A" w:rsidP="005A439A">
            <w:pPr>
              <w:pStyle w:val="TableParagraph"/>
              <w:ind w:left="76" w:right="44"/>
              <w:rPr>
                <w:rFonts w:ascii="Arial" w:hAnsi="Arial" w:cs="Arial"/>
                <w:sz w:val="16"/>
                <w:szCs w:val="16"/>
              </w:rPr>
            </w:pPr>
            <w:r w:rsidRPr="00DD6036">
              <w:rPr>
                <w:rFonts w:ascii="Arial" w:hAnsi="Arial" w:cs="Arial"/>
                <w:sz w:val="16"/>
                <w:szCs w:val="16"/>
              </w:rPr>
              <w:t>13,3</w:t>
            </w:r>
          </w:p>
        </w:tc>
        <w:tc>
          <w:tcPr>
            <w:tcW w:w="705" w:type="dxa"/>
            <w:tcBorders>
              <w:top w:val="single" w:sz="6" w:space="0" w:color="D3D3D3"/>
              <w:left w:val="single" w:sz="6" w:space="0" w:color="D3D3D3"/>
              <w:right w:val="single" w:sz="6" w:space="0" w:color="D3D3D3"/>
            </w:tcBorders>
          </w:tcPr>
          <w:p w:rsidR="005A439A" w:rsidRPr="00DD6036" w:rsidRDefault="005A439A" w:rsidP="005A439A">
            <w:pPr>
              <w:pStyle w:val="TableParagraph"/>
              <w:ind w:left="76" w:right="43"/>
              <w:rPr>
                <w:rFonts w:ascii="Arial" w:hAnsi="Arial" w:cs="Arial"/>
                <w:sz w:val="16"/>
                <w:szCs w:val="16"/>
              </w:rPr>
            </w:pPr>
            <w:r w:rsidRPr="00DD6036">
              <w:rPr>
                <w:rFonts w:ascii="Arial" w:hAnsi="Arial" w:cs="Arial"/>
                <w:sz w:val="16"/>
                <w:szCs w:val="16"/>
              </w:rPr>
              <w:t>13,6</w:t>
            </w:r>
          </w:p>
        </w:tc>
        <w:tc>
          <w:tcPr>
            <w:tcW w:w="705" w:type="dxa"/>
            <w:tcBorders>
              <w:top w:val="single" w:sz="6" w:space="0" w:color="D3D3D3"/>
              <w:left w:val="single" w:sz="6" w:space="0" w:color="D3D3D3"/>
              <w:right w:val="single" w:sz="6" w:space="0" w:color="D3D3D3"/>
            </w:tcBorders>
          </w:tcPr>
          <w:p w:rsidR="005A439A" w:rsidRPr="00DD6036" w:rsidRDefault="005A439A" w:rsidP="005A439A">
            <w:pPr>
              <w:pStyle w:val="TableParagraph"/>
              <w:ind w:left="140"/>
              <w:jc w:val="left"/>
              <w:rPr>
                <w:rFonts w:ascii="Arial" w:hAnsi="Arial" w:cs="Arial"/>
                <w:sz w:val="16"/>
                <w:szCs w:val="16"/>
              </w:rPr>
            </w:pPr>
            <w:r w:rsidRPr="00DD6036">
              <w:rPr>
                <w:rFonts w:ascii="Arial" w:hAnsi="Arial" w:cs="Arial"/>
                <w:sz w:val="16"/>
                <w:szCs w:val="16"/>
              </w:rPr>
              <w:t>13,6</w:t>
            </w:r>
          </w:p>
        </w:tc>
        <w:tc>
          <w:tcPr>
            <w:tcW w:w="705" w:type="dxa"/>
            <w:tcBorders>
              <w:top w:val="single" w:sz="6" w:space="0" w:color="D3D3D3"/>
              <w:left w:val="single" w:sz="6" w:space="0" w:color="D3D3D3"/>
              <w:right w:val="single" w:sz="6" w:space="0" w:color="D3D3D3"/>
            </w:tcBorders>
          </w:tcPr>
          <w:p w:rsidR="005A439A" w:rsidRPr="00DD6036" w:rsidRDefault="005A439A" w:rsidP="005A439A">
            <w:pPr>
              <w:pStyle w:val="TableParagraph"/>
              <w:ind w:right="102"/>
              <w:rPr>
                <w:rFonts w:ascii="Arial" w:hAnsi="Arial" w:cs="Arial"/>
                <w:sz w:val="16"/>
                <w:szCs w:val="16"/>
              </w:rPr>
            </w:pPr>
            <w:r w:rsidRPr="00DD6036">
              <w:rPr>
                <w:rFonts w:ascii="Arial" w:hAnsi="Arial" w:cs="Arial"/>
                <w:sz w:val="16"/>
                <w:szCs w:val="16"/>
              </w:rPr>
              <w:t>13,9</w:t>
            </w:r>
          </w:p>
        </w:tc>
        <w:tc>
          <w:tcPr>
            <w:tcW w:w="705" w:type="dxa"/>
            <w:tcBorders>
              <w:top w:val="single" w:sz="6" w:space="0" w:color="D3D3D3"/>
              <w:left w:val="single" w:sz="6" w:space="0" w:color="D3D3D3"/>
              <w:right w:val="single" w:sz="6" w:space="0" w:color="D3D3D3"/>
            </w:tcBorders>
          </w:tcPr>
          <w:p w:rsidR="005A439A" w:rsidRPr="00DD6036" w:rsidRDefault="005A439A" w:rsidP="005A439A">
            <w:pPr>
              <w:pStyle w:val="TableParagraph"/>
              <w:ind w:right="103"/>
              <w:rPr>
                <w:rFonts w:ascii="Arial" w:hAnsi="Arial" w:cs="Arial"/>
                <w:sz w:val="16"/>
                <w:szCs w:val="16"/>
              </w:rPr>
            </w:pPr>
            <w:r w:rsidRPr="00DD6036">
              <w:rPr>
                <w:rFonts w:ascii="Arial" w:hAnsi="Arial" w:cs="Arial"/>
                <w:sz w:val="16"/>
                <w:szCs w:val="16"/>
              </w:rPr>
              <w:t>14,1</w:t>
            </w:r>
          </w:p>
        </w:tc>
        <w:tc>
          <w:tcPr>
            <w:tcW w:w="705" w:type="dxa"/>
            <w:tcBorders>
              <w:top w:val="single" w:sz="6" w:space="0" w:color="D3D3D3"/>
              <w:left w:val="single" w:sz="6" w:space="0" w:color="D3D3D3"/>
              <w:right w:val="single" w:sz="6" w:space="0" w:color="D3D3D3"/>
            </w:tcBorders>
          </w:tcPr>
          <w:p w:rsidR="005A439A" w:rsidRPr="00DD6036" w:rsidRDefault="005A439A" w:rsidP="005A439A">
            <w:pPr>
              <w:pStyle w:val="TableParagraph"/>
              <w:ind w:right="101"/>
              <w:rPr>
                <w:rFonts w:ascii="Arial" w:hAnsi="Arial" w:cs="Arial"/>
                <w:sz w:val="16"/>
                <w:szCs w:val="16"/>
              </w:rPr>
            </w:pPr>
            <w:r w:rsidRPr="00DD6036">
              <w:rPr>
                <w:rFonts w:ascii="Arial" w:hAnsi="Arial" w:cs="Arial"/>
                <w:sz w:val="16"/>
                <w:szCs w:val="16"/>
              </w:rPr>
              <w:t>13,4</w:t>
            </w:r>
          </w:p>
        </w:tc>
        <w:tc>
          <w:tcPr>
            <w:tcW w:w="705" w:type="dxa"/>
            <w:tcBorders>
              <w:top w:val="single" w:sz="6" w:space="0" w:color="D3D3D3"/>
              <w:left w:val="single" w:sz="6" w:space="0" w:color="D3D3D3"/>
            </w:tcBorders>
          </w:tcPr>
          <w:p w:rsidR="005A439A" w:rsidRPr="00DD6036" w:rsidRDefault="005A439A" w:rsidP="005A439A">
            <w:pPr>
              <w:pStyle w:val="TableParagraph"/>
              <w:ind w:left="76" w:right="36"/>
              <w:rPr>
                <w:rFonts w:ascii="Arial" w:hAnsi="Arial" w:cs="Arial"/>
                <w:sz w:val="16"/>
                <w:szCs w:val="16"/>
              </w:rPr>
            </w:pPr>
            <w:r w:rsidRPr="00DD6036">
              <w:rPr>
                <w:rFonts w:ascii="Arial" w:hAnsi="Arial" w:cs="Arial"/>
                <w:sz w:val="16"/>
                <w:szCs w:val="16"/>
              </w:rPr>
              <w:t>12,9</w:t>
            </w:r>
          </w:p>
        </w:tc>
      </w:tr>
      <w:tr w:rsidR="005A439A" w:rsidRPr="00DD6036" w:rsidTr="005A439A">
        <w:trPr>
          <w:trHeight w:val="789"/>
        </w:trPr>
        <w:tc>
          <w:tcPr>
            <w:tcW w:w="8236" w:type="dxa"/>
            <w:gridSpan w:val="11"/>
            <w:tcBorders>
              <w:bottom w:val="single" w:sz="6" w:space="0" w:color="D3D3D3"/>
            </w:tcBorders>
          </w:tcPr>
          <w:p w:rsidR="005A439A" w:rsidRPr="00DD6036" w:rsidRDefault="005A439A" w:rsidP="005A439A">
            <w:pPr>
              <w:pStyle w:val="TableParagraph"/>
              <w:spacing w:before="13" w:line="240" w:lineRule="atLeast"/>
              <w:ind w:left="35"/>
              <w:jc w:val="left"/>
              <w:rPr>
                <w:rFonts w:ascii="Arial" w:hAnsi="Arial" w:cs="Arial"/>
                <w:sz w:val="16"/>
                <w:szCs w:val="16"/>
              </w:rPr>
            </w:pPr>
            <w:r w:rsidRPr="00DD6036">
              <w:rPr>
                <w:rFonts w:ascii="Arial" w:hAnsi="Arial" w:cs="Arial"/>
                <w:w w:val="105"/>
                <w:sz w:val="16"/>
                <w:szCs w:val="16"/>
              </w:rPr>
              <w:t xml:space="preserve">* Anteil </w:t>
            </w:r>
            <w:r w:rsidRPr="00DD6036">
              <w:rPr>
                <w:rFonts w:ascii="Arial" w:hAnsi="Arial" w:cs="Arial"/>
                <w:spacing w:val="-3"/>
                <w:w w:val="105"/>
                <w:sz w:val="16"/>
                <w:szCs w:val="16"/>
              </w:rPr>
              <w:t xml:space="preserve">der </w:t>
            </w:r>
            <w:r w:rsidRPr="00DD6036">
              <w:rPr>
                <w:rFonts w:ascii="Arial" w:hAnsi="Arial" w:cs="Arial"/>
                <w:w w:val="105"/>
                <w:sz w:val="16"/>
                <w:szCs w:val="16"/>
              </w:rPr>
              <w:t xml:space="preserve">Personen mit </w:t>
            </w:r>
            <w:r w:rsidRPr="00DD6036">
              <w:rPr>
                <w:rFonts w:ascii="Arial" w:hAnsi="Arial" w:cs="Arial"/>
                <w:spacing w:val="-3"/>
                <w:w w:val="105"/>
                <w:sz w:val="16"/>
                <w:szCs w:val="16"/>
              </w:rPr>
              <w:t xml:space="preserve">einem </w:t>
            </w:r>
            <w:r w:rsidRPr="00DD6036">
              <w:rPr>
                <w:rFonts w:ascii="Arial" w:hAnsi="Arial" w:cs="Arial"/>
                <w:w w:val="105"/>
                <w:sz w:val="16"/>
                <w:szCs w:val="16"/>
              </w:rPr>
              <w:t>Äquivalenzeinkommen</w:t>
            </w:r>
            <w:r w:rsidRPr="00DD6036">
              <w:rPr>
                <w:rFonts w:ascii="Arial" w:hAnsi="Arial" w:cs="Arial"/>
                <w:spacing w:val="-9"/>
                <w:w w:val="105"/>
                <w:sz w:val="16"/>
                <w:szCs w:val="16"/>
              </w:rPr>
              <w:t xml:space="preserve"> von </w:t>
            </w:r>
            <w:r w:rsidRPr="00DD6036">
              <w:rPr>
                <w:rFonts w:ascii="Arial" w:hAnsi="Arial" w:cs="Arial"/>
                <w:spacing w:val="-3"/>
                <w:w w:val="105"/>
                <w:sz w:val="16"/>
                <w:szCs w:val="16"/>
              </w:rPr>
              <w:t xml:space="preserve">weniger </w:t>
            </w:r>
            <w:r w:rsidRPr="00DD6036">
              <w:rPr>
                <w:rFonts w:ascii="Arial" w:hAnsi="Arial" w:cs="Arial"/>
                <w:w w:val="105"/>
                <w:sz w:val="16"/>
                <w:szCs w:val="16"/>
              </w:rPr>
              <w:t xml:space="preserve">als </w:t>
            </w:r>
            <w:r w:rsidR="00262A38">
              <w:rPr>
                <w:rFonts w:ascii="Arial" w:hAnsi="Arial" w:cs="Arial"/>
                <w:spacing w:val="-3"/>
                <w:w w:val="105"/>
                <w:sz w:val="16"/>
                <w:szCs w:val="16"/>
              </w:rPr>
              <w:t>60 Prozent</w:t>
            </w:r>
            <w:r w:rsidRPr="00DD6036">
              <w:rPr>
                <w:rFonts w:ascii="Arial" w:hAnsi="Arial" w:cs="Arial"/>
                <w:spacing w:val="-3"/>
                <w:w w:val="105"/>
                <w:sz w:val="16"/>
                <w:szCs w:val="16"/>
              </w:rPr>
              <w:t xml:space="preserve"> des</w:t>
            </w:r>
            <w:r w:rsidRPr="00DD6036">
              <w:rPr>
                <w:rFonts w:ascii="Arial" w:hAnsi="Arial" w:cs="Arial"/>
                <w:w w:val="105"/>
                <w:sz w:val="16"/>
                <w:szCs w:val="16"/>
              </w:rPr>
              <w:t xml:space="preserve"> bundesweiten Medians </w:t>
            </w:r>
            <w:r w:rsidRPr="00DD6036">
              <w:rPr>
                <w:rFonts w:ascii="Arial" w:hAnsi="Arial" w:cs="Arial"/>
                <w:spacing w:val="-3"/>
                <w:w w:val="105"/>
                <w:sz w:val="16"/>
                <w:szCs w:val="16"/>
              </w:rPr>
              <w:t xml:space="preserve">der </w:t>
            </w:r>
            <w:r w:rsidRPr="00DD6036">
              <w:rPr>
                <w:rFonts w:ascii="Arial" w:hAnsi="Arial" w:cs="Arial"/>
                <w:w w:val="105"/>
                <w:sz w:val="16"/>
                <w:szCs w:val="16"/>
              </w:rPr>
              <w:t xml:space="preserve">Äquivalenzeinkommen </w:t>
            </w:r>
            <w:r w:rsidRPr="00DD6036">
              <w:rPr>
                <w:rFonts w:ascii="Arial" w:hAnsi="Arial" w:cs="Arial"/>
                <w:spacing w:val="-3"/>
                <w:w w:val="105"/>
                <w:sz w:val="16"/>
                <w:szCs w:val="16"/>
              </w:rPr>
              <w:t xml:space="preserve">der </w:t>
            </w:r>
            <w:r w:rsidRPr="00DD6036">
              <w:rPr>
                <w:rFonts w:ascii="Arial" w:hAnsi="Arial" w:cs="Arial"/>
                <w:spacing w:val="-4"/>
                <w:w w:val="105"/>
                <w:sz w:val="16"/>
                <w:szCs w:val="16"/>
              </w:rPr>
              <w:t xml:space="preserve">Bevölkerung </w:t>
            </w:r>
            <w:r w:rsidRPr="00DD6036">
              <w:rPr>
                <w:rFonts w:ascii="Arial" w:hAnsi="Arial" w:cs="Arial"/>
                <w:w w:val="105"/>
                <w:sz w:val="16"/>
                <w:szCs w:val="16"/>
              </w:rPr>
              <w:t xml:space="preserve">in </w:t>
            </w:r>
            <w:r w:rsidRPr="00DD6036">
              <w:rPr>
                <w:rFonts w:ascii="Arial" w:hAnsi="Arial" w:cs="Arial"/>
                <w:spacing w:val="-3"/>
                <w:w w:val="105"/>
                <w:sz w:val="16"/>
                <w:szCs w:val="16"/>
              </w:rPr>
              <w:t xml:space="preserve">Privathaushalten </w:t>
            </w:r>
            <w:r w:rsidRPr="00DD6036">
              <w:rPr>
                <w:rFonts w:ascii="Arial" w:hAnsi="Arial" w:cs="Arial"/>
                <w:w w:val="105"/>
                <w:sz w:val="16"/>
                <w:szCs w:val="16"/>
              </w:rPr>
              <w:t xml:space="preserve">am </w:t>
            </w:r>
            <w:r w:rsidRPr="00DD6036">
              <w:rPr>
                <w:rFonts w:ascii="Arial" w:hAnsi="Arial" w:cs="Arial"/>
                <w:spacing w:val="-3"/>
                <w:w w:val="105"/>
                <w:sz w:val="16"/>
                <w:szCs w:val="16"/>
              </w:rPr>
              <w:t xml:space="preserve">Ort der </w:t>
            </w:r>
            <w:r w:rsidRPr="00DD6036">
              <w:rPr>
                <w:rFonts w:ascii="Arial" w:hAnsi="Arial" w:cs="Arial"/>
                <w:spacing w:val="-4"/>
                <w:w w:val="105"/>
                <w:sz w:val="16"/>
                <w:szCs w:val="16"/>
              </w:rPr>
              <w:t xml:space="preserve">Hauptwohnung. Das </w:t>
            </w:r>
            <w:r w:rsidRPr="00DD6036">
              <w:rPr>
                <w:rFonts w:ascii="Arial" w:hAnsi="Arial" w:cs="Arial"/>
                <w:w w:val="105"/>
                <w:sz w:val="16"/>
                <w:szCs w:val="16"/>
              </w:rPr>
              <w:t>Äquivalenz</w:t>
            </w:r>
            <w:r w:rsidR="00262A38">
              <w:rPr>
                <w:rFonts w:ascii="Arial" w:hAnsi="Arial" w:cs="Arial"/>
                <w:w w:val="105"/>
                <w:sz w:val="16"/>
                <w:szCs w:val="16"/>
              </w:rPr>
              <w:t>-</w:t>
            </w:r>
            <w:r w:rsidR="00262A38">
              <w:rPr>
                <w:rFonts w:ascii="Arial" w:hAnsi="Arial" w:cs="Arial"/>
                <w:w w:val="105"/>
                <w:sz w:val="16"/>
                <w:szCs w:val="16"/>
              </w:rPr>
              <w:br/>
            </w:r>
            <w:r w:rsidRPr="00DD6036">
              <w:rPr>
                <w:rFonts w:ascii="Arial" w:hAnsi="Arial" w:cs="Arial"/>
                <w:w w:val="105"/>
                <w:sz w:val="16"/>
                <w:szCs w:val="16"/>
              </w:rPr>
              <w:t xml:space="preserve">einkommen </w:t>
            </w:r>
            <w:r w:rsidRPr="00DD6036">
              <w:rPr>
                <w:rFonts w:ascii="Arial" w:hAnsi="Arial" w:cs="Arial"/>
                <w:spacing w:val="-3"/>
                <w:w w:val="105"/>
                <w:sz w:val="16"/>
                <w:szCs w:val="16"/>
              </w:rPr>
              <w:t xml:space="preserve">wird auf </w:t>
            </w:r>
            <w:r w:rsidRPr="00DD6036">
              <w:rPr>
                <w:rFonts w:ascii="Arial" w:hAnsi="Arial" w:cs="Arial"/>
                <w:w w:val="105"/>
                <w:sz w:val="16"/>
                <w:szCs w:val="16"/>
              </w:rPr>
              <w:t xml:space="preserve">Basis </w:t>
            </w:r>
            <w:r w:rsidRPr="00DD6036">
              <w:rPr>
                <w:rFonts w:ascii="Arial" w:hAnsi="Arial" w:cs="Arial"/>
                <w:spacing w:val="-3"/>
                <w:w w:val="105"/>
                <w:sz w:val="16"/>
                <w:szCs w:val="16"/>
              </w:rPr>
              <w:t xml:space="preserve">der </w:t>
            </w:r>
            <w:r w:rsidRPr="00DD6036">
              <w:rPr>
                <w:rFonts w:ascii="Arial" w:hAnsi="Arial" w:cs="Arial"/>
                <w:spacing w:val="-4"/>
                <w:w w:val="105"/>
                <w:sz w:val="16"/>
                <w:szCs w:val="16"/>
              </w:rPr>
              <w:t xml:space="preserve">neuen </w:t>
            </w:r>
            <w:r w:rsidRPr="00DD6036">
              <w:rPr>
                <w:rFonts w:ascii="Arial" w:hAnsi="Arial" w:cs="Arial"/>
                <w:w w:val="105"/>
                <w:sz w:val="16"/>
                <w:szCs w:val="16"/>
              </w:rPr>
              <w:t>OECD-Skala berechnet.</w:t>
            </w:r>
          </w:p>
        </w:tc>
      </w:tr>
      <w:tr w:rsidR="005A439A" w:rsidRPr="00DD6036" w:rsidTr="005A439A">
        <w:trPr>
          <w:trHeight w:val="513"/>
        </w:trPr>
        <w:tc>
          <w:tcPr>
            <w:tcW w:w="8236" w:type="dxa"/>
            <w:gridSpan w:val="11"/>
            <w:tcBorders>
              <w:top w:val="single" w:sz="6" w:space="0" w:color="D3D3D3"/>
            </w:tcBorders>
          </w:tcPr>
          <w:p w:rsidR="005A439A" w:rsidRPr="00DD6036" w:rsidRDefault="005A439A" w:rsidP="005A439A">
            <w:pPr>
              <w:pStyle w:val="TableParagraph"/>
              <w:spacing w:before="32"/>
              <w:ind w:left="35"/>
              <w:jc w:val="left"/>
              <w:rPr>
                <w:rFonts w:ascii="Arial" w:hAnsi="Arial" w:cs="Arial"/>
                <w:sz w:val="16"/>
                <w:szCs w:val="16"/>
              </w:rPr>
            </w:pPr>
            <w:r w:rsidRPr="00DD6036">
              <w:rPr>
                <w:rFonts w:ascii="Arial" w:hAnsi="Arial" w:cs="Arial"/>
                <w:w w:val="105"/>
                <w:sz w:val="16"/>
                <w:szCs w:val="16"/>
              </w:rPr>
              <w:t>** Die SGB II-Quote bezieht die leistungsberechtigten Kinder und Jugendlichen im Alter von unter 18</w:t>
            </w:r>
          </w:p>
          <w:p w:rsidR="005A439A" w:rsidRPr="00DD6036" w:rsidRDefault="005A439A" w:rsidP="005A439A">
            <w:pPr>
              <w:pStyle w:val="TableParagraph"/>
              <w:spacing w:before="4" w:line="240" w:lineRule="atLeast"/>
              <w:ind w:left="35"/>
              <w:jc w:val="left"/>
              <w:rPr>
                <w:rFonts w:ascii="Arial" w:hAnsi="Arial" w:cs="Arial"/>
                <w:sz w:val="16"/>
                <w:szCs w:val="16"/>
              </w:rPr>
            </w:pPr>
            <w:r w:rsidRPr="00DD6036">
              <w:rPr>
                <w:rFonts w:ascii="Arial" w:hAnsi="Arial" w:cs="Arial"/>
                <w:spacing w:val="-5"/>
                <w:w w:val="105"/>
                <w:sz w:val="16"/>
                <w:szCs w:val="16"/>
              </w:rPr>
              <w:t xml:space="preserve">Jahren </w:t>
            </w:r>
            <w:r w:rsidRPr="00DD6036">
              <w:rPr>
                <w:rFonts w:ascii="Arial" w:hAnsi="Arial" w:cs="Arial"/>
                <w:spacing w:val="-3"/>
                <w:w w:val="105"/>
                <w:sz w:val="16"/>
                <w:szCs w:val="16"/>
              </w:rPr>
              <w:t xml:space="preserve">auf </w:t>
            </w:r>
            <w:r w:rsidRPr="00DD6036">
              <w:rPr>
                <w:rFonts w:ascii="Arial" w:hAnsi="Arial" w:cs="Arial"/>
                <w:w w:val="105"/>
                <w:sz w:val="16"/>
                <w:szCs w:val="16"/>
              </w:rPr>
              <w:t xml:space="preserve">die </w:t>
            </w:r>
            <w:r w:rsidRPr="00DD6036">
              <w:rPr>
                <w:rFonts w:ascii="Arial" w:hAnsi="Arial" w:cs="Arial"/>
                <w:spacing w:val="-4"/>
                <w:w w:val="105"/>
                <w:sz w:val="16"/>
                <w:szCs w:val="16"/>
              </w:rPr>
              <w:t xml:space="preserve">Bevölkerung </w:t>
            </w:r>
            <w:r w:rsidRPr="00DD6036">
              <w:rPr>
                <w:rFonts w:ascii="Arial" w:hAnsi="Arial" w:cs="Arial"/>
                <w:w w:val="105"/>
                <w:sz w:val="16"/>
                <w:szCs w:val="16"/>
              </w:rPr>
              <w:t xml:space="preserve">im Alter </w:t>
            </w:r>
            <w:r w:rsidRPr="00DD6036">
              <w:rPr>
                <w:rFonts w:ascii="Arial" w:hAnsi="Arial" w:cs="Arial"/>
                <w:spacing w:val="-9"/>
                <w:w w:val="105"/>
                <w:sz w:val="16"/>
                <w:szCs w:val="16"/>
              </w:rPr>
              <w:t xml:space="preserve">von </w:t>
            </w:r>
            <w:r w:rsidRPr="00DD6036">
              <w:rPr>
                <w:rFonts w:ascii="Arial" w:hAnsi="Arial" w:cs="Arial"/>
                <w:w w:val="105"/>
                <w:sz w:val="16"/>
                <w:szCs w:val="16"/>
              </w:rPr>
              <w:t xml:space="preserve">unter 18 </w:t>
            </w:r>
            <w:r w:rsidRPr="00DD6036">
              <w:rPr>
                <w:rFonts w:ascii="Arial" w:hAnsi="Arial" w:cs="Arial"/>
                <w:spacing w:val="-5"/>
                <w:w w:val="105"/>
                <w:sz w:val="16"/>
                <w:szCs w:val="16"/>
              </w:rPr>
              <w:t xml:space="preserve">Jahren </w:t>
            </w:r>
            <w:r w:rsidRPr="00DD6036">
              <w:rPr>
                <w:rFonts w:ascii="Arial" w:hAnsi="Arial" w:cs="Arial"/>
                <w:w w:val="105"/>
                <w:sz w:val="16"/>
                <w:szCs w:val="16"/>
              </w:rPr>
              <w:t xml:space="preserve">zum Stand </w:t>
            </w:r>
            <w:r w:rsidRPr="00DD6036">
              <w:rPr>
                <w:rFonts w:ascii="Arial" w:hAnsi="Arial" w:cs="Arial"/>
                <w:spacing w:val="-3"/>
                <w:w w:val="105"/>
                <w:sz w:val="16"/>
                <w:szCs w:val="16"/>
              </w:rPr>
              <w:t xml:space="preserve">des </w:t>
            </w:r>
            <w:r w:rsidRPr="00DD6036">
              <w:rPr>
                <w:rFonts w:ascii="Arial" w:hAnsi="Arial" w:cs="Arial"/>
                <w:w w:val="105"/>
                <w:sz w:val="16"/>
                <w:szCs w:val="16"/>
              </w:rPr>
              <w:t xml:space="preserve">31.12. </w:t>
            </w:r>
            <w:r w:rsidRPr="00DD6036">
              <w:rPr>
                <w:rFonts w:ascii="Arial" w:hAnsi="Arial" w:cs="Arial"/>
                <w:spacing w:val="-3"/>
                <w:w w:val="105"/>
                <w:sz w:val="16"/>
                <w:szCs w:val="16"/>
              </w:rPr>
              <w:t xml:space="preserve">des </w:t>
            </w:r>
            <w:r w:rsidRPr="00DD6036">
              <w:rPr>
                <w:rFonts w:ascii="Arial" w:hAnsi="Arial" w:cs="Arial"/>
                <w:w w:val="105"/>
                <w:sz w:val="16"/>
                <w:szCs w:val="16"/>
              </w:rPr>
              <w:t xml:space="preserve">entsprechenden </w:t>
            </w:r>
            <w:r w:rsidRPr="00DD6036">
              <w:rPr>
                <w:rFonts w:ascii="Arial" w:hAnsi="Arial" w:cs="Arial"/>
                <w:spacing w:val="-3"/>
                <w:w w:val="105"/>
                <w:sz w:val="16"/>
                <w:szCs w:val="16"/>
              </w:rPr>
              <w:t>Jahres.</w:t>
            </w:r>
          </w:p>
        </w:tc>
      </w:tr>
    </w:tbl>
    <w:p w:rsidR="007E0861" w:rsidRDefault="007E0861" w:rsidP="007E0861">
      <w:pPr>
        <w:pStyle w:val="LTAntwortRessortText"/>
      </w:pPr>
    </w:p>
    <w:p w:rsidR="007E0861" w:rsidRDefault="007E0861">
      <w:bookmarkStart w:id="93" w:name="Frage_Nr_46_Ende"/>
      <w:bookmarkEnd w:id="93"/>
      <w:r>
        <w:br w:type="page"/>
      </w:r>
    </w:p>
    <w:p w:rsidR="007E0861" w:rsidRDefault="007E0861" w:rsidP="007E0861">
      <w:pPr>
        <w:pStyle w:val="LTUeberschrRessort"/>
      </w:pPr>
      <w:r>
        <w:lastRenderedPageBreak/>
        <w:t>Geschäftsbereich des Staatsministeriums für Gesundheit und Pflege</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5608B" w:rsidTr="0035608B">
        <w:tc>
          <w:tcPr>
            <w:tcW w:w="1883" w:type="dxa"/>
          </w:tcPr>
          <w:p w:rsidR="0035608B" w:rsidRDefault="0035608B" w:rsidP="0035608B">
            <w:pPr>
              <w:pStyle w:val="LTAnfrageInitiator"/>
            </w:pPr>
            <w:r>
              <w:t>Abgeordneter</w:t>
            </w:r>
            <w:r>
              <w:rPr>
                <w:b/>
              </w:rPr>
              <w:br/>
              <w:t>Benjamin</w:t>
            </w:r>
            <w:r>
              <w:rPr>
                <w:b/>
              </w:rPr>
              <w:br/>
              <w:t>Adjei</w:t>
            </w:r>
            <w:r>
              <w:rPr>
                <w:b/>
              </w:rPr>
              <w:br/>
            </w:r>
            <w:r>
              <w:t>(BÜNDNIS 90/DIE GRÜNEN)</w:t>
            </w:r>
            <w:bookmarkStart w:id="94" w:name="Frage_Nr_47"/>
            <w:bookmarkEnd w:id="94"/>
          </w:p>
        </w:tc>
        <w:tc>
          <w:tcPr>
            <w:tcW w:w="5733" w:type="dxa"/>
          </w:tcPr>
          <w:p w:rsidR="0035608B" w:rsidRPr="00B72724" w:rsidRDefault="0035608B" w:rsidP="00B72724">
            <w:pPr>
              <w:pStyle w:val="LTAnfrageText"/>
            </w:pPr>
            <w:r w:rsidRPr="00B72724">
              <w:t>Da aus dem COVID-19-Lagebericht des Robert Koch-Instituts (RKI) vom 10.03.2021 hervorgeht, dass Bayern die täglichen Impfzahlen nicht über das digitale Impfquotenmonitoring (DIM) übermittelt, sondern in aggregierter Form per E-Mail, frage ich die Staatsregierung, wieso übermittelt sie die täglichen Impfzahlen an das RKI nicht digital über das Impfquotenmonitoring, in welcher Form werden die Daten an das RKI gemeldet (bitte Übertragungsweg, Dateiformat und übermittelte Kennzahlen angeben) und reichen diese Daten aus Sicht der Staatsregierung für das RKI vollumfänglich aus, um detaillierte regionale oder gruppenspezifische Auswertungen des Impfgeschehens anfertigen zu können? </w:t>
            </w:r>
          </w:p>
        </w:tc>
        <w:tc>
          <w:tcPr>
            <w:tcW w:w="5733" w:type="dxa"/>
          </w:tcPr>
          <w:p w:rsidR="0035608B" w:rsidRDefault="0035608B" w:rsidP="0035608B">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 xml:space="preserve">Bayern übermittelt seit Beginn der Impfungen alle Daten zu </w:t>
      </w:r>
      <w:r w:rsidR="00102307">
        <w:t>COVID-19</w:t>
      </w:r>
      <w:r>
        <w:t xml:space="preserve">-Impfungen an das </w:t>
      </w:r>
      <w:r w:rsidR="00262A38">
        <w:t>RKI</w:t>
      </w:r>
      <w:r>
        <w:t>.</w:t>
      </w:r>
    </w:p>
    <w:p w:rsidR="007E0861" w:rsidRDefault="007E0861" w:rsidP="007E0861">
      <w:pPr>
        <w:pStyle w:val="LTAntwortRessortText"/>
      </w:pPr>
      <w:r>
        <w:t>Datenschutz und Datensicherheit sind bei einer Verarbeitung sensibler personenbezogener und auch medizinischer Daten von großer Bedeutung. Personenbezogene Daten werden daher nur im notwendigen Umfang verarbeitet. Für die Datenverarbeitung und damit auch für die Umsetzung der strengen europäischen und nationalen Vorschriften zum Datenschutz sind die Impfzentren und Mobilen Impfteams sowie der Freistaat Bayern als Betreiber der dazu genutzten Software verantwortlich. Eine Datenverarbeitung im Verantwortungsbereich des Bayerischen Impfmanagements gegen Corona (BayIMCO) erfolgt daher bei medizinischen Daten ausschließlich verschlüsselt.</w:t>
      </w:r>
    </w:p>
    <w:p w:rsidR="007E0861" w:rsidRDefault="007E0861" w:rsidP="007E0861">
      <w:pPr>
        <w:pStyle w:val="LTAntwortRessortText"/>
      </w:pPr>
      <w:r>
        <w:t xml:space="preserve">Die vom </w:t>
      </w:r>
      <w:r w:rsidR="00262A38">
        <w:t>RKI</w:t>
      </w:r>
      <w:r>
        <w:t xml:space="preserve"> zur Verfügung gestellte Schnittstelle des Digitalen Impfquotenmonitorings (DIM) konnte anfangs solche verschlüsselten Datensätze nicht verarbeiten und wurde deshalb speziell für Bayern erweitert. Bis zur Erweiterung der RKI-seitigen DIM-Schnittstelle um die Verarbeitung verschlüsselt angelieferter Daten wurde eine aggregierte Auswertung der täglich über BayIMCO in den Impfzentren angefallenen Impfdaten, wie mit dem RKI vereinbart, per E-Mail an das RKI gesendet. Diese E-Mail enthielt keine Einzeldatensätze, sondern beispielsweise die Summen der einzelnen am Berichtstag gezählten Indikationen. Seit 02.03.2021 kann die erweiterte RKI-DIM-Schnittstelle automatisiert datenschutzkonform durch</w:t>
      </w:r>
      <w:r w:rsidR="004C0F13">
        <w:t xml:space="preserve"> </w:t>
      </w:r>
      <w:r>
        <w:t>BayIMCO genutzt werden. Dabei werden alle vom RKI geforderten Indikationen auf Einzeldatensatzebene übertragen.</w:t>
      </w:r>
    </w:p>
    <w:p w:rsidR="007E0861" w:rsidRDefault="007E0861" w:rsidP="007E0861">
      <w:pPr>
        <w:pStyle w:val="LTAntwortRessortText"/>
      </w:pPr>
      <w:r>
        <w:t>Impfungen, die außerhalb von BayIMCO in den Krankenhäusern erfolgen, werden von dem Bayerischen Institut für Krankenhaus-Organisation und -Betriebsführung GmbH (BIK) aktuell noch per verschlüsselter E-Mail an das RKI übermittelt. Die Schnittstelle zum RKI für die automatisierte Datenübermittlung wird aktuell entwickelt.</w:t>
      </w:r>
    </w:p>
    <w:p w:rsidR="007E0861" w:rsidRDefault="007E0861">
      <w:bookmarkStart w:id="95" w:name="Frage_Nr_47_Ende"/>
      <w:bookmarkEnd w:id="95"/>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961D3" w:rsidTr="004961D3">
        <w:tc>
          <w:tcPr>
            <w:tcW w:w="1883" w:type="dxa"/>
          </w:tcPr>
          <w:p w:rsidR="004961D3" w:rsidRDefault="004961D3" w:rsidP="004961D3">
            <w:pPr>
              <w:pStyle w:val="LTAnfrageInitiator"/>
            </w:pPr>
            <w:r>
              <w:lastRenderedPageBreak/>
              <w:t>Abgeordneter</w:t>
            </w:r>
            <w:r>
              <w:rPr>
                <w:b/>
              </w:rPr>
              <w:br/>
              <w:t>Johannes</w:t>
            </w:r>
            <w:r>
              <w:rPr>
                <w:b/>
              </w:rPr>
              <w:br/>
              <w:t>Becher</w:t>
            </w:r>
            <w:r>
              <w:rPr>
                <w:b/>
              </w:rPr>
              <w:br/>
            </w:r>
            <w:r>
              <w:t>(BÜNDNIS 90/DIE GRÜNEN)</w:t>
            </w:r>
            <w:bookmarkStart w:id="96" w:name="Frage_Nr_48"/>
            <w:bookmarkEnd w:id="96"/>
          </w:p>
        </w:tc>
        <w:tc>
          <w:tcPr>
            <w:tcW w:w="5733" w:type="dxa"/>
          </w:tcPr>
          <w:p w:rsidR="004961D3" w:rsidRPr="00B72724" w:rsidRDefault="004961D3" w:rsidP="00B72724">
            <w:pPr>
              <w:pStyle w:val="LTAnfrageText"/>
            </w:pPr>
            <w:r w:rsidRPr="00B72724">
              <w:t>Ich frage die Staatsregierung, welche Verträge hat nach ihrer Kenntnis MdL Alfred Sauter (CSU) für Pandemiebeschaffungsgeschäfte mit bayerischen Ministerien oder nachgelagerten Behörden im Rahmen seiner rechtsanwaltlichen Tätigkeit entworfen, haben bayerische Ministerien oder nachgelagerte Behörden hierfür Honorare entrichtet und welche anderen Verträge wurden in der Pandemiebeschaffung durch Rechtsanwaltskanzleien entworfen, bei denen Anwälte oder Anwältinnen tätig sind, die zugleich Mitglied des Landtags sind?  </w:t>
            </w:r>
          </w:p>
        </w:tc>
        <w:tc>
          <w:tcPr>
            <w:tcW w:w="5733" w:type="dxa"/>
          </w:tcPr>
          <w:p w:rsidR="004961D3" w:rsidRDefault="004961D3" w:rsidP="004961D3">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 xml:space="preserve">Im März 2020 hat die Rechtsanwaltskanzlei Sauter &amp; Wurm im Auftrag der Firma </w:t>
      </w:r>
      <w:r w:rsidR="00102307">
        <w:t>„</w:t>
      </w:r>
      <w:r>
        <w:t>Lomotex GmbH &amp; Co. KG</w:t>
      </w:r>
      <w:r w:rsidR="00102307">
        <w:t>“</w:t>
      </w:r>
      <w:r>
        <w:t xml:space="preserve"> einen Vertrag zum Ankauf von Schutzmasken ausgefertigt und dem St</w:t>
      </w:r>
      <w:r w:rsidR="00262A38">
        <w:t>aatsministerium für Gesundheit und Pflege (St</w:t>
      </w:r>
      <w:r>
        <w:t>MGP</w:t>
      </w:r>
      <w:r w:rsidR="00262A38">
        <w:t>)</w:t>
      </w:r>
      <w:r>
        <w:t xml:space="preserve"> geschickt. Nach entsprechender juristischer sowie fachlicher Prüfung wurde ein Vertrag über den Kauf von rund 3,5 </w:t>
      </w:r>
      <w:r w:rsidR="00262A38">
        <w:t>Mio. Schutzmasken (FFP2/</w:t>
      </w:r>
      <w:r>
        <w:t>FFP3) für einen Betrag von 14.250.000 Euro abgeschlossen. Eine Zahlung für eine Vermittlungstätigkeit war weder Gegenstand des geschlossenen Vertrages, noch wurde eine solche seitens des StMGP geleistet.</w:t>
      </w:r>
    </w:p>
    <w:p w:rsidR="007E0861" w:rsidRDefault="007E0861" w:rsidP="007E0861">
      <w:pPr>
        <w:pStyle w:val="LTAntwortRessortText"/>
      </w:pPr>
      <w:r>
        <w:t xml:space="preserve">Im Übrigen ist eine Beantwortung der umfassend angelegten Fragestellung zu Beschaffungsvorgängen der bayerischen Staatsverwaltung über persönliche Schutzausrüstungen während der </w:t>
      </w:r>
      <w:r w:rsidR="00B832D1">
        <w:t>Coronapandemie</w:t>
      </w:r>
      <w:r>
        <w:t xml:space="preserve"> aufgrund der Kürze der für die Beantwortung einer Anfrage zum Plenum zur Verfügung stehenden Zeit nicht leistbar. Die Anfrage erstreckt sich auf alle Ressorts unter Einbindung des jeweils nachgeordneten Bereichs, was eine entsprechende Abfrage und Recherche erforderlich machen würde, zugleich wäre eine Abstimmung mit der Generalstaatsanwaltschaft München angezeigt.</w:t>
      </w:r>
    </w:p>
    <w:p w:rsidR="007E0861" w:rsidRDefault="007E0861" w:rsidP="007E0861">
      <w:pPr>
        <w:pStyle w:val="LTAntwortRessortText"/>
      </w:pPr>
      <w:r>
        <w:t xml:space="preserve">Schließlich sind gemäß den Verhaltensregeln für die Mitglieder des Bayerischen Landtags, die sich der Landtag aufgrund von Art. 4a </w:t>
      </w:r>
      <w:r w:rsidR="00262A38">
        <w:t>Bayerisches Abgeordnetengesetz (</w:t>
      </w:r>
      <w:r>
        <w:t>BayAbgG</w:t>
      </w:r>
      <w:r w:rsidR="00262A38">
        <w:t>)</w:t>
      </w:r>
      <w:r>
        <w:t xml:space="preserve"> selbst gegeben hat, </w:t>
      </w:r>
      <w:r w:rsidR="00102307">
        <w:t>u. a.</w:t>
      </w:r>
      <w:r>
        <w:t xml:space="preserve"> entgeltliche Tätigkeiten neben dem Mandat, die selbstständig oder im Rahmen eines Anstellungsverhältnisses ausgeübt werden, dem Präsidenten/der Präsidentin des Landtags schriftlich anzuzeigen. Die Erfüllung dieser Anzeigepflicht obliegt nicht der Kontrolle der Staatsregierung.</w:t>
      </w:r>
    </w:p>
    <w:p w:rsidR="007E0861" w:rsidRDefault="007E0861">
      <w:bookmarkStart w:id="97" w:name="Frage_Nr_48_Ende"/>
      <w:bookmarkEnd w:id="97"/>
      <w:r>
        <w:br w:type="page"/>
      </w:r>
    </w:p>
    <w:tbl>
      <w:tblPr>
        <w:tblStyle w:val="Tabellenraster"/>
        <w:tblW w:w="133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tblGrid>
      <w:tr w:rsidR="004961D3" w:rsidTr="004961D3">
        <w:tc>
          <w:tcPr>
            <w:tcW w:w="1917" w:type="dxa"/>
          </w:tcPr>
          <w:p w:rsidR="004961D3" w:rsidRDefault="004961D3" w:rsidP="004961D3">
            <w:pPr>
              <w:pStyle w:val="LTAnfrageInitiator"/>
            </w:pPr>
            <w:r>
              <w:lastRenderedPageBreak/>
              <w:t>Abgeordneter</w:t>
            </w:r>
            <w:r>
              <w:rPr>
                <w:b/>
              </w:rPr>
              <w:br/>
              <w:t>Franz</w:t>
            </w:r>
            <w:r>
              <w:rPr>
                <w:b/>
              </w:rPr>
              <w:br/>
              <w:t>Bergmüller</w:t>
            </w:r>
            <w:r>
              <w:rPr>
                <w:b/>
              </w:rPr>
              <w:br/>
            </w:r>
            <w:r>
              <w:t>(AfD)</w:t>
            </w:r>
            <w:bookmarkStart w:id="98" w:name="Frage_Nr_49"/>
            <w:bookmarkEnd w:id="98"/>
          </w:p>
        </w:tc>
        <w:tc>
          <w:tcPr>
            <w:tcW w:w="5699" w:type="dxa"/>
          </w:tcPr>
          <w:p w:rsidR="004961D3" w:rsidRPr="00B72724" w:rsidRDefault="004961D3" w:rsidP="00B72724">
            <w:pPr>
              <w:pStyle w:val="LTAnfrageText"/>
            </w:pPr>
            <w:r w:rsidRPr="00B72724">
              <w:t>Angesichts der Tatsache, dass Bundeskanzlerin Angela Merkel die Vorgabe aufstellte: „Wenn wir genügend Menschen ein Impfangebot gemacht haben werden und sich einige partout nicht impfen lassen wollen, wird man überlegen müssen, ob es in bestimmten Bereichen Öffnungen und Zugänge nur für Geimpfte geben soll. Aber da sind wir noch nicht.“</w:t>
            </w:r>
            <w:r w:rsidRPr="008C6A18">
              <w:rPr>
                <w:vertAlign w:val="superscript"/>
              </w:rPr>
              <w:footnoteReference w:id="2"/>
            </w:r>
            <w:r w:rsidRPr="00B72724">
              <w:t xml:space="preserve"> und angesichts der Tatsache, dass Ministerpräsident Dr. Markus Söder diese eindeutige Vorgabe für die Bayern wie folgt wiederholte und hierbei verklausulierte „Ich finde es nicht richtig, dass Grundrechte dauerhaft eingeschränkt bleiben müssen, wenn ein Teil sich nicht impfen lassen will.“</w:t>
            </w:r>
            <w:r w:rsidRPr="008C6A18">
              <w:rPr>
                <w:vertAlign w:val="superscript"/>
              </w:rPr>
              <w:footnoteReference w:id="3"/>
            </w:r>
            <w:r w:rsidRPr="00B72724">
              <w:t xml:space="preserve"> und angesichts der Tatsache, dass der ehemalige Präsident des Bundesverfassungsgerichts Hans-Jürgen Papier in der Zeitung die WELT derartige Äußerungen und die durch diese Äußerungen zum Ausdruck gebrachte Haltung zu Grund- und Bürgerrechten u. a. wie folgt einordnete „Aber seit einem Jahr müssen wir infolge der Pandemie Abweichungen von dieser Werteordnung feststellen, die sich niemand zuvor hat vorstellen können. Das gilt sowohl im Hinblick auf die Geltung der Grund- und Menschenrechte, als auch im Hinblick auf die Strukturen der parlamentarischen Demokratie.“ „Ich habe den Eindruck, dass Wert und Bedeutung der Freiheitsrechte in weiten Teilen der Bevölkerung, aber auch in der Politik unterschätzt werden – heute mehr denn je“</w:t>
            </w:r>
            <w:r w:rsidRPr="008C6A18">
              <w:rPr>
                <w:vertAlign w:val="superscript"/>
              </w:rPr>
              <w:footnoteReference w:id="4"/>
            </w:r>
            <w:r w:rsidRPr="00B72724">
              <w:t xml:space="preserve">, frage ich die Staatsregierung, aufgrund welcher Tatsachen und/oder rechtlicher Wertungen teilt die Staatsregierung die Aussage des ehemaligen Präsidenten des Bundesverfassungsgerichts aus dem im Vorspruch zitierten Artikel in der Zeitung die WELT zur regelmäßig stattfindenden Bund-Länder-Konferenz „Aber es handelt sich um ein Gremium, das in der Verfassung nicht vorgesehen ist und über keinerlei Kompetenzen verfügt.“ nicht, aufgrund welcher Tatsachen und/oder rechtlicher Wertungen teilt die Staatsregierung die Aussage des ehemaligen Präsidenten des Bundesverfassungsgerichts zu der eingangs zitierten Vorgabe der Kanzlerin und korrespondierender Umsetzung durch den Ministerpräsidenten „Darin kommt die irrige Vorstellung zum Ausdruck, dass Freiheiten den Menschen gewissermaßen vom Staat gewährt werden, wenn und solange es mit den Zielen der Politik vereinbar ist.“ nicht und aufgrund welcher Tatsachen und/oder rechtlicher Wertungen teilt die Staatsregierung die Aussage des ehemaligen Präsidenten des Bundesverfassungsgerichts aus dem im Vorspruch zitierten Artikel in der Zeitung die WELT „… Geimpften…von den…keine Ansteckungsgefahr mehr ausgeht…gegenüber… [sind] Freiheitsbeschränkungen nicht mehr verhältnismäßig und dürfen meines Erachtens nicht mehr aufrechterhalten werden...Ich kann aber keine Solidarität </w:t>
            </w:r>
            <w:r w:rsidRPr="00B72724">
              <w:lastRenderedPageBreak/>
              <w:t>verlangen gegen geltendes Verfassungsrecht, [verlangen] zumal eine solche Solidarität den nicht geimpften Personen überhaupt nichts nutzen würde“ nicht?</w:t>
            </w:r>
          </w:p>
        </w:tc>
        <w:tc>
          <w:tcPr>
            <w:tcW w:w="5699" w:type="dxa"/>
          </w:tcPr>
          <w:p w:rsidR="004961D3" w:rsidRDefault="004961D3" w:rsidP="004961D3">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Aus den Begründungen zu den Bayerischen Infektionsschutzmaßnahmenverordnungen ergibt sich ausführlich, welche Gründe den zuständigen Verordnungsgeber jeweils zum Erlass der einzelnen Regelungen bewogen haben. Dass die Verordnungen im Wesentlichen die in den Konferenzen der Bundeskanzlerin mit den Regierungschefinnen und Regierungschefs der Länder (MPK) beschlossen Eckpunkte umsetzen, steht dem nicht entgegen. Vielmehr hat sich die Staatsregierung insoweit die gemeinsame Lagebeurteilung und die Erwägungen, die den in der Konferenz gefassten Beschlüssen zugrunde liegen, unter Berücksichtigung des bayerischen Infektionsgeschehens und der Einschätzungen des Robert Koch-Instituts (RKI) zu eigen gemacht.</w:t>
      </w:r>
    </w:p>
    <w:p w:rsidR="007E0861" w:rsidRDefault="007E0861" w:rsidP="007E0861">
      <w:pPr>
        <w:pStyle w:val="LTAntwortRessortText"/>
      </w:pPr>
      <w:r>
        <w:t>Die Frage, ob und inwieweit gravierende Beschränkungen der Freiheit von geimpften Personen aufrechterhalten werden können, muss derzeit noch nicht entschieden werden, da noch nicht</w:t>
      </w:r>
      <w:r w:rsidR="004C0F13">
        <w:t xml:space="preserve"> </w:t>
      </w:r>
      <w:r>
        <w:t xml:space="preserve">endgültig verlässlich wissenschaftlich abschätzbar ist, in welchem Maße Impfungen gegen </w:t>
      </w:r>
      <w:r w:rsidR="00102307">
        <w:t>COVID-19</w:t>
      </w:r>
      <w:r>
        <w:t xml:space="preserve"> die Infektiosität der geimpften </w:t>
      </w:r>
      <w:r w:rsidR="008C6A18">
        <w:t xml:space="preserve">Personen vermindern. Weil </w:t>
      </w:r>
      <w:r>
        <w:t>selbst Kontakte von geimpften Personen untereinander das Virus weiterverbreiten und mittelbar zur Infektion noch nicht geimpfter Personen führen können, kommt jedenfalls derzeit eine individuelle Rücknahme staatlicher Freiheitsbeschränkungen für geimpfte Personen nicht in Betracht.</w:t>
      </w:r>
    </w:p>
    <w:p w:rsidR="007E0861" w:rsidRDefault="007E0861" w:rsidP="007E0861">
      <w:pPr>
        <w:pStyle w:val="LTAntwortRessortText"/>
      </w:pPr>
      <w:r>
        <w:t>Die Staatsregierung stellt sicher, dass laufend überprüft wird, ob und welche Regelungen weiterhin erforderlich sind. Aus diesem Grund sind die zur Bewältigung der Pandemie getroffenen Maßnahmen auch stets zeitlich befristet. Sie werden Schritt für Schritt so angepasst, wie es nach der jeweils aktuellen Lage erforderlich ist. Bei den nächsten Beschlüssen der MPK und des Ministerrats wird dabei auch das Fortschreiten des Impfprogramms verstärkt zu berücksichtigen sein.</w:t>
      </w:r>
    </w:p>
    <w:p w:rsidR="007E0861" w:rsidRDefault="007E0861">
      <w:bookmarkStart w:id="99" w:name="Frage_Nr_49_Ende"/>
      <w:bookmarkEnd w:id="99"/>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961D3" w:rsidTr="004961D3">
        <w:tc>
          <w:tcPr>
            <w:tcW w:w="1883" w:type="dxa"/>
          </w:tcPr>
          <w:p w:rsidR="004961D3" w:rsidRDefault="004961D3" w:rsidP="004961D3">
            <w:pPr>
              <w:pStyle w:val="LTAnfrageInitiator"/>
            </w:pPr>
            <w:r>
              <w:lastRenderedPageBreak/>
              <w:t>Abgeordnete</w:t>
            </w:r>
            <w:r>
              <w:rPr>
                <w:b/>
              </w:rPr>
              <w:br/>
              <w:t>Kerstin</w:t>
            </w:r>
            <w:r>
              <w:rPr>
                <w:b/>
              </w:rPr>
              <w:br/>
              <w:t>Celina</w:t>
            </w:r>
            <w:r>
              <w:rPr>
                <w:b/>
              </w:rPr>
              <w:br/>
            </w:r>
            <w:r>
              <w:t>(BÜNDNIS 90/DIE GRÜNEN)</w:t>
            </w:r>
            <w:bookmarkStart w:id="100" w:name="Frage_Nr_50"/>
            <w:bookmarkEnd w:id="100"/>
          </w:p>
        </w:tc>
        <w:tc>
          <w:tcPr>
            <w:tcW w:w="5733" w:type="dxa"/>
          </w:tcPr>
          <w:p w:rsidR="004961D3" w:rsidRPr="00B72724" w:rsidRDefault="004961D3" w:rsidP="00B72724">
            <w:pPr>
              <w:pStyle w:val="LTAnfrageText"/>
            </w:pPr>
            <w:r w:rsidRPr="00B72724">
              <w:t>Im Hinblick auf den Bestechungsskandal um MdB Georg Nüßlein und etwaige Verbindungen nach Bayern frage ich die Staatsregierung, welche pandemiebedingten Beschaffungsverträge haben bayerische Ministerien (bitte unter Nennung des jeweiligen Vertragsgegenstandes und Auftragsvolumens) insbesondere mit der Textilfirma Lomotex GmbH &amp; Co. KG abgeschlossen und welche Preise wurden dabei für welche Güter (Gesamtvolumen und Stückpreis) entrichtet?  </w:t>
            </w:r>
          </w:p>
        </w:tc>
        <w:tc>
          <w:tcPr>
            <w:tcW w:w="5733" w:type="dxa"/>
          </w:tcPr>
          <w:p w:rsidR="004961D3" w:rsidRDefault="004961D3" w:rsidP="004961D3">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Im März 2020 hat das St</w:t>
      </w:r>
      <w:r w:rsidR="000B1637">
        <w:t>aatsministerium für Gesundheit und Pflege (St</w:t>
      </w:r>
      <w:r>
        <w:t>MGP</w:t>
      </w:r>
      <w:r w:rsidR="000B1637">
        <w:t>)</w:t>
      </w:r>
      <w:r>
        <w:t xml:space="preserve"> mit der Firma </w:t>
      </w:r>
      <w:r w:rsidR="00102307">
        <w:t>„</w:t>
      </w:r>
      <w:r>
        <w:t>Lomotex GmbH &amp; Co. KG</w:t>
      </w:r>
      <w:r w:rsidR="00102307">
        <w:t>“</w:t>
      </w:r>
      <w:r>
        <w:t xml:space="preserve"> ein Vertrag über den Kauf von rund 3,5</w:t>
      </w:r>
      <w:r w:rsidR="000B1637">
        <w:t xml:space="preserve"> Millionen Schutzmasken (FFP2/</w:t>
      </w:r>
      <w:r>
        <w:t>FFP3) für einen Betrag von 14.250.000 Euro geschlossen.</w:t>
      </w:r>
    </w:p>
    <w:p w:rsidR="007E0861" w:rsidRDefault="007E0861" w:rsidP="007E0861">
      <w:pPr>
        <w:pStyle w:val="LTAntwortRessortText"/>
      </w:pPr>
      <w:r>
        <w:t xml:space="preserve">Im Übrigen ist eine Beantwortung der umfassend angelegten Fragestellung zu Beschaffungsvorgängen der bayerischen Staatsverwaltung über persönliche Schutzausrüstungen während der </w:t>
      </w:r>
      <w:r w:rsidR="00B832D1">
        <w:t>Coronapandemie</w:t>
      </w:r>
      <w:r>
        <w:t xml:space="preserve"> aufgrund der Kürze der für die Beantwortung einer Anfrage zum Plenum zur Verfügung stehenden Zeit nicht leistbar. Die Anfrage erstreckt sich auf alle Ressorts unter Einbindung des jeweils nachgeordneten Bereichs, was eine entsprechende Abfrage und Recherche erforderlich machen würde, zugleich wäre eine Abstimmung mit der Generalstaatsanwaltschaft München angezeigt.</w:t>
      </w:r>
    </w:p>
    <w:p w:rsidR="007E0861" w:rsidRDefault="007E0861">
      <w:bookmarkStart w:id="101" w:name="Frage_Nr_50_Ende"/>
      <w:bookmarkEnd w:id="101"/>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961D3" w:rsidTr="004961D3">
        <w:tc>
          <w:tcPr>
            <w:tcW w:w="1883" w:type="dxa"/>
          </w:tcPr>
          <w:p w:rsidR="004961D3" w:rsidRDefault="004961D3" w:rsidP="004961D3">
            <w:pPr>
              <w:pStyle w:val="LTAnfrageInitiator"/>
            </w:pPr>
            <w:r>
              <w:lastRenderedPageBreak/>
              <w:t>Abgeordnete</w:t>
            </w:r>
            <w:r>
              <w:rPr>
                <w:b/>
              </w:rPr>
              <w:br/>
              <w:t>Gülseren</w:t>
            </w:r>
            <w:r>
              <w:rPr>
                <w:b/>
              </w:rPr>
              <w:br/>
              <w:t>Demirel</w:t>
            </w:r>
            <w:r>
              <w:rPr>
                <w:b/>
              </w:rPr>
              <w:br/>
            </w:r>
            <w:r>
              <w:t>(BÜNDNIS 90/DIE GRÜNEN)</w:t>
            </w:r>
            <w:bookmarkStart w:id="102" w:name="Frage_Nr_51"/>
            <w:bookmarkEnd w:id="102"/>
          </w:p>
        </w:tc>
        <w:tc>
          <w:tcPr>
            <w:tcW w:w="5733" w:type="dxa"/>
          </w:tcPr>
          <w:p w:rsidR="004961D3" w:rsidRPr="00B72724" w:rsidRDefault="004961D3" w:rsidP="00B72724">
            <w:pPr>
              <w:pStyle w:val="LTAnfrageText"/>
            </w:pPr>
            <w:r w:rsidRPr="00B72724">
              <w:t xml:space="preserve">Ich frage die Staatsregierung , ob ihr vor Bekanntwerden des Ermittlungsverfahrens bekannt war , dass MdB Georg Nüßlein oder die Tectum Holding GmbH für Unternehmen Kontakte zu Entscheidungsträgern hergestellt hat, um Pandemiebeschaffungsverträge abzuschließen, wenn ja, welche Kontakte mit bayerischen Ministerien und nachgelagerten Behörden sind unter Vermittlung oder Beratung von MdB Georg Nüßlein (CSU) bzw. der Tectum Holding GmbH zustande gekommen und welche Kenntnisse hat die Staatsregierung über Vertragsverhältnisse der bayerischen Ministerien oder nachgelagerter Behörden im Rahmen der Pandemiebeschaffung zu dem Geschäftsmann </w:t>
            </w:r>
            <w:r w:rsidRPr="00BA2A1D">
              <w:rPr>
                <w:highlight w:val="black"/>
              </w:rPr>
              <w:t>----------------</w:t>
            </w:r>
            <w:r w:rsidRPr="00B72724">
              <w:t>? </w:t>
            </w:r>
          </w:p>
        </w:tc>
        <w:tc>
          <w:tcPr>
            <w:tcW w:w="5733" w:type="dxa"/>
          </w:tcPr>
          <w:p w:rsidR="004961D3" w:rsidRDefault="004961D3" w:rsidP="004961D3">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Der Sachverhalt ist Gegenstand der laufenden Ermittlungen der Generalstaatsanwaltschaft München. Weitere Informationen können hierzu nicht erteilt werden.</w:t>
      </w:r>
    </w:p>
    <w:p w:rsidR="007E0861" w:rsidRDefault="007E0861" w:rsidP="007E0861">
      <w:pPr>
        <w:pStyle w:val="LTAntwortRessortText"/>
      </w:pPr>
      <w:r>
        <w:t xml:space="preserve">Im Übrigen ist eine Beantwortung der umfassend angelegten Fragestellung zu Beschaffungsvorgängen der bayerischen Staatsverwaltung über persönliche Schutzausrüstungen während der </w:t>
      </w:r>
      <w:r w:rsidR="00B832D1">
        <w:t>Coronapandemie</w:t>
      </w:r>
      <w:r>
        <w:t xml:space="preserve"> aufgrund der Kürze der für die Beantwortung einer Anfrage zum Plenum zur Verfügung stehenden Zeit nicht leistbar. Die Anfrage erstreckt sich auf alle Ressorts unter Einbindung des jeweils nachgeordneten Bereichs, was eine entsprechende Abfrage und Recherche erforderlich machen würde, zugleich wäre eine Abstimmung mit der Generalstaatsanwaltschaft München angezeigt.</w:t>
      </w:r>
    </w:p>
    <w:p w:rsidR="007E0861" w:rsidRDefault="007E0861">
      <w:bookmarkStart w:id="103" w:name="Frage_Nr_51_Ende"/>
      <w:bookmarkEnd w:id="103"/>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961D3" w:rsidTr="004961D3">
        <w:tc>
          <w:tcPr>
            <w:tcW w:w="1883" w:type="dxa"/>
          </w:tcPr>
          <w:p w:rsidR="004961D3" w:rsidRDefault="004961D3" w:rsidP="004961D3">
            <w:pPr>
              <w:pStyle w:val="LTAnfrageInitiator"/>
            </w:pPr>
            <w:r>
              <w:lastRenderedPageBreak/>
              <w:t>Abgeordnete</w:t>
            </w:r>
            <w:r>
              <w:rPr>
                <w:b/>
              </w:rPr>
              <w:br/>
              <w:t>Anne</w:t>
            </w:r>
            <w:r>
              <w:rPr>
                <w:b/>
              </w:rPr>
              <w:br/>
              <w:t>Franke</w:t>
            </w:r>
            <w:r>
              <w:rPr>
                <w:b/>
              </w:rPr>
              <w:br/>
            </w:r>
            <w:r>
              <w:t>(BÜNDNIS 90/DIE GRÜNEN)</w:t>
            </w:r>
            <w:bookmarkStart w:id="104" w:name="Frage_Nr_52"/>
            <w:bookmarkEnd w:id="104"/>
          </w:p>
        </w:tc>
        <w:tc>
          <w:tcPr>
            <w:tcW w:w="5733" w:type="dxa"/>
          </w:tcPr>
          <w:p w:rsidR="004961D3" w:rsidRPr="00B72724" w:rsidRDefault="004961D3" w:rsidP="00B72724">
            <w:pPr>
              <w:pStyle w:val="LTAnfrageText"/>
            </w:pPr>
            <w:r w:rsidRPr="00B72724">
              <w:t>Ich frage die Staatsregierung, entspricht die Ausgestaltung von Beschaffungsverträgen durch die Lieferanten bzw. von ihnen beauftragte Dritte der gängigen Praxis, mit welchen Unternehmen wurden solche Pandemiebeschaffungsverträge geschlossen und welches Auftragsvolumen wurde dabei jeweils vereinbart? </w:t>
            </w:r>
          </w:p>
        </w:tc>
        <w:tc>
          <w:tcPr>
            <w:tcW w:w="5733" w:type="dxa"/>
          </w:tcPr>
          <w:p w:rsidR="004961D3" w:rsidRDefault="004961D3" w:rsidP="004961D3">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Die Ausgestaltung von Beschaffungsverträgen durch Lieferanten bzw. von ihnen beauftragte Dritte ist nicht der Regelfall. Üblicherweise werden die vertraglichen Regelungen von der jeweiligen beschaffenden Stelle vorgegeben und müssen von Anbietern im Rahmen von Vergabeverfahren bei Abgabe von Angeboten akzeptiert bzw. ihrem jeweiligen Angebot zugrunde gelegt werden.</w:t>
      </w:r>
    </w:p>
    <w:p w:rsidR="007E0861" w:rsidRDefault="007E0861" w:rsidP="007E0861">
      <w:pPr>
        <w:pStyle w:val="LTAntwortRessortText"/>
      </w:pPr>
      <w:r>
        <w:t xml:space="preserve">Davon zu unterscheiden sind Ausnahmefälle, in denen eine Beschaffung nicht im Rahmen von Vergabeverfahren unter Beteiligung mehrerer Bieter, sondern im Wege einer Direktbeauftragung eines Unternehmens erfolgt. Dieser Weg musste insbesondere zu Beginn der </w:t>
      </w:r>
      <w:r w:rsidR="00B832D1">
        <w:t>Coronapandemie</w:t>
      </w:r>
      <w:r>
        <w:t xml:space="preserve"> im Frühjahr 2020 für die Beschaffung von persönlicher Schutzausrüstung beschritten werden, weil es infolge von weltweiten Exportbeschränkungen, des Zusammenbruchs von Lieferketten sowie eines dramatischen Anstiegs der weltweiten Nachfrage zu einem Marktversagen gekommen war. Die Erforderlichkeit und vergaberechtliche Möglichkeit solcher unbürokratischen und schnellen Beschaffungsprozesse wurden beispielsweise in einem Rundschreiben des Bundesministeriums für Wirtschaft und Energie vom 19.03.2020 (Az.: 20601/000#003) insbesondere für Schutzartikel wie Masken und Schutzkittel ausdrücklich betont. Die Verwaltung war in dieser kurzfristig und unvorhersehbar eingetretenen, historischen Ausnahmesituation gezwungen, unter enormem Zeitdruck und immensem personellen Engagement sämtlichen Beschaffungsangeboten nachzugehen, um insbesondere die Beschäftigten im klinischen und pflegerischen Bereich so gut als eben möglich mit Schutzausrüstung auszustatten. Offerten, die hinsichtlich Lieferzeit und Qualitätsstandards positiv prognostiziert wurden, mussten möglichst rasch beauftragt werden, zumal Angebote häufig nachfragebedingt extrem kurz befristet bzw. freibleibend ausgestaltet waren. Unter diesen außergewöhnlichen Rahmenbedingungen war die Durchführung von Vergabeverfahren auf üblichen Wegen, also durch Einholung mehrerer Angebote in wettbewerblichen Verfahren und mit auftraggeberseitig vorgegebenen Vertragsbedingungen, nicht möglich.</w:t>
      </w:r>
    </w:p>
    <w:p w:rsidR="007E0861" w:rsidRDefault="007E0861">
      <w:bookmarkStart w:id="105" w:name="Frage_Nr_52_Ende"/>
      <w:bookmarkEnd w:id="105"/>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9387B" w:rsidTr="00F9387B">
        <w:tc>
          <w:tcPr>
            <w:tcW w:w="1883" w:type="dxa"/>
          </w:tcPr>
          <w:p w:rsidR="00F9387B" w:rsidRDefault="00F9387B" w:rsidP="00297346">
            <w:pPr>
              <w:pStyle w:val="LTAnfrageInitiator"/>
            </w:pPr>
            <w:r>
              <w:lastRenderedPageBreak/>
              <w:t>Abgeordnete</w:t>
            </w:r>
            <w:bookmarkStart w:id="106" w:name="_GoBack"/>
            <w:bookmarkEnd w:id="106"/>
            <w:r>
              <w:rPr>
                <w:b/>
              </w:rPr>
              <w:br/>
              <w:t>Tessa</w:t>
            </w:r>
            <w:r>
              <w:rPr>
                <w:b/>
              </w:rPr>
              <w:br/>
              <w:t>Ganserer</w:t>
            </w:r>
            <w:r>
              <w:rPr>
                <w:b/>
              </w:rPr>
              <w:br/>
            </w:r>
            <w:r>
              <w:t>(BÜNDNIS 90/DIE GRÜNEN)</w:t>
            </w:r>
            <w:bookmarkStart w:id="107" w:name="Frage_Nr_53"/>
            <w:bookmarkEnd w:id="107"/>
          </w:p>
        </w:tc>
        <w:tc>
          <w:tcPr>
            <w:tcW w:w="5733" w:type="dxa"/>
          </w:tcPr>
          <w:p w:rsidR="00F9387B" w:rsidRPr="00B72724" w:rsidRDefault="00F9387B" w:rsidP="00B72724">
            <w:pPr>
              <w:pStyle w:val="LTAnfrageText"/>
            </w:pPr>
            <w:r w:rsidRPr="00B72724">
              <w:t>Ich frage die Staatsregierung, wie viele Anträge auf Verdienstausfallentschädigungen nach § 56 Abs. 1 und Abs. 1 a Infektionsschutzgesetz (IfSG) wurden mit Stichtag 12.03.2021 gestellt (bitte nach Regierungsbezirken aufschlüsseln)?</w:t>
            </w:r>
          </w:p>
        </w:tc>
        <w:tc>
          <w:tcPr>
            <w:tcW w:w="5733" w:type="dxa"/>
          </w:tcPr>
          <w:p w:rsidR="00F9387B" w:rsidRDefault="00F9387B" w:rsidP="00F9387B">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Die Anzahl der bislang gestellten Anträge auf Verdienstausfallsentschädigung nach § 56 Abs. 1 und Abs. 1a IfSG ergibt sich aus der folgenden Übersicht (Stand: 12.03.2021):</w:t>
      </w:r>
    </w:p>
    <w:tbl>
      <w:tblPr>
        <w:tblStyle w:val="TableNormal"/>
        <w:tblpPr w:leftFromText="141" w:rightFromText="141" w:vertAnchor="text" w:horzAnchor="margin" w:tblpX="279" w:tblpY="3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8"/>
        <w:gridCol w:w="2660"/>
        <w:gridCol w:w="2696"/>
      </w:tblGrid>
      <w:tr w:rsidR="006B3465" w:rsidRPr="006B3465" w:rsidTr="00B01EB4">
        <w:trPr>
          <w:trHeight w:val="760"/>
        </w:trPr>
        <w:tc>
          <w:tcPr>
            <w:tcW w:w="1918" w:type="dxa"/>
            <w:vAlign w:val="center"/>
          </w:tcPr>
          <w:p w:rsidR="006B3465" w:rsidRPr="006B3465" w:rsidRDefault="006B3465" w:rsidP="00B01EB4">
            <w:pPr>
              <w:pStyle w:val="TableParagraph"/>
              <w:ind w:left="107"/>
              <w:jc w:val="left"/>
              <w:rPr>
                <w:rFonts w:ascii="Arial" w:hAnsi="Arial" w:cs="Arial"/>
                <w:b/>
                <w:sz w:val="16"/>
                <w:szCs w:val="16"/>
              </w:rPr>
            </w:pPr>
            <w:r w:rsidRPr="006B3465">
              <w:rPr>
                <w:rFonts w:ascii="Arial" w:hAnsi="Arial" w:cs="Arial"/>
                <w:b/>
                <w:sz w:val="16"/>
                <w:szCs w:val="16"/>
              </w:rPr>
              <w:t>Regierungsbezirk</w:t>
            </w:r>
          </w:p>
        </w:tc>
        <w:tc>
          <w:tcPr>
            <w:tcW w:w="2660" w:type="dxa"/>
            <w:vAlign w:val="center"/>
          </w:tcPr>
          <w:p w:rsidR="006B3465" w:rsidRPr="006B3465" w:rsidRDefault="006B3465" w:rsidP="00B01EB4">
            <w:pPr>
              <w:pStyle w:val="TableParagraph"/>
              <w:ind w:left="105" w:hanging="105"/>
              <w:jc w:val="left"/>
              <w:rPr>
                <w:rFonts w:ascii="Arial" w:hAnsi="Arial" w:cs="Arial"/>
                <w:b/>
                <w:sz w:val="16"/>
                <w:szCs w:val="16"/>
              </w:rPr>
            </w:pPr>
            <w:r w:rsidRPr="006B3465">
              <w:rPr>
                <w:rFonts w:ascii="Arial" w:hAnsi="Arial" w:cs="Arial"/>
                <w:b/>
                <w:sz w:val="16"/>
                <w:szCs w:val="16"/>
              </w:rPr>
              <w:t>Eingegangene Anträge</w:t>
            </w:r>
          </w:p>
          <w:p w:rsidR="006B3465" w:rsidRPr="006B3465" w:rsidRDefault="006B3465" w:rsidP="00B01EB4">
            <w:pPr>
              <w:pStyle w:val="TableParagraph"/>
              <w:spacing w:before="126"/>
              <w:jc w:val="left"/>
              <w:rPr>
                <w:rFonts w:ascii="Arial" w:hAnsi="Arial" w:cs="Arial"/>
                <w:b/>
                <w:sz w:val="16"/>
                <w:szCs w:val="16"/>
              </w:rPr>
            </w:pPr>
            <w:r w:rsidRPr="006B3465">
              <w:rPr>
                <w:rFonts w:ascii="Arial" w:hAnsi="Arial" w:cs="Arial"/>
                <w:b/>
                <w:sz w:val="16"/>
                <w:szCs w:val="16"/>
              </w:rPr>
              <w:t>§ 56 Abs. 1 IfSG</w:t>
            </w:r>
          </w:p>
        </w:tc>
        <w:tc>
          <w:tcPr>
            <w:tcW w:w="2696" w:type="dxa"/>
            <w:vAlign w:val="center"/>
          </w:tcPr>
          <w:p w:rsidR="006B3465" w:rsidRPr="006B3465" w:rsidRDefault="006B3465" w:rsidP="00B01EB4">
            <w:pPr>
              <w:pStyle w:val="TableParagraph"/>
              <w:ind w:left="-47" w:firstLine="47"/>
              <w:jc w:val="left"/>
              <w:rPr>
                <w:rFonts w:ascii="Arial" w:hAnsi="Arial" w:cs="Arial"/>
                <w:b/>
                <w:sz w:val="16"/>
                <w:szCs w:val="16"/>
              </w:rPr>
            </w:pPr>
            <w:r w:rsidRPr="006B3465">
              <w:rPr>
                <w:rFonts w:ascii="Arial" w:hAnsi="Arial" w:cs="Arial"/>
                <w:b/>
                <w:sz w:val="16"/>
                <w:szCs w:val="16"/>
              </w:rPr>
              <w:t>Eingegangene Anträge</w:t>
            </w:r>
          </w:p>
          <w:p w:rsidR="006B3465" w:rsidRPr="006B3465" w:rsidRDefault="006B3465" w:rsidP="00B01EB4">
            <w:pPr>
              <w:pStyle w:val="TableParagraph"/>
              <w:spacing w:before="126"/>
              <w:ind w:left="-188" w:firstLine="188"/>
              <w:jc w:val="left"/>
              <w:rPr>
                <w:rFonts w:ascii="Arial" w:hAnsi="Arial" w:cs="Arial"/>
                <w:b/>
                <w:sz w:val="16"/>
                <w:szCs w:val="16"/>
              </w:rPr>
            </w:pPr>
            <w:r w:rsidRPr="006B3465">
              <w:rPr>
                <w:rFonts w:ascii="Arial" w:hAnsi="Arial" w:cs="Arial"/>
                <w:b/>
                <w:sz w:val="16"/>
                <w:szCs w:val="16"/>
              </w:rPr>
              <w:t>§ 56 Abs. 1a IfSG</w:t>
            </w:r>
          </w:p>
        </w:tc>
      </w:tr>
      <w:tr w:rsidR="006B3465" w:rsidRPr="006B3465" w:rsidTr="00B01EB4">
        <w:trPr>
          <w:trHeight w:val="424"/>
        </w:trPr>
        <w:tc>
          <w:tcPr>
            <w:tcW w:w="1918" w:type="dxa"/>
            <w:vAlign w:val="center"/>
          </w:tcPr>
          <w:p w:rsidR="006B3465" w:rsidRPr="006B3465" w:rsidRDefault="006B3465" w:rsidP="00B01EB4">
            <w:pPr>
              <w:pStyle w:val="TableParagraph"/>
              <w:ind w:left="107"/>
              <w:jc w:val="left"/>
              <w:rPr>
                <w:rFonts w:ascii="Arial" w:hAnsi="Arial" w:cs="Arial"/>
                <w:sz w:val="16"/>
                <w:szCs w:val="16"/>
              </w:rPr>
            </w:pPr>
            <w:r w:rsidRPr="006B3465">
              <w:rPr>
                <w:rFonts w:ascii="Arial" w:hAnsi="Arial" w:cs="Arial"/>
                <w:sz w:val="16"/>
                <w:szCs w:val="16"/>
              </w:rPr>
              <w:t>Oberbayern</w:t>
            </w:r>
          </w:p>
        </w:tc>
        <w:tc>
          <w:tcPr>
            <w:tcW w:w="2660" w:type="dxa"/>
            <w:vAlign w:val="center"/>
          </w:tcPr>
          <w:p w:rsidR="006B3465" w:rsidRPr="006B3465" w:rsidRDefault="006B3465" w:rsidP="00B01EB4">
            <w:pPr>
              <w:pStyle w:val="TableParagraph"/>
              <w:spacing w:before="79"/>
              <w:jc w:val="left"/>
              <w:rPr>
                <w:rFonts w:ascii="Arial" w:hAnsi="Arial" w:cs="Arial"/>
                <w:sz w:val="16"/>
                <w:szCs w:val="16"/>
              </w:rPr>
            </w:pPr>
            <w:r w:rsidRPr="006B3465">
              <w:rPr>
                <w:rFonts w:ascii="Arial" w:hAnsi="Arial" w:cs="Arial"/>
                <w:sz w:val="16"/>
                <w:szCs w:val="16"/>
              </w:rPr>
              <w:t>ca</w:t>
            </w:r>
            <w:r w:rsidR="00B01EB4">
              <w:rPr>
                <w:rFonts w:ascii="Arial" w:hAnsi="Arial" w:cs="Arial"/>
                <w:sz w:val="16"/>
                <w:szCs w:val="16"/>
              </w:rPr>
              <w:t> </w:t>
            </w:r>
            <w:r w:rsidRPr="006B3465">
              <w:rPr>
                <w:rFonts w:ascii="Arial" w:hAnsi="Arial" w:cs="Arial"/>
                <w:sz w:val="16"/>
                <w:szCs w:val="16"/>
              </w:rPr>
              <w:t xml:space="preserve"> 35</w:t>
            </w:r>
            <w:r w:rsidR="00B01EB4">
              <w:rPr>
                <w:rFonts w:ascii="Arial" w:hAnsi="Arial" w:cs="Arial"/>
                <w:sz w:val="16"/>
                <w:szCs w:val="16"/>
              </w:rPr>
              <w:t> </w:t>
            </w:r>
            <w:r w:rsidRPr="006B3465">
              <w:rPr>
                <w:rFonts w:ascii="Arial" w:hAnsi="Arial" w:cs="Arial"/>
                <w:sz w:val="16"/>
                <w:szCs w:val="16"/>
              </w:rPr>
              <w:t>000</w:t>
            </w:r>
            <w:r w:rsidRPr="006B3465">
              <w:rPr>
                <w:rFonts w:ascii="Arial" w:hAnsi="Arial" w:cs="Arial"/>
                <w:spacing w:val="55"/>
                <w:sz w:val="16"/>
                <w:szCs w:val="16"/>
              </w:rPr>
              <w:t xml:space="preserve"> </w:t>
            </w:r>
            <w:r w:rsidRPr="006B3465">
              <w:rPr>
                <w:rFonts w:ascii="Arial" w:hAnsi="Arial" w:cs="Arial"/>
                <w:position w:val="8"/>
                <w:sz w:val="16"/>
                <w:szCs w:val="16"/>
              </w:rPr>
              <w:t>(1)</w:t>
            </w:r>
          </w:p>
        </w:tc>
        <w:tc>
          <w:tcPr>
            <w:tcW w:w="2696" w:type="dxa"/>
            <w:vAlign w:val="center"/>
          </w:tcPr>
          <w:p w:rsidR="006B3465" w:rsidRPr="006B3465" w:rsidRDefault="006B3465" w:rsidP="00B01EB4">
            <w:pPr>
              <w:pStyle w:val="TableParagraph"/>
              <w:jc w:val="left"/>
              <w:rPr>
                <w:rFonts w:ascii="Arial" w:hAnsi="Arial" w:cs="Arial"/>
                <w:sz w:val="16"/>
                <w:szCs w:val="16"/>
              </w:rPr>
            </w:pPr>
            <w:r w:rsidRPr="006B3465">
              <w:rPr>
                <w:rFonts w:ascii="Arial" w:hAnsi="Arial" w:cs="Arial"/>
                <w:sz w:val="16"/>
                <w:szCs w:val="16"/>
              </w:rPr>
              <w:t>2</w:t>
            </w:r>
            <w:r w:rsidR="00B01EB4">
              <w:rPr>
                <w:rFonts w:ascii="Arial" w:hAnsi="Arial" w:cs="Arial"/>
                <w:sz w:val="16"/>
                <w:szCs w:val="16"/>
              </w:rPr>
              <w:t> </w:t>
            </w:r>
            <w:r w:rsidRPr="006B3465">
              <w:rPr>
                <w:rFonts w:ascii="Arial" w:hAnsi="Arial" w:cs="Arial"/>
                <w:sz w:val="16"/>
                <w:szCs w:val="16"/>
              </w:rPr>
              <w:t>876</w:t>
            </w:r>
          </w:p>
        </w:tc>
      </w:tr>
      <w:tr w:rsidR="006B3465" w:rsidRPr="006B3465" w:rsidTr="00B01EB4">
        <w:trPr>
          <w:trHeight w:val="424"/>
        </w:trPr>
        <w:tc>
          <w:tcPr>
            <w:tcW w:w="1918" w:type="dxa"/>
            <w:vAlign w:val="center"/>
          </w:tcPr>
          <w:p w:rsidR="006B3465" w:rsidRPr="006B3465" w:rsidRDefault="006B3465" w:rsidP="00B01EB4">
            <w:pPr>
              <w:pStyle w:val="TableParagraph"/>
              <w:ind w:left="107"/>
              <w:jc w:val="left"/>
              <w:rPr>
                <w:rFonts w:ascii="Arial" w:hAnsi="Arial" w:cs="Arial"/>
                <w:sz w:val="16"/>
                <w:szCs w:val="16"/>
              </w:rPr>
            </w:pPr>
            <w:r w:rsidRPr="006B3465">
              <w:rPr>
                <w:rFonts w:ascii="Arial" w:hAnsi="Arial" w:cs="Arial"/>
                <w:sz w:val="16"/>
                <w:szCs w:val="16"/>
              </w:rPr>
              <w:t>Niederbayern</w:t>
            </w:r>
          </w:p>
        </w:tc>
        <w:tc>
          <w:tcPr>
            <w:tcW w:w="2660" w:type="dxa"/>
            <w:vAlign w:val="center"/>
          </w:tcPr>
          <w:p w:rsidR="006B3465" w:rsidRPr="006B3465" w:rsidRDefault="006B3465" w:rsidP="00B01EB4">
            <w:pPr>
              <w:pStyle w:val="TableParagraph"/>
              <w:jc w:val="left"/>
              <w:rPr>
                <w:rFonts w:ascii="Arial" w:hAnsi="Arial" w:cs="Arial"/>
                <w:sz w:val="16"/>
                <w:szCs w:val="16"/>
              </w:rPr>
            </w:pPr>
            <w:r w:rsidRPr="006B3465">
              <w:rPr>
                <w:rFonts w:ascii="Arial" w:hAnsi="Arial" w:cs="Arial"/>
                <w:sz w:val="16"/>
                <w:szCs w:val="16"/>
              </w:rPr>
              <w:t>22</w:t>
            </w:r>
            <w:r w:rsidR="00B01EB4">
              <w:rPr>
                <w:rFonts w:ascii="Arial" w:hAnsi="Arial" w:cs="Arial"/>
                <w:sz w:val="16"/>
                <w:szCs w:val="16"/>
              </w:rPr>
              <w:t> </w:t>
            </w:r>
            <w:r w:rsidRPr="006B3465">
              <w:rPr>
                <w:rFonts w:ascii="Arial" w:hAnsi="Arial" w:cs="Arial"/>
                <w:sz w:val="16"/>
                <w:szCs w:val="16"/>
              </w:rPr>
              <w:t>468</w:t>
            </w:r>
          </w:p>
        </w:tc>
        <w:tc>
          <w:tcPr>
            <w:tcW w:w="2696" w:type="dxa"/>
            <w:vAlign w:val="center"/>
          </w:tcPr>
          <w:p w:rsidR="006B3465" w:rsidRPr="006B3465" w:rsidRDefault="006B3465" w:rsidP="00B01EB4">
            <w:pPr>
              <w:pStyle w:val="TableParagraph"/>
              <w:jc w:val="left"/>
              <w:rPr>
                <w:rFonts w:ascii="Arial" w:hAnsi="Arial" w:cs="Arial"/>
                <w:sz w:val="16"/>
                <w:szCs w:val="16"/>
              </w:rPr>
            </w:pPr>
            <w:r w:rsidRPr="006B3465">
              <w:rPr>
                <w:rFonts w:ascii="Arial" w:hAnsi="Arial" w:cs="Arial"/>
                <w:sz w:val="16"/>
                <w:szCs w:val="16"/>
              </w:rPr>
              <w:t>857</w:t>
            </w:r>
          </w:p>
        </w:tc>
      </w:tr>
      <w:tr w:rsidR="006B3465" w:rsidRPr="006B3465" w:rsidTr="00B01EB4">
        <w:trPr>
          <w:trHeight w:val="424"/>
        </w:trPr>
        <w:tc>
          <w:tcPr>
            <w:tcW w:w="1918" w:type="dxa"/>
            <w:vAlign w:val="center"/>
          </w:tcPr>
          <w:p w:rsidR="006B3465" w:rsidRPr="006B3465" w:rsidRDefault="006B3465" w:rsidP="00B01EB4">
            <w:pPr>
              <w:pStyle w:val="TableParagraph"/>
              <w:ind w:left="107"/>
              <w:jc w:val="left"/>
              <w:rPr>
                <w:rFonts w:ascii="Arial" w:hAnsi="Arial" w:cs="Arial"/>
                <w:sz w:val="16"/>
                <w:szCs w:val="16"/>
              </w:rPr>
            </w:pPr>
            <w:r w:rsidRPr="006B3465">
              <w:rPr>
                <w:rFonts w:ascii="Arial" w:hAnsi="Arial" w:cs="Arial"/>
                <w:sz w:val="16"/>
                <w:szCs w:val="16"/>
              </w:rPr>
              <w:t>Schwaben</w:t>
            </w:r>
          </w:p>
        </w:tc>
        <w:tc>
          <w:tcPr>
            <w:tcW w:w="2660" w:type="dxa"/>
            <w:vAlign w:val="center"/>
          </w:tcPr>
          <w:p w:rsidR="006B3465" w:rsidRPr="006B3465" w:rsidRDefault="006B3465" w:rsidP="00B01EB4">
            <w:pPr>
              <w:pStyle w:val="TableParagraph"/>
              <w:ind w:left="907" w:hanging="890"/>
              <w:jc w:val="left"/>
              <w:rPr>
                <w:rFonts w:ascii="Arial" w:hAnsi="Arial" w:cs="Arial"/>
                <w:sz w:val="16"/>
                <w:szCs w:val="16"/>
              </w:rPr>
            </w:pPr>
            <w:r w:rsidRPr="006B3465">
              <w:rPr>
                <w:rFonts w:ascii="Arial" w:hAnsi="Arial" w:cs="Arial"/>
                <w:sz w:val="16"/>
                <w:szCs w:val="16"/>
              </w:rPr>
              <w:t>19</w:t>
            </w:r>
            <w:r w:rsidR="00B01EB4">
              <w:rPr>
                <w:rFonts w:ascii="Arial" w:hAnsi="Arial" w:cs="Arial"/>
                <w:sz w:val="16"/>
                <w:szCs w:val="16"/>
              </w:rPr>
              <w:t> </w:t>
            </w:r>
            <w:r w:rsidRPr="006B3465">
              <w:rPr>
                <w:rFonts w:ascii="Arial" w:hAnsi="Arial" w:cs="Arial"/>
                <w:sz w:val="16"/>
                <w:szCs w:val="16"/>
              </w:rPr>
              <w:t>834</w:t>
            </w:r>
          </w:p>
        </w:tc>
        <w:tc>
          <w:tcPr>
            <w:tcW w:w="2696" w:type="dxa"/>
            <w:vAlign w:val="center"/>
          </w:tcPr>
          <w:p w:rsidR="006B3465" w:rsidRPr="006B3465" w:rsidRDefault="006B3465" w:rsidP="00B01EB4">
            <w:pPr>
              <w:pStyle w:val="TableParagraph"/>
              <w:jc w:val="left"/>
              <w:rPr>
                <w:rFonts w:ascii="Arial" w:hAnsi="Arial" w:cs="Arial"/>
                <w:sz w:val="16"/>
                <w:szCs w:val="16"/>
              </w:rPr>
            </w:pPr>
            <w:r w:rsidRPr="006B3465">
              <w:rPr>
                <w:rFonts w:ascii="Arial" w:hAnsi="Arial" w:cs="Arial"/>
                <w:sz w:val="16"/>
                <w:szCs w:val="16"/>
              </w:rPr>
              <w:t>1</w:t>
            </w:r>
            <w:r w:rsidR="00B01EB4">
              <w:rPr>
                <w:rFonts w:ascii="Arial" w:hAnsi="Arial" w:cs="Arial"/>
                <w:sz w:val="16"/>
                <w:szCs w:val="16"/>
              </w:rPr>
              <w:t> </w:t>
            </w:r>
            <w:r w:rsidRPr="006B3465">
              <w:rPr>
                <w:rFonts w:ascii="Arial" w:hAnsi="Arial" w:cs="Arial"/>
                <w:sz w:val="16"/>
                <w:szCs w:val="16"/>
              </w:rPr>
              <w:t>186</w:t>
            </w:r>
          </w:p>
        </w:tc>
      </w:tr>
      <w:tr w:rsidR="006B3465" w:rsidRPr="006B3465" w:rsidTr="00B01EB4">
        <w:trPr>
          <w:trHeight w:val="426"/>
        </w:trPr>
        <w:tc>
          <w:tcPr>
            <w:tcW w:w="1918" w:type="dxa"/>
            <w:vAlign w:val="center"/>
          </w:tcPr>
          <w:p w:rsidR="006B3465" w:rsidRPr="006B3465" w:rsidRDefault="006B3465" w:rsidP="00B01EB4">
            <w:pPr>
              <w:pStyle w:val="TableParagraph"/>
              <w:ind w:left="107"/>
              <w:jc w:val="left"/>
              <w:rPr>
                <w:rFonts w:ascii="Arial" w:hAnsi="Arial" w:cs="Arial"/>
                <w:sz w:val="16"/>
                <w:szCs w:val="16"/>
              </w:rPr>
            </w:pPr>
            <w:r w:rsidRPr="006B3465">
              <w:rPr>
                <w:rFonts w:ascii="Arial" w:hAnsi="Arial" w:cs="Arial"/>
                <w:sz w:val="16"/>
                <w:szCs w:val="16"/>
              </w:rPr>
              <w:t>Oberpfalz</w:t>
            </w:r>
          </w:p>
        </w:tc>
        <w:tc>
          <w:tcPr>
            <w:tcW w:w="2660" w:type="dxa"/>
            <w:vAlign w:val="center"/>
          </w:tcPr>
          <w:p w:rsidR="006B3465" w:rsidRPr="006B3465" w:rsidRDefault="006B3465" w:rsidP="00B01EB4">
            <w:pPr>
              <w:pStyle w:val="TableParagraph"/>
              <w:spacing w:before="79"/>
              <w:jc w:val="left"/>
              <w:rPr>
                <w:rFonts w:ascii="Arial" w:hAnsi="Arial" w:cs="Arial"/>
                <w:sz w:val="16"/>
                <w:szCs w:val="16"/>
              </w:rPr>
            </w:pPr>
            <w:r w:rsidRPr="006B3465">
              <w:rPr>
                <w:rFonts w:ascii="Arial" w:hAnsi="Arial" w:cs="Arial"/>
                <w:sz w:val="16"/>
                <w:szCs w:val="16"/>
              </w:rPr>
              <w:t>13</w:t>
            </w:r>
            <w:r w:rsidR="00B01EB4">
              <w:rPr>
                <w:rFonts w:ascii="Arial" w:hAnsi="Arial" w:cs="Arial"/>
                <w:sz w:val="16"/>
                <w:szCs w:val="16"/>
              </w:rPr>
              <w:t> </w:t>
            </w:r>
            <w:r w:rsidRPr="006B3465">
              <w:rPr>
                <w:rFonts w:ascii="Arial" w:hAnsi="Arial" w:cs="Arial"/>
                <w:sz w:val="16"/>
                <w:szCs w:val="16"/>
              </w:rPr>
              <w:t>845</w:t>
            </w:r>
            <w:r w:rsidRPr="006B3465">
              <w:rPr>
                <w:rFonts w:ascii="Arial" w:hAnsi="Arial" w:cs="Arial"/>
                <w:spacing w:val="56"/>
                <w:sz w:val="16"/>
                <w:szCs w:val="16"/>
              </w:rPr>
              <w:t xml:space="preserve"> </w:t>
            </w:r>
            <w:r w:rsidRPr="006B3465">
              <w:rPr>
                <w:rFonts w:ascii="Arial" w:hAnsi="Arial" w:cs="Arial"/>
                <w:position w:val="8"/>
                <w:sz w:val="16"/>
                <w:szCs w:val="16"/>
              </w:rPr>
              <w:t>(2)</w:t>
            </w:r>
          </w:p>
        </w:tc>
        <w:tc>
          <w:tcPr>
            <w:tcW w:w="2696" w:type="dxa"/>
            <w:vAlign w:val="center"/>
          </w:tcPr>
          <w:p w:rsidR="006B3465" w:rsidRPr="006B3465" w:rsidRDefault="006B3465" w:rsidP="00B01EB4">
            <w:pPr>
              <w:pStyle w:val="TableParagraph"/>
              <w:jc w:val="left"/>
              <w:rPr>
                <w:rFonts w:ascii="Arial" w:hAnsi="Arial" w:cs="Arial"/>
                <w:sz w:val="16"/>
                <w:szCs w:val="16"/>
              </w:rPr>
            </w:pPr>
            <w:r w:rsidRPr="006B3465">
              <w:rPr>
                <w:rFonts w:ascii="Arial" w:hAnsi="Arial" w:cs="Arial"/>
                <w:sz w:val="16"/>
                <w:szCs w:val="16"/>
              </w:rPr>
              <w:t>694</w:t>
            </w:r>
          </w:p>
        </w:tc>
      </w:tr>
      <w:tr w:rsidR="006B3465" w:rsidRPr="006B3465" w:rsidTr="00B01EB4">
        <w:trPr>
          <w:trHeight w:val="424"/>
        </w:trPr>
        <w:tc>
          <w:tcPr>
            <w:tcW w:w="1918" w:type="dxa"/>
            <w:vAlign w:val="center"/>
          </w:tcPr>
          <w:p w:rsidR="006B3465" w:rsidRPr="006B3465" w:rsidRDefault="006B3465" w:rsidP="00B01EB4">
            <w:pPr>
              <w:pStyle w:val="TableParagraph"/>
              <w:ind w:left="107"/>
              <w:jc w:val="left"/>
              <w:rPr>
                <w:rFonts w:ascii="Arial" w:hAnsi="Arial" w:cs="Arial"/>
                <w:sz w:val="16"/>
                <w:szCs w:val="16"/>
              </w:rPr>
            </w:pPr>
            <w:r w:rsidRPr="006B3465">
              <w:rPr>
                <w:rFonts w:ascii="Arial" w:hAnsi="Arial" w:cs="Arial"/>
                <w:sz w:val="16"/>
                <w:szCs w:val="16"/>
              </w:rPr>
              <w:t>Mittelfranken</w:t>
            </w:r>
          </w:p>
        </w:tc>
        <w:tc>
          <w:tcPr>
            <w:tcW w:w="2660" w:type="dxa"/>
            <w:vAlign w:val="center"/>
          </w:tcPr>
          <w:p w:rsidR="006B3465" w:rsidRPr="006B3465" w:rsidRDefault="006B3465" w:rsidP="00B01EB4">
            <w:pPr>
              <w:pStyle w:val="TableParagraph"/>
              <w:ind w:left="947" w:hanging="947"/>
              <w:jc w:val="left"/>
              <w:rPr>
                <w:rFonts w:ascii="Arial" w:hAnsi="Arial" w:cs="Arial"/>
                <w:sz w:val="16"/>
                <w:szCs w:val="16"/>
              </w:rPr>
            </w:pPr>
            <w:r w:rsidRPr="006B3465">
              <w:rPr>
                <w:rFonts w:ascii="Arial" w:hAnsi="Arial" w:cs="Arial"/>
                <w:sz w:val="16"/>
                <w:szCs w:val="16"/>
              </w:rPr>
              <w:t>14</w:t>
            </w:r>
            <w:r w:rsidR="00B01EB4">
              <w:rPr>
                <w:rFonts w:ascii="Arial" w:hAnsi="Arial" w:cs="Arial"/>
                <w:sz w:val="16"/>
                <w:szCs w:val="16"/>
              </w:rPr>
              <w:t> </w:t>
            </w:r>
            <w:r w:rsidRPr="006B3465">
              <w:rPr>
                <w:rFonts w:ascii="Arial" w:hAnsi="Arial" w:cs="Arial"/>
                <w:sz w:val="16"/>
                <w:szCs w:val="16"/>
              </w:rPr>
              <w:t>471</w:t>
            </w:r>
          </w:p>
        </w:tc>
        <w:tc>
          <w:tcPr>
            <w:tcW w:w="2696" w:type="dxa"/>
            <w:vAlign w:val="center"/>
          </w:tcPr>
          <w:p w:rsidR="006B3465" w:rsidRPr="006B3465" w:rsidRDefault="006B3465" w:rsidP="00B01EB4">
            <w:pPr>
              <w:pStyle w:val="TableParagraph"/>
              <w:jc w:val="left"/>
              <w:rPr>
                <w:rFonts w:ascii="Arial" w:hAnsi="Arial" w:cs="Arial"/>
                <w:sz w:val="16"/>
                <w:szCs w:val="16"/>
              </w:rPr>
            </w:pPr>
            <w:r w:rsidRPr="006B3465">
              <w:rPr>
                <w:rFonts w:ascii="Arial" w:hAnsi="Arial" w:cs="Arial"/>
                <w:sz w:val="16"/>
                <w:szCs w:val="16"/>
              </w:rPr>
              <w:t>1</w:t>
            </w:r>
            <w:r w:rsidR="00B01EB4">
              <w:rPr>
                <w:rFonts w:ascii="Arial" w:hAnsi="Arial" w:cs="Arial"/>
                <w:sz w:val="16"/>
                <w:szCs w:val="16"/>
              </w:rPr>
              <w:t> </w:t>
            </w:r>
            <w:r w:rsidRPr="006B3465">
              <w:rPr>
                <w:rFonts w:ascii="Arial" w:hAnsi="Arial" w:cs="Arial"/>
                <w:sz w:val="16"/>
                <w:szCs w:val="16"/>
              </w:rPr>
              <w:t>348</w:t>
            </w:r>
          </w:p>
        </w:tc>
      </w:tr>
      <w:tr w:rsidR="006B3465" w:rsidRPr="006B3465" w:rsidTr="00B01EB4">
        <w:trPr>
          <w:trHeight w:val="424"/>
        </w:trPr>
        <w:tc>
          <w:tcPr>
            <w:tcW w:w="1918" w:type="dxa"/>
            <w:vAlign w:val="center"/>
          </w:tcPr>
          <w:p w:rsidR="006B3465" w:rsidRPr="006B3465" w:rsidRDefault="006B3465" w:rsidP="00B01EB4">
            <w:pPr>
              <w:pStyle w:val="TableParagraph"/>
              <w:ind w:left="107"/>
              <w:jc w:val="left"/>
              <w:rPr>
                <w:rFonts w:ascii="Arial" w:hAnsi="Arial" w:cs="Arial"/>
                <w:sz w:val="16"/>
                <w:szCs w:val="16"/>
              </w:rPr>
            </w:pPr>
            <w:r w:rsidRPr="006B3465">
              <w:rPr>
                <w:rFonts w:ascii="Arial" w:hAnsi="Arial" w:cs="Arial"/>
                <w:sz w:val="16"/>
                <w:szCs w:val="16"/>
              </w:rPr>
              <w:t>Oberfranken</w:t>
            </w:r>
          </w:p>
        </w:tc>
        <w:tc>
          <w:tcPr>
            <w:tcW w:w="2660" w:type="dxa"/>
            <w:vAlign w:val="center"/>
          </w:tcPr>
          <w:p w:rsidR="006B3465" w:rsidRPr="006B3465" w:rsidRDefault="006B3465" w:rsidP="00B01EB4">
            <w:pPr>
              <w:pStyle w:val="TableParagraph"/>
              <w:ind w:left="947" w:hanging="947"/>
              <w:jc w:val="left"/>
              <w:rPr>
                <w:rFonts w:ascii="Arial" w:hAnsi="Arial" w:cs="Arial"/>
                <w:sz w:val="16"/>
                <w:szCs w:val="16"/>
              </w:rPr>
            </w:pPr>
            <w:r w:rsidRPr="006B3465">
              <w:rPr>
                <w:rFonts w:ascii="Arial" w:hAnsi="Arial" w:cs="Arial"/>
                <w:sz w:val="16"/>
                <w:szCs w:val="16"/>
              </w:rPr>
              <w:t>13</w:t>
            </w:r>
            <w:r w:rsidR="00B01EB4">
              <w:rPr>
                <w:rFonts w:ascii="Arial" w:hAnsi="Arial" w:cs="Arial"/>
                <w:sz w:val="16"/>
                <w:szCs w:val="16"/>
              </w:rPr>
              <w:t> </w:t>
            </w:r>
            <w:r w:rsidRPr="006B3465">
              <w:rPr>
                <w:rFonts w:ascii="Arial" w:hAnsi="Arial" w:cs="Arial"/>
                <w:sz w:val="16"/>
                <w:szCs w:val="16"/>
              </w:rPr>
              <w:t>905</w:t>
            </w:r>
          </w:p>
        </w:tc>
        <w:tc>
          <w:tcPr>
            <w:tcW w:w="2696" w:type="dxa"/>
            <w:vAlign w:val="center"/>
          </w:tcPr>
          <w:p w:rsidR="006B3465" w:rsidRPr="006B3465" w:rsidRDefault="006B3465" w:rsidP="00B01EB4">
            <w:pPr>
              <w:pStyle w:val="TableParagraph"/>
              <w:jc w:val="left"/>
              <w:rPr>
                <w:rFonts w:ascii="Arial" w:hAnsi="Arial" w:cs="Arial"/>
                <w:sz w:val="16"/>
                <w:szCs w:val="16"/>
              </w:rPr>
            </w:pPr>
            <w:r w:rsidRPr="006B3465">
              <w:rPr>
                <w:rFonts w:ascii="Arial" w:hAnsi="Arial" w:cs="Arial"/>
                <w:sz w:val="16"/>
                <w:szCs w:val="16"/>
              </w:rPr>
              <w:t>1</w:t>
            </w:r>
            <w:r w:rsidR="00B01EB4">
              <w:rPr>
                <w:rFonts w:ascii="Arial" w:hAnsi="Arial" w:cs="Arial"/>
                <w:sz w:val="16"/>
                <w:szCs w:val="16"/>
              </w:rPr>
              <w:t> </w:t>
            </w:r>
            <w:r w:rsidRPr="006B3465">
              <w:rPr>
                <w:rFonts w:ascii="Arial" w:hAnsi="Arial" w:cs="Arial"/>
                <w:sz w:val="16"/>
                <w:szCs w:val="16"/>
              </w:rPr>
              <w:t>142</w:t>
            </w:r>
          </w:p>
        </w:tc>
      </w:tr>
      <w:tr w:rsidR="006B3465" w:rsidRPr="006B3465" w:rsidTr="00B01EB4">
        <w:trPr>
          <w:trHeight w:val="424"/>
        </w:trPr>
        <w:tc>
          <w:tcPr>
            <w:tcW w:w="1918" w:type="dxa"/>
            <w:vAlign w:val="center"/>
          </w:tcPr>
          <w:p w:rsidR="006B3465" w:rsidRPr="006B3465" w:rsidRDefault="006B3465" w:rsidP="00B01EB4">
            <w:pPr>
              <w:pStyle w:val="TableParagraph"/>
              <w:ind w:left="107"/>
              <w:jc w:val="left"/>
              <w:rPr>
                <w:rFonts w:ascii="Arial" w:hAnsi="Arial" w:cs="Arial"/>
                <w:sz w:val="16"/>
                <w:szCs w:val="16"/>
              </w:rPr>
            </w:pPr>
            <w:r w:rsidRPr="006B3465">
              <w:rPr>
                <w:rFonts w:ascii="Arial" w:hAnsi="Arial" w:cs="Arial"/>
                <w:sz w:val="16"/>
                <w:szCs w:val="16"/>
              </w:rPr>
              <w:t>Unterfranken</w:t>
            </w:r>
          </w:p>
        </w:tc>
        <w:tc>
          <w:tcPr>
            <w:tcW w:w="2660" w:type="dxa"/>
            <w:vAlign w:val="center"/>
          </w:tcPr>
          <w:p w:rsidR="006B3465" w:rsidRPr="006B3465" w:rsidRDefault="006B3465" w:rsidP="00B01EB4">
            <w:pPr>
              <w:pStyle w:val="TableParagraph"/>
              <w:spacing w:before="79"/>
              <w:jc w:val="left"/>
              <w:rPr>
                <w:rFonts w:ascii="Arial" w:hAnsi="Arial" w:cs="Arial"/>
                <w:sz w:val="16"/>
                <w:szCs w:val="16"/>
              </w:rPr>
            </w:pPr>
            <w:r w:rsidRPr="006B3465">
              <w:rPr>
                <w:rFonts w:ascii="Arial" w:hAnsi="Arial" w:cs="Arial"/>
                <w:sz w:val="16"/>
                <w:szCs w:val="16"/>
              </w:rPr>
              <w:t>15</w:t>
            </w:r>
            <w:r w:rsidR="00B01EB4">
              <w:rPr>
                <w:rFonts w:ascii="Arial" w:hAnsi="Arial" w:cs="Arial"/>
                <w:sz w:val="16"/>
                <w:szCs w:val="16"/>
              </w:rPr>
              <w:t> </w:t>
            </w:r>
            <w:r w:rsidRPr="006B3465">
              <w:rPr>
                <w:rFonts w:ascii="Arial" w:hAnsi="Arial" w:cs="Arial"/>
                <w:sz w:val="16"/>
                <w:szCs w:val="16"/>
              </w:rPr>
              <w:t xml:space="preserve">641 </w:t>
            </w:r>
            <w:r w:rsidRPr="006B3465">
              <w:rPr>
                <w:rFonts w:ascii="Arial" w:hAnsi="Arial" w:cs="Arial"/>
                <w:position w:val="8"/>
                <w:sz w:val="16"/>
                <w:szCs w:val="16"/>
              </w:rPr>
              <w:t>(3)</w:t>
            </w:r>
          </w:p>
        </w:tc>
        <w:tc>
          <w:tcPr>
            <w:tcW w:w="2696" w:type="dxa"/>
            <w:vAlign w:val="center"/>
          </w:tcPr>
          <w:p w:rsidR="006B3465" w:rsidRPr="006B3465" w:rsidRDefault="006B3465" w:rsidP="00B01EB4">
            <w:pPr>
              <w:pStyle w:val="TableParagraph"/>
              <w:jc w:val="left"/>
              <w:rPr>
                <w:rFonts w:ascii="Arial" w:hAnsi="Arial" w:cs="Arial"/>
                <w:sz w:val="16"/>
                <w:szCs w:val="16"/>
              </w:rPr>
            </w:pPr>
            <w:r w:rsidRPr="006B3465">
              <w:rPr>
                <w:rFonts w:ascii="Arial" w:hAnsi="Arial" w:cs="Arial"/>
                <w:sz w:val="16"/>
                <w:szCs w:val="16"/>
              </w:rPr>
              <w:t>963</w:t>
            </w:r>
          </w:p>
        </w:tc>
      </w:tr>
      <w:tr w:rsidR="006B3465" w:rsidRPr="006B3465" w:rsidTr="00B01EB4">
        <w:trPr>
          <w:trHeight w:val="426"/>
        </w:trPr>
        <w:tc>
          <w:tcPr>
            <w:tcW w:w="1918" w:type="dxa"/>
            <w:vAlign w:val="center"/>
          </w:tcPr>
          <w:p w:rsidR="006B3465" w:rsidRPr="006B3465" w:rsidRDefault="006B3465" w:rsidP="00B01EB4">
            <w:pPr>
              <w:pStyle w:val="TableParagraph"/>
              <w:spacing w:before="81"/>
              <w:ind w:left="107"/>
              <w:jc w:val="left"/>
              <w:rPr>
                <w:rFonts w:ascii="Arial" w:hAnsi="Arial" w:cs="Arial"/>
                <w:b/>
                <w:sz w:val="16"/>
                <w:szCs w:val="16"/>
              </w:rPr>
            </w:pPr>
            <w:r w:rsidRPr="006B3465">
              <w:rPr>
                <w:rFonts w:ascii="Arial" w:hAnsi="Arial" w:cs="Arial"/>
                <w:b/>
                <w:sz w:val="16"/>
                <w:szCs w:val="16"/>
              </w:rPr>
              <w:t>gesamt</w:t>
            </w:r>
          </w:p>
        </w:tc>
        <w:tc>
          <w:tcPr>
            <w:tcW w:w="2660" w:type="dxa"/>
            <w:vAlign w:val="center"/>
          </w:tcPr>
          <w:p w:rsidR="006B3465" w:rsidRPr="006B3465" w:rsidRDefault="006B3465" w:rsidP="00B01EB4">
            <w:pPr>
              <w:pStyle w:val="TableParagraph"/>
              <w:spacing w:before="81"/>
              <w:ind w:left="945" w:hanging="945"/>
              <w:jc w:val="left"/>
              <w:rPr>
                <w:rFonts w:ascii="Arial" w:hAnsi="Arial" w:cs="Arial"/>
                <w:b/>
                <w:sz w:val="16"/>
                <w:szCs w:val="16"/>
              </w:rPr>
            </w:pPr>
            <w:r w:rsidRPr="006B3465">
              <w:rPr>
                <w:rFonts w:ascii="Arial" w:hAnsi="Arial" w:cs="Arial"/>
                <w:b/>
                <w:sz w:val="16"/>
                <w:szCs w:val="16"/>
              </w:rPr>
              <w:t>135</w:t>
            </w:r>
            <w:r w:rsidR="00B01EB4">
              <w:rPr>
                <w:rFonts w:ascii="Arial" w:hAnsi="Arial" w:cs="Arial"/>
                <w:b/>
                <w:sz w:val="16"/>
                <w:szCs w:val="16"/>
              </w:rPr>
              <w:t> </w:t>
            </w:r>
            <w:r w:rsidRPr="006B3465">
              <w:rPr>
                <w:rFonts w:ascii="Arial" w:hAnsi="Arial" w:cs="Arial"/>
                <w:b/>
                <w:sz w:val="16"/>
                <w:szCs w:val="16"/>
              </w:rPr>
              <w:t>164</w:t>
            </w:r>
          </w:p>
        </w:tc>
        <w:tc>
          <w:tcPr>
            <w:tcW w:w="2696" w:type="dxa"/>
            <w:vAlign w:val="center"/>
          </w:tcPr>
          <w:p w:rsidR="006B3465" w:rsidRPr="006B3465" w:rsidRDefault="006B3465" w:rsidP="00B01EB4">
            <w:pPr>
              <w:pStyle w:val="TableParagraph"/>
              <w:spacing w:before="81"/>
              <w:jc w:val="left"/>
              <w:rPr>
                <w:rFonts w:ascii="Arial" w:hAnsi="Arial" w:cs="Arial"/>
                <w:b/>
                <w:sz w:val="16"/>
                <w:szCs w:val="16"/>
              </w:rPr>
            </w:pPr>
            <w:r w:rsidRPr="006B3465">
              <w:rPr>
                <w:rFonts w:ascii="Arial" w:hAnsi="Arial" w:cs="Arial"/>
                <w:b/>
                <w:sz w:val="16"/>
                <w:szCs w:val="16"/>
              </w:rPr>
              <w:t>9</w:t>
            </w:r>
            <w:r w:rsidR="00B01EB4">
              <w:rPr>
                <w:rFonts w:ascii="Arial" w:hAnsi="Arial" w:cs="Arial"/>
                <w:b/>
                <w:sz w:val="16"/>
                <w:szCs w:val="16"/>
              </w:rPr>
              <w:t> </w:t>
            </w:r>
            <w:r w:rsidRPr="006B3465">
              <w:rPr>
                <w:rFonts w:ascii="Arial" w:hAnsi="Arial" w:cs="Arial"/>
                <w:b/>
                <w:sz w:val="16"/>
                <w:szCs w:val="16"/>
              </w:rPr>
              <w:t>066</w:t>
            </w:r>
          </w:p>
        </w:tc>
      </w:tr>
    </w:tbl>
    <w:p w:rsidR="007E0861" w:rsidRPr="006B3465" w:rsidRDefault="007E0861" w:rsidP="007E0861">
      <w:pPr>
        <w:pStyle w:val="LTAntwortRessortText"/>
        <w:rPr>
          <w:u w:val="single"/>
        </w:rPr>
      </w:pPr>
      <w:r w:rsidRPr="006B3465">
        <w:rPr>
          <w:u w:val="single"/>
        </w:rPr>
        <w:t>Anmerkungen:</w:t>
      </w:r>
    </w:p>
    <w:p w:rsidR="007E0861" w:rsidRDefault="007E0861" w:rsidP="006B3465">
      <w:pPr>
        <w:pStyle w:val="LTAntwortRessortText"/>
        <w:spacing w:before="0"/>
      </w:pPr>
      <w:r>
        <w:t>(1) Geschätzt, tägliche korrekte Erfassung aufgrund der Vielzahl an Anträgen nicht leistbar.</w:t>
      </w:r>
    </w:p>
    <w:p w:rsidR="007E0861" w:rsidRDefault="007E0861" w:rsidP="006B3465">
      <w:pPr>
        <w:pStyle w:val="LTAntwortRessortText"/>
        <w:spacing w:before="0"/>
      </w:pPr>
      <w:r>
        <w:t>(2) In der E-Akte wird nicht pro Aktenzeichen ein Antrag erfasst, sondern ein Arbeitnehmer. D.</w:t>
      </w:r>
      <w:r w:rsidR="00B01EB4">
        <w:t> </w:t>
      </w:r>
      <w:r>
        <w:t xml:space="preserve">h., wenn für einen Arbeitnehmer mehrere Anträge eingehen, weil er </w:t>
      </w:r>
      <w:r w:rsidR="00102307">
        <w:t>z. B.</w:t>
      </w:r>
      <w:r>
        <w:t xml:space="preserve"> bereits mehrfach in Quarantäne war oder mehrere Arbeitgeber hat, werden diese alle unter demselben Aktenzeichen erfasst. Eine genaue Angabe, wie viele Anträge eingegangen sind, ist daher nicht möglich. Schätzungsweise liegt die Anzahl der tatsächlich eingegangenen Anträge um 10 </w:t>
      </w:r>
      <w:r w:rsidR="00102307">
        <w:t>Prozent</w:t>
      </w:r>
      <w:r>
        <w:t xml:space="preserve"> höher als die genannte Zahl.</w:t>
      </w:r>
    </w:p>
    <w:p w:rsidR="007E0861" w:rsidRDefault="007E0861" w:rsidP="006B3465">
      <w:pPr>
        <w:pStyle w:val="LTAntwortRessortText"/>
        <w:spacing w:before="0"/>
      </w:pPr>
      <w:r>
        <w:t>(3) Auch bei der Regierung von Unterfranken werden Aktenzeichen nicht für die einzelnen Anträge, sondern für die jeweiligen Arbeitnehmer bzw. Selbständigen vergeben. Wegen Mehrfachanträgen für einzelne Betroffene ist die Zahl der tatsächlich eingegangenen Anträge daher etwas höher, als</w:t>
      </w:r>
      <w:r w:rsidR="00B01EB4">
        <w:t xml:space="preserve"> in der Tabelle angegeben (ca. fünf</w:t>
      </w:r>
      <w:r>
        <w:t xml:space="preserve"> </w:t>
      </w:r>
      <w:r w:rsidR="00102307">
        <w:t>Prozent</w:t>
      </w:r>
      <w:r>
        <w:t>).</w:t>
      </w:r>
    </w:p>
    <w:p w:rsidR="007E0861" w:rsidRDefault="007E0861">
      <w:bookmarkStart w:id="108" w:name="Frage_Nr_53_Ende"/>
      <w:bookmarkEnd w:id="108"/>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F9387B" w:rsidTr="00F9387B">
        <w:tc>
          <w:tcPr>
            <w:tcW w:w="1896" w:type="dxa"/>
          </w:tcPr>
          <w:p w:rsidR="00F9387B" w:rsidRDefault="00F9387B" w:rsidP="00F9387B">
            <w:pPr>
              <w:pStyle w:val="LTAnfrageInitiator"/>
            </w:pPr>
            <w:r>
              <w:lastRenderedPageBreak/>
              <w:t>Abgeordneter</w:t>
            </w:r>
            <w:r>
              <w:rPr>
                <w:b/>
              </w:rPr>
              <w:br/>
              <w:t>Thomas</w:t>
            </w:r>
            <w:r>
              <w:rPr>
                <w:b/>
              </w:rPr>
              <w:br/>
              <w:t>Gehring</w:t>
            </w:r>
            <w:r>
              <w:rPr>
                <w:b/>
              </w:rPr>
              <w:br/>
            </w:r>
            <w:r>
              <w:t>(BÜNDNIS 90/DIE GRÜNEN)</w:t>
            </w:r>
            <w:bookmarkStart w:id="109" w:name="Frage_Nr_54"/>
            <w:bookmarkEnd w:id="109"/>
          </w:p>
        </w:tc>
        <w:tc>
          <w:tcPr>
            <w:tcW w:w="5720" w:type="dxa"/>
          </w:tcPr>
          <w:p w:rsidR="00F9387B" w:rsidRPr="00B72724" w:rsidRDefault="00F9387B" w:rsidP="00B72724">
            <w:pPr>
              <w:pStyle w:val="LTAnfrageText"/>
            </w:pPr>
            <w:r w:rsidRPr="00B72724">
              <w:t>Ich frage die Staatsregierung, nach welchen Kriterien gewichtet das Impf-Programm der Staatsregierung zur Herstellung von Impf-Gerechtigkeit die Terminvergabe hinsichtlich älterer Menschen einerseits und Menschen, die in Pflegeeinrichtungen, Kitas und Schulen arbeiten andererseits, welche spezifischen Zusatzinformationen zu einzelnen Personen sorgen für eine Priorisierung gegenüber anderen, ebenfalls bereits impfberechtigten Menschen und welche Rolle bei der Impf-Priorisierung spielt auch innerhalb der Gruppe von Lehrkräften und Mitarbeiterinnen in Kita- und Pflegeeinrichtungen das Alter? </w:t>
            </w:r>
          </w:p>
        </w:tc>
        <w:tc>
          <w:tcPr>
            <w:tcW w:w="5720" w:type="dxa"/>
          </w:tcPr>
          <w:p w:rsidR="00F9387B" w:rsidRDefault="00F9387B" w:rsidP="00F9387B">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 xml:space="preserve">Maßgeblich für die Durchführung von Schutzimpfungen gegen </w:t>
      </w:r>
      <w:r w:rsidR="00102307">
        <w:t>COVID-19</w:t>
      </w:r>
      <w:r>
        <w:t xml:space="preserve"> sind die Vorgaben der Corona</w:t>
      </w:r>
      <w:r w:rsidR="00B01EB4">
        <w:t>virus-Impfverordnung (CoronaI</w:t>
      </w:r>
      <w:r>
        <w:t>mpfV</w:t>
      </w:r>
      <w:r w:rsidR="00B01EB4">
        <w:t>)</w:t>
      </w:r>
      <w:r>
        <w:t xml:space="preserve"> des Bundesgesundheitsministeriums. Danach steht die Priorität für die Alterskohorte der über 80-Jährigen gegenüber Lehrkräften und Erziehern nicht in Fr</w:t>
      </w:r>
      <w:r w:rsidR="00B01EB4">
        <w:t>age, vgl. § 1 Abs. 2 Satz 1 Nr. 1 i. V. </w:t>
      </w:r>
      <w:r>
        <w:t>m. § 2 Abs. 1 Nr. 1 und § 1 Abs. 2 Satz 2 CoronaImpfV.</w:t>
      </w:r>
    </w:p>
    <w:p w:rsidR="007E0861" w:rsidRDefault="007E0861" w:rsidP="007E0861">
      <w:pPr>
        <w:pStyle w:val="LTAntwortRessortText"/>
      </w:pPr>
      <w:r>
        <w:t>Nachdem aber bereits am 24.02.2021 mit Wirkung ab diesem Tag eine Höherstufung der Personen, die in Kinderbetreuungseinrichtungen, in der Kindertagespflege sowie in Grund- und Fördersonderschulen tätig sin</w:t>
      </w:r>
      <w:r w:rsidR="00B01EB4">
        <w:t>d (nunmehr geregelt in § 3 Abs. 1 Nr. 9 CoronaImpfV n. </w:t>
      </w:r>
      <w:r>
        <w:t xml:space="preserve">F.) erfolgte, also zu einer Zeit, als der Impfstoff von </w:t>
      </w:r>
      <w:r w:rsidR="008C6A18">
        <w:br/>
      </w:r>
      <w:r>
        <w:t>AstraZeneca lediglich für Personen bis 65 Jahren zur Verfügung stand, waren Schutzimpfungen der in Rede stehenden Personengruppen möglich und rechtlich ohne weiteres zuläs</w:t>
      </w:r>
      <w:r w:rsidR="008C6A18">
        <w:t>sig. Diese sind teils umgehend –</w:t>
      </w:r>
      <w:r>
        <w:t xml:space="preserve"> e</w:t>
      </w:r>
      <w:r w:rsidR="008C6A18">
        <w:t>twa durch separate Terminslots –</w:t>
      </w:r>
      <w:r>
        <w:t xml:space="preserve"> terminlich vereinbart und in der 9. Kalenderwoche bereits gestartet. An den vereinbarten Terminen ist schon aus organisatorischen Gründen ungeachtet der in der letzten Woche erfolgten Vorabmitteilung der </w:t>
      </w:r>
      <w:r w:rsidR="00B01EB4">
        <w:t>Ständigen Impfkommission (</w:t>
      </w:r>
      <w:r>
        <w:t>STIKO</w:t>
      </w:r>
      <w:r w:rsidR="00B01EB4">
        <w:t>)</w:t>
      </w:r>
      <w:r>
        <w:t xml:space="preserve"> vom 04.03.2021 und der nun vorliegenden Neufassung der CoronaImpfV festzuhalten. Die CoronaImpfV gibt hierfür ausdrücklich mit § 1</w:t>
      </w:r>
      <w:r w:rsidR="00B01EB4">
        <w:t xml:space="preserve"> Abs. 3 Satz 1 (bisher § 1 Abs. </w:t>
      </w:r>
      <w:r>
        <w:t>2 Satz 3) CoronaImpfV den nötigen Spielraum.</w:t>
      </w:r>
    </w:p>
    <w:p w:rsidR="007E0861" w:rsidRDefault="007E0861" w:rsidP="007E0861">
      <w:pPr>
        <w:pStyle w:val="LTAntwortRessortText"/>
      </w:pPr>
      <w:r>
        <w:t>Innerhalb der Gruppe der Personen, die in Kinderbetreuungseinrichtungen, in der Kindertagespflege sowie in Grund- und Förderschulen tätig sind, spielt das Alter der Personen für diese Priorisierung keine Rolle.</w:t>
      </w:r>
    </w:p>
    <w:p w:rsidR="007E0861" w:rsidRDefault="007E0861">
      <w:bookmarkStart w:id="110" w:name="Frage_Nr_54_Ende"/>
      <w:bookmarkEnd w:id="110"/>
      <w:r>
        <w:br w:type="page"/>
      </w:r>
      <w:bookmarkStart w:id="111" w:name="Frage_Nr_55_Ende"/>
      <w:bookmarkEnd w:id="111"/>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B6514" w:rsidTr="002B6514">
        <w:tc>
          <w:tcPr>
            <w:tcW w:w="1883" w:type="dxa"/>
          </w:tcPr>
          <w:p w:rsidR="002B6514" w:rsidRDefault="002B6514" w:rsidP="002B6514">
            <w:pPr>
              <w:pStyle w:val="LTAnfrageInitiator"/>
            </w:pPr>
            <w:r>
              <w:lastRenderedPageBreak/>
              <w:t>Abgeordneter</w:t>
            </w:r>
            <w:r>
              <w:rPr>
                <w:b/>
              </w:rPr>
              <w:br/>
              <w:t>Ludwig</w:t>
            </w:r>
            <w:r>
              <w:rPr>
                <w:b/>
              </w:rPr>
              <w:br/>
              <w:t>Hartmann</w:t>
            </w:r>
            <w:r>
              <w:rPr>
                <w:b/>
              </w:rPr>
              <w:br/>
            </w:r>
            <w:r>
              <w:t>(BÜNDNIS 90/DIE GRÜNEN)</w:t>
            </w:r>
            <w:bookmarkStart w:id="112" w:name="Frage_Nr_56"/>
            <w:bookmarkEnd w:id="112"/>
          </w:p>
        </w:tc>
        <w:tc>
          <w:tcPr>
            <w:tcW w:w="5733" w:type="dxa"/>
          </w:tcPr>
          <w:p w:rsidR="002B6514" w:rsidRPr="00B72724" w:rsidRDefault="002B6514" w:rsidP="00B72724">
            <w:pPr>
              <w:pStyle w:val="LTAnfrageText"/>
            </w:pPr>
            <w:r w:rsidRPr="00B72724">
              <w:t>Ich frage die Staatsregierung, welche Pandemiebeschaffungsverträge unter Einbeziehung der Tätigkeit des MdBs Georg Nüßlein (CSU) und/oder des MdLs Alfred Sauter (CSU), bzw. mit ihren Unternehmen oder Rechtsanwaltskanzleien, mit welchen bayerischen Staatsministerien oder nachgelagerten Behörden geschlossen wurden und bei welchen Pandemiebeschaffungsverträgen sie für Dritte aufgetreten sind?</w:t>
            </w:r>
          </w:p>
        </w:tc>
        <w:tc>
          <w:tcPr>
            <w:tcW w:w="5733" w:type="dxa"/>
          </w:tcPr>
          <w:p w:rsidR="002B6514" w:rsidRDefault="002B6514" w:rsidP="002B6514">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 xml:space="preserve">Im März 2020 hat die Rechtsanwaltskanzlei Sauter &amp; Wurm im Auftrag der Firma </w:t>
      </w:r>
      <w:r w:rsidR="00102307">
        <w:t>„</w:t>
      </w:r>
      <w:r>
        <w:t>Lomotex GmbH &amp; Co. KG</w:t>
      </w:r>
      <w:r w:rsidR="00102307">
        <w:t>“</w:t>
      </w:r>
      <w:r>
        <w:t xml:space="preserve"> einen Vertrag zum Ankauf von Schutzmasken ausgefertigt und dem </w:t>
      </w:r>
      <w:r w:rsidR="00B01EB4">
        <w:t>Staatsministerium für Gesundheit und Pflege (</w:t>
      </w:r>
      <w:r>
        <w:t>StMGP</w:t>
      </w:r>
      <w:r w:rsidR="00B01EB4">
        <w:t>)</w:t>
      </w:r>
      <w:r>
        <w:t xml:space="preserve"> geschickt. Nach entsprechender juristischer sowie fachlicher Prüfung wurde ein Vertrag über den Kauf von rund 3,5 </w:t>
      </w:r>
      <w:r w:rsidR="00B01EB4">
        <w:t>Mio. Schutzmasken (FFP2</w:t>
      </w:r>
      <w:r>
        <w:t>/FFP3) für einen Betrag von 14.250.000 Euro abgeschlossen. Eine Zahlung für eine Vermittlungstätigkeit war weder Gegenstand des geschlossenen Vertrages, noch wurde eine solche seitens des StMGP geleistet. Die Angelegenheit ist Gegenstand der laufenden Ermittlungen der Generalstaatsanwaltschaft München. Weitere Informationen können daher derzeit nicht erteilt werden.</w:t>
      </w:r>
    </w:p>
    <w:p w:rsidR="007E0861" w:rsidRDefault="007E0861" w:rsidP="007E0861">
      <w:pPr>
        <w:pStyle w:val="LTAntwortRessortText"/>
      </w:pPr>
      <w:r>
        <w:t xml:space="preserve">Im Übrigen ist eine Beantwortung der umfassend angelegten Fragestellung zu Beschaffungsvorgängen der bayerischen Staatsverwaltung über persönliche Schutzausrüstungen während der </w:t>
      </w:r>
      <w:r w:rsidR="00B832D1">
        <w:t>Coronapandemie</w:t>
      </w:r>
      <w:r>
        <w:t xml:space="preserve"> aufgrund der Kürze der für die Beantwortung einer Anfrage zum Plenum zur Verfügung stehenden Zeit nicht leistbar. Die Anfrage erstreckt sich auf alle Ressorts unter Einbindung des jeweils nachgeordneten Bereichs, was eine entsprechende Abfrage und Recherche erforderlich machen würde, zugleich wäre eine Abstimmung mit der Generalstaatsanwaltschaft München angezeigt.</w:t>
      </w:r>
    </w:p>
    <w:p w:rsidR="007E0861" w:rsidRDefault="007E0861">
      <w:bookmarkStart w:id="113" w:name="Frage_Nr_56_Ende"/>
      <w:bookmarkEnd w:id="113"/>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2B6514" w:rsidTr="002B6514">
        <w:tc>
          <w:tcPr>
            <w:tcW w:w="1900" w:type="dxa"/>
          </w:tcPr>
          <w:p w:rsidR="002B6514" w:rsidRDefault="002B6514" w:rsidP="002B6514">
            <w:pPr>
              <w:pStyle w:val="LTAnfrageInitiator"/>
            </w:pPr>
            <w:r>
              <w:lastRenderedPageBreak/>
              <w:t>Abgeordneter</w:t>
            </w:r>
            <w:r>
              <w:rPr>
                <w:b/>
              </w:rPr>
              <w:br/>
              <w:t>Christian</w:t>
            </w:r>
            <w:r>
              <w:rPr>
                <w:b/>
              </w:rPr>
              <w:br/>
              <w:t>Hierneis</w:t>
            </w:r>
            <w:r>
              <w:rPr>
                <w:b/>
              </w:rPr>
              <w:br/>
            </w:r>
            <w:r>
              <w:t>(BÜNDNIS 90/DIE GRÜNEN)</w:t>
            </w:r>
            <w:bookmarkStart w:id="114" w:name="Frage_Nr_57"/>
            <w:bookmarkEnd w:id="114"/>
          </w:p>
        </w:tc>
        <w:tc>
          <w:tcPr>
            <w:tcW w:w="5716" w:type="dxa"/>
          </w:tcPr>
          <w:p w:rsidR="002B6514" w:rsidRPr="00B72724" w:rsidRDefault="002B6514" w:rsidP="004C0F13">
            <w:pPr>
              <w:pStyle w:val="LTAnfrageText"/>
            </w:pPr>
            <w:r w:rsidRPr="00B72724">
              <w:t xml:space="preserve">Ich frage die Staatsregierung, nachdem Staatsminister für Gesundheit und Pflege Klaus Holetschek angekündigt hat, dass in Bayern ab Anfang April die „Hausärzte“ (in den Medien wird auch von „niedergelassenen Ärzten“, „Hausarztpraxen“ oder „Arztpraxen“ gesprochen) Impfungen gegen COVID-19 durchführen werden, allerdings in der Bevölkerung und sogar bei Ärztinnen und Ärzten selbst Unsicherheit besteht, welche Ärztinnen und Ärzte im Sinne der Staatsregierung Hausärztinnen und -ärzte, welche Praxen im Sinne der Staatsregierung Hausarztpraxen sind und deshalb allerorten Unsicherheit besteht, welche Ärztinnen und Ärzte tatsächlich Impfstoffe gegen </w:t>
            </w:r>
            <w:r w:rsidR="008C6A18">
              <w:br/>
            </w:r>
            <w:r w:rsidRPr="00B72724">
              <w:t xml:space="preserve">COVID-19 erhalten (der Fragesteller erhielt Rückmeldungen von Ärztinnen und Ärzten, sie seien offiziell z. B. spezialisierte Internistin bzw. spezialisierter Internist und offiziell kein Hausarzt und bekämen deshalb wohl keinen Impfstoff, obwohl sie faktisch wie ein Hausarzt arbeiten und Patienten aus der näheren Umgebung mit allen möglichen Symptomen behandeln und auch Grippeimpfungen durchführen), welche Ärztinnen und Ärzte konkret den Impfstoff bekommen (also welche Ausbildung, Fachkenntnis, Spezialisierung [z. B. Internist, Endokrinologe etc.], Verbandszugehörigkeit, Patientenkreis, tatsächliche Tätigkeit etc. notwendig ist und bitte Liste der Ärztinnen und Ärzte, die Impfstoff gegen COVID-19 erhalten, vorlegen, falls vorhanden und bitte getrennt nach Lieferung/Verteilung über Apotheken und andere Lieferwege darstellen), wie wird die Belieferung aller Apotheken, die COVID-19-Impfstoffe an Ärztinnen und Ärzte weiterverteilen werden, mit jeweils ausreichend COVID-19-Impfstoffen sichergestellt und welche konkreten Planungen gibt es seitens der Staatsregierung, Produktionsstätten für Impfstoffe gegen COVID-19 zu errichten (in Bayern selbst Produktionsstätten für Impfstoffe aufzubauen </w:t>
            </w:r>
            <w:r w:rsidR="008C6A18">
              <w:br/>
            </w:r>
            <w:r w:rsidRPr="00B72724">
              <w:t>oder sich an Produktionsstätten in Deutschland zu beteiligen), da Impfstoffe gegen COVID-19-Erkrankungen dauerhaft gebraucht werden und deshalb in den kommenden Jahren (u. a. für Auffrischungsimpfungen) in ausreichender Anzahl (auch bei Ärztinnen und Ärzten) zur Verfügung stehen müssen? </w:t>
            </w:r>
          </w:p>
        </w:tc>
        <w:tc>
          <w:tcPr>
            <w:tcW w:w="5716" w:type="dxa"/>
          </w:tcPr>
          <w:p w:rsidR="002B6514" w:rsidRDefault="002B6514" w:rsidP="002B6514">
            <w:pPr>
              <w:pStyle w:val="LTAnfrageText"/>
            </w:pPr>
          </w:p>
        </w:tc>
      </w:tr>
    </w:tbl>
    <w:p w:rsidR="007E0861" w:rsidRDefault="007E0861" w:rsidP="007E0861">
      <w:pPr>
        <w:pStyle w:val="LTUeberschrAntwortRessort"/>
      </w:pPr>
      <w:r>
        <w:t>Antwort des Staatsministeriums für Gesundheit und Pflege</w:t>
      </w:r>
      <w:r w:rsidR="004A5A42">
        <w:t xml:space="preserve"> im Einvernehmen mit dem Staatsministerium für Wirtschaft, Landesentwicklung und Energie</w:t>
      </w:r>
    </w:p>
    <w:p w:rsidR="007E0861" w:rsidRDefault="007E0861" w:rsidP="007E0861">
      <w:pPr>
        <w:pStyle w:val="LTAntwortRessortText"/>
      </w:pPr>
      <w:r>
        <w:t>In Phase II der Nationalen Impfstrategie sollen grundsätzlich alle niedergelassenen Ärztinnen und Ärzte bzw. Arztpraxen im ambulanten Bereich einbezogen werden, also solche, die selbstständig, alleine oder mit anderen Ärztinnen und Ärzten eine medizinische Einrichtung (Einzelpraxis/</w:t>
      </w:r>
      <w:r w:rsidR="004A5A42">
        <w:t>Gemeinschaftspraxis/Praxisgemein</w:t>
      </w:r>
      <w:r>
        <w:t>schaft/</w:t>
      </w:r>
      <w:r w:rsidR="002F599A">
        <w:t xml:space="preserve"> </w:t>
      </w:r>
      <w:r>
        <w:t>Medizinisches Versorgungszentrum) betreiben. Hierunter fallen Haus- und Fachärzte. Die näheren Einzelheiten zu der Verteilung der Impfstoffmengen stehen noch nicht fest.</w:t>
      </w:r>
    </w:p>
    <w:p w:rsidR="007E0861" w:rsidRDefault="007E0861" w:rsidP="007E0861">
      <w:pPr>
        <w:pStyle w:val="LTAntwortRessortText"/>
      </w:pPr>
      <w:r>
        <w:t xml:space="preserve">Der Bund ist für die Sicherstellung der ausreichenden Versorgung der Lieferkette in der Regelversorgung zuständig. Die Lieferkette sieht vor, dass der Bund den Impfstoff an den Großhandel abgibt und dieser wiederum die Apotheken beliefert. Von </w:t>
      </w:r>
      <w:r>
        <w:lastRenderedPageBreak/>
        <w:t>dort können die Arztpraxen den Impfstoff beziehen. Die näheren Details werden derzeit auf Bundesebene festgelegt.</w:t>
      </w:r>
    </w:p>
    <w:p w:rsidR="007E0861" w:rsidRDefault="007E0861" w:rsidP="007E0861">
      <w:pPr>
        <w:pStyle w:val="LTAntwortRessortText"/>
      </w:pPr>
      <w:r>
        <w:t xml:space="preserve">Die Staatsregierung plant nicht, selbst Produktionsstätten für Impfstoffe gegen </w:t>
      </w:r>
      <w:r w:rsidR="008C6A18">
        <w:br/>
      </w:r>
      <w:r w:rsidR="00102307">
        <w:t>COVID-19</w:t>
      </w:r>
      <w:r>
        <w:t xml:space="preserve"> zu errichten oder sich an Produktionsstätten in Deutschland zu beteiligen. Es ist Aufgabe der Hersteller der Impfstoffe, ausreichende Kapazitäten zur Verfügung zu stellen. Die Staatsregierung ist hier unterstützend tätig. So fand </w:t>
      </w:r>
      <w:r w:rsidR="00102307">
        <w:t>z. B.</w:t>
      </w:r>
      <w:r>
        <w:t xml:space="preserve"> am 03.02.2021 ein Austausch von Staatsminister </w:t>
      </w:r>
      <w:r w:rsidR="002F599A">
        <w:t xml:space="preserve">Klaus </w:t>
      </w:r>
      <w:r>
        <w:t xml:space="preserve">Holetschek, Staatsminister </w:t>
      </w:r>
      <w:r w:rsidR="002F599A">
        <w:t xml:space="preserve">Hubert </w:t>
      </w:r>
      <w:r>
        <w:t xml:space="preserve">Aiwanger und Vertretern der Bayerischen Pharmaindustrie statt. Danach sind viele bayerische Unternehmen bereits direkt oder durch die Bereitstellung von Grundstoffen an der Herstellung von Impfstoff gegen </w:t>
      </w:r>
      <w:r w:rsidR="00102307">
        <w:t>COVID-19</w:t>
      </w:r>
      <w:r>
        <w:t xml:space="preserve"> beteiligt. Die Vertreter der Unternehmen signalisierten große Bereitschaft bei der Unterstützung der Produktionskapazitäten sowohl für Impfstoff als auch für Herstellungsbestandteile. Für Unternehmen ist ausreichend Risikoabsicherung bei Investitionen in Produktionskapazitäten wichtig.</w:t>
      </w:r>
    </w:p>
    <w:p w:rsidR="007E0861" w:rsidRDefault="007E0861" w:rsidP="007E0861">
      <w:pPr>
        <w:pStyle w:val="LTAntwortRessortText"/>
      </w:pPr>
      <w:r>
        <w:t>Auf Bundesebene wurden am 24.02.2021 offiziell ein Staatssekretärsausschuss und eine Taskforce Impfstoffproduktion eingesetzt, mit dem Ziel, ein Monitoring aufzusetzen, um in Zusammenarbeit mit den betroffenen Unternehmen gegenzusteuern, sollte es zu Engpässen in der Impfstoffproduktion kommen. Dieses Monitoring betrifft die gesamte Wertschöpfungskette von der Beschaffung von Rohstoffen bis hin zur Produktion und Abfüllung der Impfstoffe einschließlich der erforderlichen Impfnebenprodukte (Kochsalzlösung, Kanülen, etc). Die Taskforce Impfstoffproduktion dient zudem als Ansprechpartner für die Wirtschaft und die EU</w:t>
      </w:r>
      <w:r w:rsidR="00CB2060">
        <w:t>.</w:t>
      </w:r>
    </w:p>
    <w:p w:rsidR="007E0861" w:rsidRDefault="007E0861">
      <w:bookmarkStart w:id="115" w:name="Frage_Nr_57_Ende"/>
      <w:bookmarkEnd w:id="115"/>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98735C" w:rsidTr="0098735C">
        <w:tc>
          <w:tcPr>
            <w:tcW w:w="1852" w:type="dxa"/>
          </w:tcPr>
          <w:p w:rsidR="0098735C" w:rsidRDefault="0098735C" w:rsidP="0098735C">
            <w:pPr>
              <w:pStyle w:val="LTAnfrageInitiator"/>
            </w:pPr>
            <w:r>
              <w:lastRenderedPageBreak/>
              <w:t>Abgeordneter</w:t>
            </w:r>
            <w:r>
              <w:rPr>
                <w:b/>
              </w:rPr>
              <w:br/>
              <w:t>Dr. Helmut</w:t>
            </w:r>
            <w:r>
              <w:rPr>
                <w:b/>
              </w:rPr>
              <w:br/>
              <w:t>Kaltenhauser</w:t>
            </w:r>
            <w:r>
              <w:rPr>
                <w:b/>
              </w:rPr>
              <w:br/>
            </w:r>
            <w:r>
              <w:t>(FDP)</w:t>
            </w:r>
            <w:bookmarkStart w:id="116" w:name="Frage_Nr_58"/>
            <w:bookmarkEnd w:id="116"/>
          </w:p>
        </w:tc>
        <w:tc>
          <w:tcPr>
            <w:tcW w:w="5764" w:type="dxa"/>
          </w:tcPr>
          <w:p w:rsidR="0098735C" w:rsidRPr="00B72724" w:rsidRDefault="0098735C" w:rsidP="00B72724">
            <w:pPr>
              <w:pStyle w:val="LTAnfrageText"/>
            </w:pPr>
            <w:r w:rsidRPr="00B72724">
              <w:t>Ich frage die Staatsregierung, welche Kriterien bei der elf Lose umfassenden Vergabeentscheidung des Staatsministeriums für Gesundheit und Pflege im Februar/März 2021 zur Beschaffung von FFP2-Masken galten, wie viele Firmen mit deutscher bzw. bayerischer Produktionsstätte an dem Vergabeverfahren teilgenommen haben (bitte jeweilige Firma und deren Standort angeben) und warum man sich bei der Vergabe der elf Lose ausschließlich für Firmen entschieden hat, die ihre FFP2-Masken nicht in Deutschland produzierten, sondern aus China bezogen, obwohl laut Aussagen des stellvertretenden Ministerpräsidenten und des Staatsministers für Wirtschaft, Landesentwicklung und Energie Hubert Aiwanger die bayerische Produktion hochwertiger Masken verlässlicher und effizienter sei als ein Ankauf „billiger Asien-Ware“</w:t>
            </w:r>
            <w:r w:rsidRPr="008C6A18">
              <w:rPr>
                <w:vertAlign w:val="superscript"/>
              </w:rPr>
              <w:footnoteReference w:id="5"/>
            </w:r>
            <w:r w:rsidRPr="00B72724">
              <w:t>?</w:t>
            </w:r>
          </w:p>
        </w:tc>
        <w:tc>
          <w:tcPr>
            <w:tcW w:w="5764" w:type="dxa"/>
          </w:tcPr>
          <w:p w:rsidR="0098735C" w:rsidRDefault="0098735C" w:rsidP="0098735C">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Unter denjenigen Angeboten, welche die in den Vergabeunterlagen vorgegebenen produktbezogenen qualitativen Anforderungen nachweislich erfüllt hatten, galt als Zuschlagskriterium der Preis. Dementsprechend fußte die Vergabeentscheidung in den einzelnen Losen auf diesem, im Vergabeverfahren bekannt gegebenen Zuschlagskriterium. Eine Bevorzugung von Produkten bestimmter regionaler Herkunft wäre mit dem Vergaberecht nicht vereinbar gewesen.</w:t>
      </w:r>
    </w:p>
    <w:p w:rsidR="008C6A18" w:rsidRDefault="008C6A18" w:rsidP="007E0861">
      <w:pPr>
        <w:pStyle w:val="LTAntwortRessortText"/>
      </w:pPr>
    </w:p>
    <w:p w:rsidR="007E0861" w:rsidRDefault="007E0861">
      <w:bookmarkStart w:id="117" w:name="Frage_Nr_58_Ende"/>
      <w:bookmarkEnd w:id="117"/>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98735C" w:rsidTr="0098735C">
        <w:tc>
          <w:tcPr>
            <w:tcW w:w="1875" w:type="dxa"/>
          </w:tcPr>
          <w:p w:rsidR="0098735C" w:rsidRDefault="0098735C" w:rsidP="0098735C">
            <w:pPr>
              <w:pStyle w:val="LTAnfrageInitiator"/>
            </w:pPr>
            <w:r>
              <w:lastRenderedPageBreak/>
              <w:t>Abgeordneter</w:t>
            </w:r>
            <w:r>
              <w:rPr>
                <w:b/>
              </w:rPr>
              <w:br/>
              <w:t>Sebastian</w:t>
            </w:r>
            <w:r>
              <w:rPr>
                <w:b/>
              </w:rPr>
              <w:br/>
              <w:t>Körber</w:t>
            </w:r>
            <w:r>
              <w:rPr>
                <w:b/>
              </w:rPr>
              <w:br/>
            </w:r>
            <w:r>
              <w:t>(FDP)</w:t>
            </w:r>
            <w:bookmarkStart w:id="118" w:name="Frage_Nr_59"/>
            <w:bookmarkEnd w:id="118"/>
          </w:p>
        </w:tc>
        <w:tc>
          <w:tcPr>
            <w:tcW w:w="5741" w:type="dxa"/>
          </w:tcPr>
          <w:p w:rsidR="0098735C" w:rsidRPr="00B72724" w:rsidRDefault="0098735C" w:rsidP="00B72724">
            <w:pPr>
              <w:pStyle w:val="LTAnfrageText"/>
            </w:pPr>
            <w:r w:rsidRPr="00B72724">
              <w:t>Ich frage die Staatsregierung, welche Maßnahmen sie vor dem Hintergrund einbrechender Mitgliederzahlen/-beiträge ergriffen hat, um Betreibern von Fitness- und Gesundheitsanlagen (v. a. Fitness- und Sportstudios) durch die Pandemie zu helfen, weshalb sie der Meinung ist, dass vorstehende Betriebe nur unter freiem Himmel, d. h. nicht in geschlossenen Räumen unter Einhaltung der Allgemeinen Regelungen gemäß Zwölfte Bayerische Infektionsschutzmaßnahmenverordnung (12. BayIfSMV) bzw. ausgearbeiteten Schutz- und Hygienekonzepten, öffnen dürfen und welches konkrete Rahmenkonzept die Staatsregierung für die perspektivische Öffnung vorstehender Betriebe insbesondere im Hinblick auf die Notwendigkeit tagesaktueller COVID-19-Schnell- oder Selbsttests voraussetzt?</w:t>
            </w:r>
          </w:p>
        </w:tc>
        <w:tc>
          <w:tcPr>
            <w:tcW w:w="5741" w:type="dxa"/>
          </w:tcPr>
          <w:p w:rsidR="0098735C" w:rsidRDefault="0098735C" w:rsidP="0098735C">
            <w:pPr>
              <w:pStyle w:val="LTAnfrageText"/>
            </w:pPr>
          </w:p>
        </w:tc>
      </w:tr>
    </w:tbl>
    <w:p w:rsidR="007E0861" w:rsidRDefault="007E0861" w:rsidP="00343C38">
      <w:pPr>
        <w:pStyle w:val="LTUeberschrAntwortRessort"/>
        <w:spacing w:before="220"/>
      </w:pPr>
      <w:r>
        <w:t>Antwort des Staatsministeriums für Gesundheit und Pflege</w:t>
      </w:r>
      <w:r w:rsidR="00447D20">
        <w:t xml:space="preserve"> in Abstimmung mit dem Staatsministerium für Wirtschaft, Landesentwicklung und Energie</w:t>
      </w:r>
    </w:p>
    <w:p w:rsidR="007E0861" w:rsidRDefault="007E0861" w:rsidP="007E0861">
      <w:pPr>
        <w:pStyle w:val="LTAntwortRessortText"/>
      </w:pPr>
      <w:r>
        <w:t>Betreiber von gewerblichen Fitness- und Sportanlagen können, wie andere Unternehmen der von den Corona-Maßnahmen betroffenen Branchen, die von Bundes- und Staatsregierung aufgelegten Corona-Hilfsmaßnahmen in Anspruch nehmen, also insbesondere die außerordentliche Wirtschaftshilfe sowie die Überbrückungshilfe III. Im Rahmen der Überbrückungshilfen und der November- bzw. Dezemberhilfe wurden bisher an Fitnessstudios in Bayern Hilfen von über 60 Mio. Euro ausgezahlt.</w:t>
      </w:r>
    </w:p>
    <w:p w:rsidR="007E0861" w:rsidRDefault="007E0861" w:rsidP="007E0861">
      <w:pPr>
        <w:pStyle w:val="LTAntwortRessortText"/>
      </w:pPr>
      <w:r>
        <w:t xml:space="preserve">Die Differenzierung zwischen Sportstätten unter freiem Himmel und in Innenbereichen basiert nicht auf subjektiven Auffassungen, sondern auf den während der </w:t>
      </w:r>
      <w:r w:rsidR="00B832D1">
        <w:t>Coronapandemie</w:t>
      </w:r>
      <w:r>
        <w:t xml:space="preserve"> gewonnenen wissenschaftlichen Erkenntnissen. Unter freiem Himmel besteht generell ein deutlich geringeres Infektionsrisiko als in geschlossenen Räumen. Gerade bei körperlicher Anstrengung werden vermehrt potenziell infektiöse Aerosole</w:t>
      </w:r>
      <w:r w:rsidR="00343C38">
        <w:t xml:space="preserve"> bei der Atmung ausgestoßen, so</w:t>
      </w:r>
      <w:r>
        <w:t>dass in Sportstätten im Innenbereich, gerade bei stärkerer körperlicher Aktivität, das Risiko der Anreicherung von Aerosolen und damit auch das Risiko einer möglichen Infektionsübertragung erheblich steigt.</w:t>
      </w:r>
    </w:p>
    <w:p w:rsidR="007E0861" w:rsidRDefault="007E0861" w:rsidP="007E0861">
      <w:pPr>
        <w:pStyle w:val="LTAntwortRessortText"/>
      </w:pPr>
      <w:r>
        <w:t>Die Öffnu</w:t>
      </w:r>
      <w:r w:rsidR="00343C38">
        <w:t>ng von Indoor-Sportstätten ist – inzidenzabhängig –</w:t>
      </w:r>
      <w:r>
        <w:t xml:space="preserve"> frühestens ab 22. März 2021 vorgesehen. Hierfür werden Rahmenkonzepte von den zuständigen Staatsministerien im Einvernehmen mit dem Staatsministerium für Gesundheit und Pflege bekanntgemacht. In diesen werden die erforderlichen Schutz- und Hygienemaßnahmen, darunter auch die konkreten Anforderungen an die Testpflichten, festgelegt. Eine Aussage zum konkreten Inhalt des</w:t>
      </w:r>
      <w:r w:rsidR="004C0F13">
        <w:t xml:space="preserve"> </w:t>
      </w:r>
      <w:r>
        <w:t>Rahmenkonzepts kann noch nicht getroffen werden, da diese derzeit noch zwischen den Ressorts</w:t>
      </w:r>
      <w:r w:rsidR="004C0F13">
        <w:t xml:space="preserve"> </w:t>
      </w:r>
      <w:r>
        <w:t>abgestimmt werden.</w:t>
      </w:r>
    </w:p>
    <w:p w:rsidR="007E0861" w:rsidRDefault="007E0861" w:rsidP="00447D20">
      <w:pPr>
        <w:pStyle w:val="LTAntwortRessortText"/>
        <w:spacing w:before="0"/>
      </w:pPr>
      <w:r>
        <w:t>Bereits § 27 Abs. 1 Nr. 3 der 12. BayIfSMV legt fest, dass in Landkreisen oder kreisfreien Städten,</w:t>
      </w:r>
      <w:r w:rsidR="004C0F13">
        <w:t xml:space="preserve"> </w:t>
      </w:r>
      <w:r>
        <w:t>in welchen mindestens 14 Tage in Folge die 7-Tage-Inzidenz von 100 nicht überschritten wird und</w:t>
      </w:r>
      <w:r w:rsidR="004C0F13">
        <w:t xml:space="preserve"> </w:t>
      </w:r>
      <w:r>
        <w:t>die Entwicklung des Infektionsgeschehens stabil oder rückläufig erscheint, kontaktfreier Sport im</w:t>
      </w:r>
      <w:r w:rsidR="004C0F13">
        <w:t xml:space="preserve"> </w:t>
      </w:r>
      <w:r>
        <w:t>Innenbereich sowie Kontaktsport unter freiem Himmel unter der Voraussetzung, dass alle</w:t>
      </w:r>
      <w:r w:rsidR="004C0F13">
        <w:t xml:space="preserve"> </w:t>
      </w:r>
      <w:r>
        <w:t>Teilnehmerinnen und Teilnehmer über einen tagesaktuellen SARS-CoV-2 Schnell- oder Selbsttest</w:t>
      </w:r>
      <w:r w:rsidR="004C0F13">
        <w:t xml:space="preserve"> </w:t>
      </w:r>
      <w:r>
        <w:t>verfügen, zugelassen werden kann. Wird in einem Landkreis oder einer kreisfreien Stadt</w:t>
      </w:r>
      <w:r w:rsidR="004C0F13">
        <w:t xml:space="preserve"> </w:t>
      </w:r>
      <w:r>
        <w:t>mindestens 14 Tage in Folge die 7-Tage-Inzidenz von 50 nicht überschritten und erscheint die</w:t>
      </w:r>
      <w:r w:rsidR="004C0F13">
        <w:t xml:space="preserve"> </w:t>
      </w:r>
      <w:r>
        <w:t>Entwicklung des Infektionsgeschehens stabil oder rückläufig, kann auf einen Testnachweis</w:t>
      </w:r>
      <w:r w:rsidR="004C0F13">
        <w:t xml:space="preserve"> </w:t>
      </w:r>
      <w:r>
        <w:t>verzichtet werden (§ 27 Abs. 2 Nr. 3 der 12. BayIfSMV).</w:t>
      </w:r>
      <w:bookmarkStart w:id="119" w:name="Frage_Nr_59_Ende"/>
      <w:bookmarkEnd w:id="119"/>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8735C" w:rsidTr="0098735C">
        <w:tc>
          <w:tcPr>
            <w:tcW w:w="1883" w:type="dxa"/>
          </w:tcPr>
          <w:p w:rsidR="0098735C" w:rsidRDefault="0098735C" w:rsidP="0098735C">
            <w:pPr>
              <w:pStyle w:val="LTAnfrageInitiator"/>
            </w:pPr>
            <w:r>
              <w:lastRenderedPageBreak/>
              <w:t>Abgeordneter</w:t>
            </w:r>
            <w:r>
              <w:rPr>
                <w:b/>
              </w:rPr>
              <w:br/>
              <w:t>Andreas</w:t>
            </w:r>
            <w:r>
              <w:rPr>
                <w:b/>
              </w:rPr>
              <w:br/>
              <w:t>Krahl</w:t>
            </w:r>
            <w:r>
              <w:rPr>
                <w:b/>
              </w:rPr>
              <w:br/>
            </w:r>
            <w:r>
              <w:t>(BÜNDNIS 90/DIE GRÜNEN)</w:t>
            </w:r>
            <w:bookmarkStart w:id="120" w:name="Frage_Nr_60"/>
            <w:bookmarkEnd w:id="120"/>
          </w:p>
        </w:tc>
        <w:tc>
          <w:tcPr>
            <w:tcW w:w="5733" w:type="dxa"/>
          </w:tcPr>
          <w:p w:rsidR="0098735C" w:rsidRPr="00B72724" w:rsidRDefault="0098735C" w:rsidP="00B72724">
            <w:pPr>
              <w:pStyle w:val="LTAnfrageText"/>
            </w:pPr>
            <w:r w:rsidRPr="00B72724">
              <w:t>Ich frage die Staatsregierung, welche Einnahmen in welcher Höhe hat nach Kenntnis der Staatsregierung MdL Alfred Sauter (CSU) mit Beschaffungsverträgen für Pandemiegüter für welche Mandaten erzielt?  </w:t>
            </w:r>
          </w:p>
        </w:tc>
        <w:tc>
          <w:tcPr>
            <w:tcW w:w="5733" w:type="dxa"/>
          </w:tcPr>
          <w:p w:rsidR="0098735C" w:rsidRDefault="0098735C" w:rsidP="0098735C">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Über derartige Einnahmen hat das Staatsministerium für Gesundheit und Pflege keine Kenntnisse.</w:t>
      </w:r>
    </w:p>
    <w:p w:rsidR="007E0861" w:rsidRDefault="007E0861" w:rsidP="007E0861">
      <w:pPr>
        <w:pStyle w:val="LTAntwortRessortText"/>
      </w:pPr>
      <w:r>
        <w:t xml:space="preserve">Gemäß den Verhaltensregeln für die Mitglieder des Landtags, die sich der Landtag aufgrund von Art. 4a </w:t>
      </w:r>
      <w:r w:rsidR="002F599A">
        <w:t xml:space="preserve">Bayerisches Abgeordnetengesetz </w:t>
      </w:r>
      <w:r>
        <w:t xml:space="preserve">selbst gegeben hat, sind </w:t>
      </w:r>
      <w:r w:rsidR="00102307">
        <w:t>u. a.</w:t>
      </w:r>
      <w:r>
        <w:t xml:space="preserve"> entgeltliche Tätigkeiten neben dem Mandat, die selbstständig oder im Rahmen eines Anstellungsverhältnisses ausgeübt werden, dem Präsidenten/der Präsidentin des Landtags schriftlich anzuzeigen. Die Erfüllung dieser Anzeigepflicht obliegt nicht der Kontrolle der Staatsregierung</w:t>
      </w:r>
    </w:p>
    <w:p w:rsidR="007E0861" w:rsidRDefault="007E0861">
      <w:bookmarkStart w:id="121" w:name="Frage_Nr_60_Ende"/>
      <w:bookmarkEnd w:id="121"/>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C47535" w:rsidTr="00C47535">
        <w:tc>
          <w:tcPr>
            <w:tcW w:w="1840" w:type="dxa"/>
          </w:tcPr>
          <w:p w:rsidR="00C47535" w:rsidRDefault="00C47535" w:rsidP="00C47535">
            <w:pPr>
              <w:pStyle w:val="LTAnfrageInitiator"/>
            </w:pPr>
            <w:r>
              <w:lastRenderedPageBreak/>
              <w:t>Abgeordneter</w:t>
            </w:r>
            <w:r>
              <w:rPr>
                <w:b/>
              </w:rPr>
              <w:br/>
              <w:t>Roland</w:t>
            </w:r>
            <w:r>
              <w:rPr>
                <w:b/>
              </w:rPr>
              <w:br/>
              <w:t>Magerl</w:t>
            </w:r>
            <w:r>
              <w:rPr>
                <w:b/>
              </w:rPr>
              <w:br/>
            </w:r>
            <w:r>
              <w:t>(AfD)</w:t>
            </w:r>
            <w:bookmarkStart w:id="122" w:name="Frage_Nr_61"/>
            <w:bookmarkEnd w:id="122"/>
          </w:p>
        </w:tc>
        <w:tc>
          <w:tcPr>
            <w:tcW w:w="5776" w:type="dxa"/>
          </w:tcPr>
          <w:p w:rsidR="00C47535" w:rsidRPr="00B72724" w:rsidRDefault="00C47535" w:rsidP="00B72724">
            <w:pPr>
              <w:pStyle w:val="LTAnfrageText"/>
            </w:pPr>
            <w:r w:rsidRPr="00B72724">
              <w:t>Ich frage die Staatsregierung, wie bewertet sie die aktuellen Meldungen zu Vorfällen und medizinischen Komplikationen bei Impfungen (speziell AstraZeneca), welche Konsequenzen werden hierfür für Bayern gezogen und wie stellt die Staatsregierung sicher, dass das Impfkonzept aufrechterhalten werden kann, falls ein Impfstoff vom Markt genommen werden müsste?</w:t>
            </w:r>
          </w:p>
        </w:tc>
        <w:tc>
          <w:tcPr>
            <w:tcW w:w="5776" w:type="dxa"/>
          </w:tcPr>
          <w:p w:rsidR="00C47535" w:rsidRDefault="00C47535" w:rsidP="00C47535">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 xml:space="preserve">Das Paul-Ehrlich-Institut (PEI) hat am 15.03.2021 die vorübergehende Aussetzung der Impfungen mit dem </w:t>
      </w:r>
      <w:r w:rsidR="00102307">
        <w:t>COVID-19</w:t>
      </w:r>
      <w:r>
        <w:t xml:space="preserve">-Impfstoff von AstraZeneca empfohlen. Dies betrifft sowohl Erst- als auch Zweitimpfungen. Hintergrund waren insgesamt 7 Fälle von aufgetretenen schwerwiegenden thrombotischen Ereignissen in Deutschland, darunter auch eine Patientin in Augsburg. Das PEI hat </w:t>
      </w:r>
      <w:r w:rsidR="00CB2060">
        <w:t>aufgrund dessen</w:t>
      </w:r>
      <w:r>
        <w:t xml:space="preserve"> eine statistisch auffällige Häufung einer speziellen Form von sehr seltenen Hirnvenen-Thrombosen in Verbindung mit einem Mangel an Blutplättchen und mit Blutungen in zeitlicher Nähe zu Impfungen mit AstraZeneca gesehen, die einer näheren Prüfung bedürfen. Die Daten werden aktuell von der Europäischen Arzneimittel-Agentur (EMA) analysiert und bewertet. Das sogenannte Sicherheitskomitee der EMA wird sich am Donnerstag, 18.03.2021, mit den Ergebnissen der Analysen befassen und entscheiden, ob und wie sich die neuen Erkenntnisse auf den weiteren Einsatz des Impfstoffs auswirken.</w:t>
      </w:r>
    </w:p>
    <w:p w:rsidR="007E0861" w:rsidRDefault="007E0861" w:rsidP="00447D20">
      <w:pPr>
        <w:pStyle w:val="LTAntwortRessortText"/>
        <w:spacing w:before="0"/>
      </w:pPr>
      <w:r>
        <w:t xml:space="preserve">Vor diesem Hintergrund wurden die Impfzentren und Krankenhäuser noch am 15.03.2021 informiert und angewiesen, die Impfungen mit dem </w:t>
      </w:r>
      <w:r w:rsidR="00102307">
        <w:t>COVID-19</w:t>
      </w:r>
      <w:r>
        <w:t>-Impfstoff von AstraZeneca bis auf Weiteres auszusetzen und keine weiteren Termine für Impfungen mit diesem Impfstoff zu verei</w:t>
      </w:r>
      <w:r w:rsidR="002F599A">
        <w:t>nbaren. Die Entscheidung der Europäische Arzneimittel-Agentur (EMA)</w:t>
      </w:r>
      <w:r>
        <w:t xml:space="preserve"> bleibt abzuwarten.</w:t>
      </w:r>
    </w:p>
    <w:p w:rsidR="007E0861" w:rsidRDefault="007E0861" w:rsidP="00447D20">
      <w:pPr>
        <w:pStyle w:val="LTAntwortRessortText"/>
        <w:spacing w:before="0"/>
      </w:pPr>
      <w:r>
        <w:t xml:space="preserve">Die Bayerische Impfstrategie setzt auf alle für eine Verimpfung zugelassenen </w:t>
      </w:r>
      <w:r w:rsidR="002F599A">
        <w:br/>
      </w:r>
      <w:r w:rsidR="00102307">
        <w:t>COVID-19</w:t>
      </w:r>
      <w:r>
        <w:t>-Impfstoffe unter Beachtung der Zulassungsvorgaben und der Empfehlungen der Ständigen Impfkommission beim Robert Koch-Institut. Etwaige Anpassungen werden umgehend mitgeteilt und auch in Bayern zugrunde gelegt.</w:t>
      </w:r>
    </w:p>
    <w:p w:rsidR="007E0861" w:rsidRDefault="007E0861">
      <w:bookmarkStart w:id="123" w:name="Frage_Nr_61_Ende"/>
      <w:bookmarkEnd w:id="123"/>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C47535" w:rsidTr="00C47535">
        <w:tc>
          <w:tcPr>
            <w:tcW w:w="1860" w:type="dxa"/>
          </w:tcPr>
          <w:p w:rsidR="00C47535" w:rsidRDefault="00C47535" w:rsidP="00C47535">
            <w:pPr>
              <w:pStyle w:val="LTAnfrageInitiator"/>
            </w:pPr>
            <w:r>
              <w:lastRenderedPageBreak/>
              <w:t>Abgeordneter</w:t>
            </w:r>
            <w:r>
              <w:rPr>
                <w:b/>
              </w:rPr>
              <w:br/>
              <w:t>Christoph</w:t>
            </w:r>
            <w:r>
              <w:rPr>
                <w:b/>
              </w:rPr>
              <w:br/>
              <w:t>Maier</w:t>
            </w:r>
            <w:r>
              <w:rPr>
                <w:b/>
              </w:rPr>
              <w:br/>
            </w:r>
            <w:r>
              <w:t>(AfD)</w:t>
            </w:r>
            <w:bookmarkStart w:id="124" w:name="Frage_Nr_62"/>
            <w:bookmarkEnd w:id="124"/>
          </w:p>
        </w:tc>
        <w:tc>
          <w:tcPr>
            <w:tcW w:w="5756" w:type="dxa"/>
          </w:tcPr>
          <w:p w:rsidR="00C47535" w:rsidRPr="00B72724" w:rsidRDefault="00C47535" w:rsidP="00695DFD">
            <w:pPr>
              <w:pStyle w:val="LTAnfrageText"/>
            </w:pPr>
            <w:r w:rsidRPr="00B72724">
              <w:t>Vor dem Hintergrund verschiedener Medienberichte, die auf einen Zusammenhang zwischen Herkunft von Patienten und Belegung von Intensivbetten im Zusammenhang mit COVID-19 hinweisen, frage ich die Staatsregierung, wie hoch der Anteil von Ausländern bei der Belegung von Intensivbetten ist, ob sie belastbares Zahlenmaterial, möglichweise aus der Vergangenheit, hierzu hat und welche Informationen darüber vorliegen, dass Ausländer nach Deutschland einreisen, um sich hierzulande gegen Viruserkrankungen wie Ebola oder eine SARS-COV-2-Infektion behandeln zu lassen? </w:t>
            </w:r>
          </w:p>
        </w:tc>
        <w:tc>
          <w:tcPr>
            <w:tcW w:w="5756" w:type="dxa"/>
          </w:tcPr>
          <w:p w:rsidR="00C47535" w:rsidRDefault="00C47535" w:rsidP="00C47535">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 xml:space="preserve">Die angeforderten Daten und Informationen liegen der Staatsregierung nicht vor. Sie werden für die Belange der Krankenhausplanung, der Krankenhausförderung und für die Festlegung der Organisationsstrukturen nicht benötigt. Bereits aus Gründen der Datensparsamkeit, aber auch zur Vermeidung unnötiger Dokumentationsaufwände in Krankenhäusern besteht deshalb weder eine Pflicht noch die Notwendigkeit einer solchen Datenlieferung an das Ministerium. Regelmäßig werden von Krankenhäusern ausschließlich die gesetzlich vorgegebenen Daten erhoben </w:t>
      </w:r>
      <w:r w:rsidR="002F599A">
        <w:br/>
      </w:r>
      <w:r>
        <w:t xml:space="preserve">(§ 21 </w:t>
      </w:r>
      <w:r w:rsidR="00B76F64">
        <w:t xml:space="preserve">Krankenhausentgeltgesetz – </w:t>
      </w:r>
      <w:r>
        <w:t xml:space="preserve">KHEntgG, § 301 </w:t>
      </w:r>
      <w:r w:rsidR="00B76F64">
        <w:t xml:space="preserve">Sozialgesetzbuch Fünftes Buch – </w:t>
      </w:r>
      <w:r>
        <w:t>SGB V). Geburtsort und Staatsangehörigkeit gehören nicht dazu und dürfen nach den Grundsätzen des Datenschutzes auch nicht in eigener Initiative erhoben werden.</w:t>
      </w:r>
    </w:p>
    <w:p w:rsidR="007E0861" w:rsidRDefault="007E0861" w:rsidP="000F370E">
      <w:pPr>
        <w:pStyle w:val="LTAntwortRessortText"/>
        <w:spacing w:before="0"/>
      </w:pPr>
      <w:r>
        <w:t>Auch das vom St</w:t>
      </w:r>
      <w:r w:rsidR="00B76F64">
        <w:t>aatsministerium für Gesundheit und Pflege (St</w:t>
      </w:r>
      <w:r>
        <w:t>MGP</w:t>
      </w:r>
      <w:r w:rsidR="00B76F64">
        <w:t>)</w:t>
      </w:r>
      <w:r>
        <w:t xml:space="preserve"> im Rahmen der Pandemiebekämpfung zur Überwachung und Steuerung der Krankenhauskapazitäten genutzte IT-Tool erfasst lediglich zahlenmäßig Daten zur Bettenbelegung in bayerischen Krankenhäusern. Weiterführende Patientendaten werden hierüber nicht erfasst. Eine Aussage über die Nationalität der jeweils intensivmedizinisch versorgten </w:t>
      </w:r>
      <w:r w:rsidR="00102307">
        <w:t>COVID-19</w:t>
      </w:r>
      <w:r>
        <w:t>-Patienten kann daher auch auf dieser Grundlage nicht getroffen werden.</w:t>
      </w:r>
    </w:p>
    <w:p w:rsidR="007E0861" w:rsidRDefault="007E0861" w:rsidP="000F370E">
      <w:pPr>
        <w:pStyle w:val="LTAntwortRessortText"/>
        <w:spacing w:before="0"/>
      </w:pPr>
      <w:r>
        <w:t xml:space="preserve">Der Staatsregierung ist bekannt, dass es einzelne Hilfeersuchen aus benachbarten Ländern, wie der Tschechischen Republik, zur Übernahme von </w:t>
      </w:r>
      <w:r w:rsidR="00102307">
        <w:t>COVID-19</w:t>
      </w:r>
      <w:r w:rsidR="00B76F64">
        <w:t>-</w:t>
      </w:r>
      <w:r>
        <w:t>Patienten gab. Hierbei wurden vereinzelt mit SARS-CoV-2 infizierte Patienten in bayerische Krankenhäuser verlegt und dort im Rahmen der Möglichkeiten des jeweiligen Hauses behandelt.</w:t>
      </w:r>
    </w:p>
    <w:p w:rsidR="007E0861" w:rsidRDefault="007E0861" w:rsidP="000F370E">
      <w:pPr>
        <w:pStyle w:val="LTAntwortRessortText"/>
        <w:spacing w:before="0"/>
      </w:pPr>
      <w:r>
        <w:t xml:space="preserve">Angesichts der aktuell weiterhin hohen Arbeitsbelastung der Krankenhäuser aufgrund der </w:t>
      </w:r>
      <w:r w:rsidR="00B832D1">
        <w:t>Coronapandemie</w:t>
      </w:r>
      <w:r>
        <w:t xml:space="preserve"> wäre eine eigens hierfür initiierte Abfrage weder in der zur Verfügung stehenden Zeit zur Beantwortung umsetzbar noch verhältnismäßig.</w:t>
      </w:r>
    </w:p>
    <w:p w:rsidR="007E0861" w:rsidRDefault="007E0861">
      <w:bookmarkStart w:id="125" w:name="Frage_Nr_62_Ende"/>
      <w:bookmarkEnd w:id="125"/>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C47535" w:rsidTr="00C47535">
        <w:tc>
          <w:tcPr>
            <w:tcW w:w="1852" w:type="dxa"/>
          </w:tcPr>
          <w:p w:rsidR="00C47535" w:rsidRDefault="00C47535" w:rsidP="00C47535">
            <w:pPr>
              <w:pStyle w:val="LTAnfrageInitiator"/>
            </w:pPr>
            <w:r>
              <w:lastRenderedPageBreak/>
              <w:t>Abgeordneter</w:t>
            </w:r>
            <w:r>
              <w:rPr>
                <w:b/>
              </w:rPr>
              <w:br/>
              <w:t>Helmut</w:t>
            </w:r>
            <w:r>
              <w:rPr>
                <w:b/>
              </w:rPr>
              <w:br/>
              <w:t>Markwort</w:t>
            </w:r>
            <w:r>
              <w:rPr>
                <w:b/>
              </w:rPr>
              <w:br/>
            </w:r>
            <w:r>
              <w:t>(FDP)</w:t>
            </w:r>
            <w:bookmarkStart w:id="126" w:name="Frage_Nr_63"/>
            <w:bookmarkEnd w:id="126"/>
          </w:p>
        </w:tc>
        <w:tc>
          <w:tcPr>
            <w:tcW w:w="5764" w:type="dxa"/>
          </w:tcPr>
          <w:p w:rsidR="00C47535" w:rsidRPr="00B72724" w:rsidRDefault="00C47535" w:rsidP="00B72724">
            <w:pPr>
              <w:pStyle w:val="LTAnfrageText"/>
            </w:pPr>
            <w:r w:rsidRPr="00B72724">
              <w:t>Vor dem Hintergrund der Pressemitteilung des Staatsministeriums für Gesundheit und</w:t>
            </w:r>
            <w:r w:rsidR="00CB2060">
              <w:t xml:space="preserve"> </w:t>
            </w:r>
            <w:r w:rsidRPr="00B72724">
              <w:t>Pflege (StMGP) vom 26.02.2021 mit dem Titel „Holetschek: Bayern hat frühzeitig Selbsttests gesichert – Schulen und Kitas bekommen schon nächste Woche 1,3 Millionen Selbsttests“ und jüngsten Kultusministeriellen Schreiben zur Testdurchführung frage ich die Staatsregierung, wie die Auslieferung der angekündigten Impfdosen an die Kitas und Schulen seitdem erfolgt ist (bitte um möglichst genaue Darstellung des logistischen Prozesses, Angabe der gelieferten Mengen nach Regierungsbezirk und Kalenderwoche, in der diese die Bildungseinrichtungen selbst erreichten, und Anzahl der jeweils versorgten Kitas und Schulen), wie viele Schulen und Kitas zum Stichtag des weiteren Öffnungsschritts am 15.03.2021 noch gar nicht mit Selbst-Schnelltests der Staatsregierung versorgt worden sind (bitte gegliedert nach Landkreisen bzw. kreisfreien Städten) und in wie vielen der von vorheriger Frage mit mindestens einer Einrichtung betroffenen Kreise auch keine eigenen Test-Zeitfenster mehr durch das örtliche Testzentrum für Schüler und Personal der Bildungseinrichtungen angeboten worden sind?</w:t>
            </w:r>
          </w:p>
        </w:tc>
        <w:tc>
          <w:tcPr>
            <w:tcW w:w="5764" w:type="dxa"/>
          </w:tcPr>
          <w:p w:rsidR="00C47535" w:rsidRDefault="00C47535" w:rsidP="00C47535">
            <w:pPr>
              <w:pStyle w:val="LTAnfrageText"/>
            </w:pPr>
          </w:p>
        </w:tc>
      </w:tr>
    </w:tbl>
    <w:p w:rsidR="007E0861" w:rsidRDefault="007E0861" w:rsidP="007E0861">
      <w:pPr>
        <w:pStyle w:val="LTUeberschrAntwortRessort"/>
      </w:pPr>
      <w:r>
        <w:t>Antwort des Staatsministeriums für Gesundheit und Pflege</w:t>
      </w:r>
      <w:r w:rsidR="000F370E">
        <w:t xml:space="preserve"> in Abstimmung mit den Staatsministerien für Unterricht und Kultus sowie Familie, Arbeit und Soziales</w:t>
      </w:r>
    </w:p>
    <w:p w:rsidR="007E0861" w:rsidRDefault="007E0861" w:rsidP="007E0861">
      <w:pPr>
        <w:pStyle w:val="LTAntwortRessortText"/>
      </w:pPr>
      <w:r>
        <w:t xml:space="preserve">Eine Auslieferung von </w:t>
      </w:r>
      <w:r w:rsidRPr="000F370E">
        <w:rPr>
          <w:u w:val="single"/>
        </w:rPr>
        <w:t>Impfdosen</w:t>
      </w:r>
      <w:r>
        <w:t xml:space="preserve"> (s. F</w:t>
      </w:r>
      <w:r w:rsidR="00B76F64">
        <w:t>ragestellung) an Schulen und Kit</w:t>
      </w:r>
      <w:r>
        <w:t>as ist weder erfolgt, noch ist eine solche Auslieferung geplant.</w:t>
      </w:r>
    </w:p>
    <w:p w:rsidR="007E0861" w:rsidRDefault="007E0861" w:rsidP="008D0F1A">
      <w:pPr>
        <w:pStyle w:val="LTAntwortRessortText"/>
        <w:spacing w:before="0"/>
      </w:pPr>
      <w:r>
        <w:t xml:space="preserve">Dagegen wurden sukzessive bis zum 15.03.2021 </w:t>
      </w:r>
      <w:r w:rsidRPr="000F370E">
        <w:rPr>
          <w:u w:val="single"/>
        </w:rPr>
        <w:t>alle</w:t>
      </w:r>
      <w:r>
        <w:t xml:space="preserve"> Kreisverwaltungsbehörden mit Selbsttests beliefert. Die Kreisverwaltungsbehörden übernehmen die Weiterverteilung der Selbsttests an die Schulen bzw. Kinderbetreuungseinrichtungen und die Kindertagespflege. Eine Abfrage an allen Bildungseinrichtungen des Freistaat</w:t>
      </w:r>
      <w:r w:rsidR="00343C38">
        <w:t>e</w:t>
      </w:r>
      <w:r>
        <w:t>s ist im Rahmen der zur Verfügung stehenden Zeit nicht möglich. Die teilnehmenden Einrichtungen teilen zur Bedarfsermittlung und -deckung in anonymisierter Form die Zahl der durchgeführten und verwendeten Tests der Kreisverwaltungsbehörde in geeigneter Weise wöchentlich mit.</w:t>
      </w:r>
    </w:p>
    <w:p w:rsidR="007E0861" w:rsidRDefault="007E0861" w:rsidP="008D0F1A">
      <w:pPr>
        <w:pStyle w:val="LTAntwortRessortText"/>
        <w:spacing w:before="0"/>
      </w:pPr>
      <w:r>
        <w:t>Rückmeldungen zufolge hat die überwiegende Mehrheit der anfragenden Schulen Test-Zeitfenster erhalten. Eine detaillierte Abfrage bei den Schulen ist in der Kürze der Zeit vor dem Hintergrund der pandemiebedingten Belastungen jedoch nicht abbildbar. Gleiches gilt für die Kitas.</w:t>
      </w:r>
    </w:p>
    <w:p w:rsidR="007E0861" w:rsidRDefault="007E0861">
      <w:bookmarkStart w:id="127" w:name="Frage_Nr_63_Ende"/>
      <w:bookmarkEnd w:id="127"/>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001DD" w:rsidTr="001001DD">
        <w:tc>
          <w:tcPr>
            <w:tcW w:w="1883" w:type="dxa"/>
          </w:tcPr>
          <w:p w:rsidR="001001DD" w:rsidRDefault="001001DD" w:rsidP="001001DD">
            <w:pPr>
              <w:pStyle w:val="LTAnfrageInitiator"/>
            </w:pPr>
            <w:r>
              <w:lastRenderedPageBreak/>
              <w:t>Abgeordneter</w:t>
            </w:r>
            <w:r>
              <w:rPr>
                <w:b/>
              </w:rPr>
              <w:br/>
              <w:t>Jürgen</w:t>
            </w:r>
            <w:r>
              <w:rPr>
                <w:b/>
              </w:rPr>
              <w:br/>
              <w:t>Mistol</w:t>
            </w:r>
            <w:r>
              <w:rPr>
                <w:b/>
              </w:rPr>
              <w:br/>
            </w:r>
            <w:r>
              <w:t>(BÜNDNIS 90/DIE GRÜNEN)</w:t>
            </w:r>
            <w:bookmarkStart w:id="128" w:name="Frage_Nr_64"/>
            <w:bookmarkEnd w:id="128"/>
          </w:p>
        </w:tc>
        <w:tc>
          <w:tcPr>
            <w:tcW w:w="5733" w:type="dxa"/>
          </w:tcPr>
          <w:p w:rsidR="001001DD" w:rsidRPr="00B72724" w:rsidRDefault="001001DD" w:rsidP="00B72724">
            <w:pPr>
              <w:pStyle w:val="LTAnfrageText"/>
            </w:pPr>
            <w:r w:rsidRPr="00B72724">
              <w:t>Im Zusammenhang mit dem Bestechungsskandal gegen MdB Georg Nüßlein frage ich die Staatsregierung, ob ihr vor der Aufhebung der Immunität von MdB Georg Nüßlein bekannt war, dass dieser offenbar Provisionen für seine Tätigkeiten im Zusammenhang mit Pandemiebeschaffungsverträgen erhalten hatte, ob sich MdB Georg Nüßlein in seiner Tätigkeit als Vermittler von Pandemiebeschaffungsgütern auch an die Staatsregierung, bayerische Ministerien, deren nachgelagerte Behörden oder an Mitglieder des Landtags gewendet hat und wenn ja, an wen?  </w:t>
            </w:r>
          </w:p>
        </w:tc>
        <w:tc>
          <w:tcPr>
            <w:tcW w:w="5733" w:type="dxa"/>
          </w:tcPr>
          <w:p w:rsidR="001001DD" w:rsidRDefault="001001DD" w:rsidP="001001DD">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Der Sachverhalt ist Gegenstand der laufenden Ermittlungen der Generalstaatsanwaltschaft München. Weitere Informationen können hierzu nicht erteilt werden.</w:t>
      </w:r>
    </w:p>
    <w:p w:rsidR="007E0861" w:rsidRDefault="007E0861" w:rsidP="007E0861">
      <w:pPr>
        <w:pStyle w:val="LTAntwortRessortText"/>
      </w:pPr>
      <w:r>
        <w:t xml:space="preserve">Im Übrigen ist eine Beantwortung der umfassend angelegten Fragestellung zu Beschaffungsvorgängen der bayerischen Staatsverwaltung über persönliche Schutzausrüstungen während der </w:t>
      </w:r>
      <w:r w:rsidR="00B832D1">
        <w:t>Coronapandemie</w:t>
      </w:r>
      <w:r>
        <w:t xml:space="preserve"> aufgrund der Kürze der für die Beantwortung einer Anfrage zum Plenum zur Verfügung stehenden Zeit nicht leistbar. Die Anfrage erstreckt sich auf alle Ressorts unter Einbindung des jeweils nachgeordneten Bereichs, was eine entsprechende Abfrage und Recherche erforderlich machen würde, zugleich wäre eine Abstimmung mit der Generalstaatsanwaltschaft München angezeigt.</w:t>
      </w:r>
    </w:p>
    <w:p w:rsidR="007E0861" w:rsidRDefault="007E0861" w:rsidP="007E0861">
      <w:pPr>
        <w:pStyle w:val="LTAntwortRessortText"/>
      </w:pPr>
      <w:r>
        <w:t xml:space="preserve">Ferner wird darauf hingewiesen, dass nach den Verhaltensregeln für die Mitglieder des Deutschen Bundestags (Anlage 1 zur Geschäftsordnung des Deutschen Bundestags), die sich der Bundestag aufgrund von § 44b </w:t>
      </w:r>
      <w:r w:rsidR="00B76F64">
        <w:t>Abgeordnetengesetz (</w:t>
      </w:r>
      <w:r>
        <w:t>AbgG</w:t>
      </w:r>
      <w:r w:rsidR="00B76F64">
        <w:t>)</w:t>
      </w:r>
      <w:r>
        <w:t xml:space="preserve"> selbst gegeben hat, </w:t>
      </w:r>
      <w:r w:rsidR="00102307">
        <w:t>u. a.</w:t>
      </w:r>
      <w:r>
        <w:t xml:space="preserve"> bestimmte entgeltliche Tätigkeiten neben dem Mandat, die selbstständig oder im Rahmen eines Anstellungsverhältnisses ausgeübt werden, dem Präsidenten des Deutschen Bundestags schriftlich anzuzeigen sind. Die Erfüllung dieser Anzeigepflicht obliegt nicht der Kontrolle der Bayerischen Staatsregierung.</w:t>
      </w:r>
    </w:p>
    <w:p w:rsidR="007E0861" w:rsidRDefault="007E0861">
      <w:bookmarkStart w:id="129" w:name="Frage_Nr_64_Ende"/>
      <w:bookmarkEnd w:id="129"/>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1001DD" w:rsidTr="001001DD">
        <w:tc>
          <w:tcPr>
            <w:tcW w:w="1854" w:type="dxa"/>
          </w:tcPr>
          <w:p w:rsidR="001001DD" w:rsidRDefault="001001DD" w:rsidP="001001DD">
            <w:pPr>
              <w:pStyle w:val="LTAnfrageInitiator"/>
            </w:pPr>
            <w:r>
              <w:lastRenderedPageBreak/>
              <w:t>Abgeordneter</w:t>
            </w:r>
            <w:r>
              <w:rPr>
                <w:b/>
              </w:rPr>
              <w:br/>
              <w:t>Alexander</w:t>
            </w:r>
            <w:r>
              <w:rPr>
                <w:b/>
              </w:rPr>
              <w:br/>
              <w:t>Muthmann</w:t>
            </w:r>
            <w:r>
              <w:rPr>
                <w:b/>
              </w:rPr>
              <w:br/>
            </w:r>
            <w:r>
              <w:t>(FDP)</w:t>
            </w:r>
            <w:bookmarkStart w:id="130" w:name="Frage_Nr_65"/>
            <w:bookmarkEnd w:id="130"/>
          </w:p>
        </w:tc>
        <w:tc>
          <w:tcPr>
            <w:tcW w:w="5762" w:type="dxa"/>
          </w:tcPr>
          <w:p w:rsidR="001001DD" w:rsidRPr="00B72724" w:rsidRDefault="001001DD" w:rsidP="00B72724">
            <w:pPr>
              <w:pStyle w:val="LTAnfrageText"/>
            </w:pPr>
            <w:r w:rsidRPr="00B72724">
              <w:t>Nachdem die Staatsregierung inzwischen der Grenzregion/Ostbayern 150 000 zusätzliche Impfdosen zugesagt hat, frage ich die Staatsregierung, wie diese auf die einzelnen Landkreise verteilt werden/bzw. verteilt werden sollen (bitte unter Angabe der Mengen je Landkreis, des Impfstoffherstellers sowie der Verteilungskriterien), welche Vorgaben die zuständigen Behörden bezüglich der Verwendung dieser Impfdosen erhalten (bitte Übermittlung des genauen Wortlauts dieser Vorgaben unter besonderer Darstellung der Prioritätenberücksichtigung sowie der Beteiligung von Haus- und Betriebsärzten an diesen Impfungen) und mit welchem zeitlichen Ablauf zu rechnen ist (bitte unter Angabe des Lieferbeginns und des voraussichtlichen Abschlusses der Lieferungen)?</w:t>
            </w:r>
          </w:p>
        </w:tc>
        <w:tc>
          <w:tcPr>
            <w:tcW w:w="5762" w:type="dxa"/>
          </w:tcPr>
          <w:p w:rsidR="001001DD" w:rsidRDefault="001001DD" w:rsidP="001001DD">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Mit Stand v</w:t>
      </w:r>
      <w:r w:rsidR="00B76F64">
        <w:t>om 15.03.2021 wurden bereits 43 </w:t>
      </w:r>
      <w:r>
        <w:t xml:space="preserve">830 Impfdosen mittels Sonderzuweisungen an Hotspots und Grenzlandkreise ausgeliefert. Weitere </w:t>
      </w:r>
      <w:r w:rsidR="00B76F64">
        <w:t>Auslieferungen im Umfang von 23 </w:t>
      </w:r>
      <w:r>
        <w:t>740 Impfdosen sind am 16.03.2021 erfolgt.</w:t>
      </w:r>
    </w:p>
    <w:p w:rsidR="007E0861" w:rsidRDefault="007E0861" w:rsidP="007E0861">
      <w:pPr>
        <w:pStyle w:val="LTAntwortRessortText"/>
      </w:pPr>
      <w:r>
        <w:t>Die Verteilung der Mengen je Impfstoffhersteller auf die einzelnen Stadt- und Landkreise und Lieferdaten kann der nachstehenden Tabelle entnommen werden. Bei den Auslieferungen vom 26.02.2021 und vom 05.03.2021 handelt es sich um Sonderzuweisungen für Hotspots (Land- und Stadtkreise mit einer Inzidenz über 100). Bei den Zuweisungen vom 09.03.2021, vom 12.03.2021 und vom 16.03.2021 handelt es sich um Sonderzuweisungen an Grenzlandkreise und grenznahe Stadt- und Landkreise mit einer Inzidenz über 100.</w:t>
      </w:r>
    </w:p>
    <w:p w:rsidR="007E0861" w:rsidRDefault="007E0861" w:rsidP="007E0861">
      <w:pPr>
        <w:pStyle w:val="LTAntwortRessortText"/>
      </w:pPr>
      <w:r>
        <w:t>Die Stadt- und Landkreise haben die Sonderzuweisungen zusätzlich zu den regulären nach Bevölkerungszahlen erfolgenden Zuweisungen zur Verwendung im Rahmen der Impfungen nach den Vorgaben der Coronavirus-Impfverordnung erhalten</w:t>
      </w:r>
      <w:r w:rsidR="006263A1">
        <w:t>, siehe beigefügte Tabelle *)</w:t>
      </w:r>
      <w:r>
        <w:t>.</w:t>
      </w:r>
    </w:p>
    <w:p w:rsidR="007E0861" w:rsidRDefault="006263A1" w:rsidP="007E0861">
      <w:pPr>
        <w:pStyle w:val="LTAntwortRessortText"/>
      </w:pPr>
      <w:r>
        <w:t xml:space="preserve">*) Von einem Abdruck wurde abgesehen. Die Tabelle ist als pdf-Dokument </w:t>
      </w:r>
      <w:hyperlink r:id="rId27" w:history="1">
        <w:r w:rsidRPr="002E02C7">
          <w:rPr>
            <w:rStyle w:val="LTHyperlinkZchn"/>
            <w:b w:val="0"/>
          </w:rPr>
          <w:t>hier</w:t>
        </w:r>
      </w:hyperlink>
      <w:r>
        <w:t xml:space="preserve"> einsehbar.</w:t>
      </w:r>
    </w:p>
    <w:p w:rsidR="006263A1" w:rsidRDefault="006263A1" w:rsidP="007E0861">
      <w:pPr>
        <w:pStyle w:val="LTAntwortRessortText"/>
      </w:pPr>
    </w:p>
    <w:p w:rsidR="007E0861" w:rsidRDefault="007E0861" w:rsidP="006263A1">
      <w:pPr>
        <w:pStyle w:val="LTAntwortRessortText"/>
        <w:ind w:left="0"/>
      </w:pPr>
    </w:p>
    <w:p w:rsidR="007E0861" w:rsidRDefault="007E0861">
      <w:bookmarkStart w:id="131" w:name="Frage_Nr_65_Ende"/>
      <w:bookmarkEnd w:id="131"/>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001DD" w:rsidTr="001001DD">
        <w:tc>
          <w:tcPr>
            <w:tcW w:w="1883" w:type="dxa"/>
          </w:tcPr>
          <w:p w:rsidR="001001DD" w:rsidRDefault="001001DD" w:rsidP="001001DD">
            <w:pPr>
              <w:pStyle w:val="LTAnfrageInitiator"/>
            </w:pPr>
            <w:r>
              <w:lastRenderedPageBreak/>
              <w:t>Abgeordnete</w:t>
            </w:r>
            <w:r>
              <w:rPr>
                <w:b/>
              </w:rPr>
              <w:br/>
              <w:t>Verena</w:t>
            </w:r>
            <w:r>
              <w:rPr>
                <w:b/>
              </w:rPr>
              <w:br/>
              <w:t>Osgyan</w:t>
            </w:r>
            <w:r>
              <w:rPr>
                <w:b/>
              </w:rPr>
              <w:br/>
            </w:r>
            <w:r>
              <w:t>(BÜNDNIS 90/DIE GRÜNEN)</w:t>
            </w:r>
            <w:bookmarkStart w:id="132" w:name="Frage_Nr_66"/>
            <w:bookmarkEnd w:id="132"/>
          </w:p>
        </w:tc>
        <w:tc>
          <w:tcPr>
            <w:tcW w:w="5733" w:type="dxa"/>
          </w:tcPr>
          <w:p w:rsidR="001001DD" w:rsidRPr="00B72724" w:rsidRDefault="001001DD" w:rsidP="00B72724">
            <w:pPr>
              <w:pStyle w:val="LTAnfrageText"/>
            </w:pPr>
            <w:r w:rsidRPr="00B72724">
              <w:t>Nachdem im Zusammenhang mit dem Bestechungsskandal um MdB Georg Nüßlein bekannt geworden ist, dass MdL Alfred Sauter einen Vertrag mit dem Staatsministerium für Gesundheit und Pflege erstellt hat, frage ich die Staatsregierung, welchen Wortlaut dieser Vertrag hat, ob der Freistaat Bayern hierfür eine Vergütung entrichtet hat und wenn ja, wie hoch diese war?</w:t>
            </w:r>
          </w:p>
        </w:tc>
        <w:tc>
          <w:tcPr>
            <w:tcW w:w="5733" w:type="dxa"/>
          </w:tcPr>
          <w:p w:rsidR="001001DD" w:rsidRDefault="001001DD" w:rsidP="001001DD">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 xml:space="preserve">Im März 2020 hat die Rechtsanwaltskanzlei Sauter &amp; Wurm im Auftrag der Firma </w:t>
      </w:r>
      <w:r w:rsidR="00102307">
        <w:t>„</w:t>
      </w:r>
      <w:r>
        <w:t>Lomotex GmbH &amp; Co. KG</w:t>
      </w:r>
      <w:r w:rsidR="00102307">
        <w:t>“</w:t>
      </w:r>
      <w:r>
        <w:t xml:space="preserve"> einen Vertrag zum Ankauf von Schutzmasken ausgefertigt und dem St</w:t>
      </w:r>
      <w:r w:rsidR="003410E5">
        <w:t>aatsministerium für Gesundheit und Pflege (St</w:t>
      </w:r>
      <w:r>
        <w:t>MGP</w:t>
      </w:r>
      <w:r w:rsidR="003410E5">
        <w:t>)</w:t>
      </w:r>
      <w:r>
        <w:t xml:space="preserve"> geschickt. Nach entsprechender juristischer sowie fachlicher Prüfung wurde ein Vertrag über den Kauf von rund 3,5</w:t>
      </w:r>
      <w:r w:rsidR="003410E5">
        <w:t xml:space="preserve"> Mio. Schutzmasken (FFP2/</w:t>
      </w:r>
      <w:r>
        <w:t>FFP3) für einen Betrag von 14.250.000 Euro abgeschlossen. Eine Zahlung für eine Vermittlungstätigkeit war weder Gegenstand des geschlossenen Vertrages, noch wurde eine solche seitens des StMGP geleistet.</w:t>
      </w:r>
    </w:p>
    <w:p w:rsidR="007E0861" w:rsidRDefault="007E0861">
      <w:bookmarkStart w:id="133" w:name="Frage_Nr_66_Ende"/>
      <w:bookmarkEnd w:id="133"/>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001DD" w:rsidTr="001001DD">
        <w:tc>
          <w:tcPr>
            <w:tcW w:w="1883" w:type="dxa"/>
          </w:tcPr>
          <w:p w:rsidR="001001DD" w:rsidRDefault="001001DD" w:rsidP="001001DD">
            <w:pPr>
              <w:pStyle w:val="LTAnfrageInitiator"/>
            </w:pPr>
            <w:r>
              <w:lastRenderedPageBreak/>
              <w:t>Abgeordneter</w:t>
            </w:r>
            <w:r>
              <w:rPr>
                <w:b/>
              </w:rPr>
              <w:br/>
              <w:t>Tim</w:t>
            </w:r>
            <w:r>
              <w:rPr>
                <w:b/>
              </w:rPr>
              <w:br/>
              <w:t>Pargent</w:t>
            </w:r>
            <w:r>
              <w:rPr>
                <w:b/>
              </w:rPr>
              <w:br/>
            </w:r>
            <w:r>
              <w:t>(BÜNDNIS 90/DIE GRÜNEN)</w:t>
            </w:r>
            <w:bookmarkStart w:id="134" w:name="Frage_Nr_67"/>
            <w:bookmarkEnd w:id="134"/>
          </w:p>
        </w:tc>
        <w:tc>
          <w:tcPr>
            <w:tcW w:w="5733" w:type="dxa"/>
          </w:tcPr>
          <w:p w:rsidR="001001DD" w:rsidRPr="00B72724" w:rsidRDefault="001001DD" w:rsidP="00B72724">
            <w:pPr>
              <w:pStyle w:val="LTAnfrageText"/>
            </w:pPr>
            <w:r w:rsidRPr="00B72724">
              <w:t>Ich frage die Staatsregierung, wie kam der Kontakt zwischen bayerischen Ministerien oder nachgelagerten Behörden und der Dometic Germany GmbH insb. zum Kauf von Transport-Kühlboxen zustande, ist hierbei ein Mitglied des Europäischen Parlaments, Mitglied des Bundestags oder des Landtags vermittelnd oder rechtsberatend aufgetreten oder hat es bei der Ausarbeitung von Verträgen mitgewirkt?  </w:t>
            </w:r>
          </w:p>
        </w:tc>
        <w:tc>
          <w:tcPr>
            <w:tcW w:w="5733" w:type="dxa"/>
          </w:tcPr>
          <w:p w:rsidR="001001DD" w:rsidRDefault="001001DD" w:rsidP="001001DD">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Es wird auf die Antwort des St</w:t>
      </w:r>
      <w:r w:rsidR="003410E5">
        <w:t>aatsministeriums für Gesundheit und Pflege (St</w:t>
      </w:r>
      <w:r>
        <w:t>MGP</w:t>
      </w:r>
      <w:r w:rsidR="003410E5">
        <w:t>)</w:t>
      </w:r>
      <w:r>
        <w:t xml:space="preserve"> zu den Fragen 2a bis 2 c der Schriftlichen Anfrage der Abgeordneten Kerstin Celina, Patrick Friedl, Christina Haubrich, Paul Knoblach, Claudia Köhler, Tim Pargent (BÜNDNIS 90/DIE GRÜNEN) betreffend </w:t>
      </w:r>
      <w:r w:rsidR="00102307">
        <w:t>„</w:t>
      </w:r>
      <w:r>
        <w:t>Vorbereitung des Transports von temperatursensiblen Corona-Impfstoffen</w:t>
      </w:r>
      <w:r w:rsidR="00102307">
        <w:t>“</w:t>
      </w:r>
      <w:r w:rsidR="003410E5">
        <w:t xml:space="preserve">, </w:t>
      </w:r>
      <w:r>
        <w:t>Drs. 18/14424 verwiesen.</w:t>
      </w:r>
    </w:p>
    <w:p w:rsidR="007E0861" w:rsidRDefault="007E0861" w:rsidP="007E0861">
      <w:pPr>
        <w:pStyle w:val="LTAntwortRessortText"/>
      </w:pPr>
      <w:r>
        <w:t>Für das StMGP ist eine Mitwirkung eines Mitglieds des Europäischen Parlaments, des</w:t>
      </w:r>
      <w:r w:rsidR="00695DFD">
        <w:t xml:space="preserve"> </w:t>
      </w:r>
      <w:r>
        <w:t>Bundestags oder des Landtags bei der Ausarbeitung der Verträge nicht erkennbar.</w:t>
      </w:r>
    </w:p>
    <w:p w:rsidR="007E0861" w:rsidRDefault="007E0861">
      <w:bookmarkStart w:id="135" w:name="Frage_Nr_67_Ende"/>
      <w:bookmarkEnd w:id="135"/>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1001DD" w:rsidTr="001001DD">
        <w:tc>
          <w:tcPr>
            <w:tcW w:w="1854" w:type="dxa"/>
          </w:tcPr>
          <w:p w:rsidR="001001DD" w:rsidRDefault="001001DD" w:rsidP="001001DD">
            <w:pPr>
              <w:pStyle w:val="LTAnfrageInitiator"/>
            </w:pPr>
            <w:r>
              <w:lastRenderedPageBreak/>
              <w:t>Abgeordnete</w:t>
            </w:r>
            <w:r>
              <w:rPr>
                <w:b/>
              </w:rPr>
              <w:br/>
              <w:t>Doris</w:t>
            </w:r>
            <w:r>
              <w:rPr>
                <w:b/>
              </w:rPr>
              <w:br/>
              <w:t>Rauscher</w:t>
            </w:r>
            <w:r>
              <w:rPr>
                <w:b/>
              </w:rPr>
              <w:br/>
            </w:r>
            <w:r>
              <w:t>(SPD)</w:t>
            </w:r>
            <w:bookmarkStart w:id="136" w:name="Frage_Nr_68"/>
            <w:bookmarkEnd w:id="136"/>
          </w:p>
        </w:tc>
        <w:tc>
          <w:tcPr>
            <w:tcW w:w="5762" w:type="dxa"/>
          </w:tcPr>
          <w:p w:rsidR="001001DD" w:rsidRPr="00B72724" w:rsidRDefault="001001DD" w:rsidP="00B72724">
            <w:pPr>
              <w:pStyle w:val="LTAnfrageText"/>
            </w:pPr>
            <w:r w:rsidRPr="00B72724">
              <w:t>Ich frage die Staatsregierung, wie bewertet sie die durch Bundesminister für Gesundheit Jens Spahn vorgestellten Eckpunkte für eine Pflegereform 2021 und die darin geplante Halbierung des Sachleistungsbudgets für die Tagespflege gemäß § 41 Sozialgesetzbuch Elftes Buch (SGB XI), welche Maßnahmen ergreift die Staatsregierung, um diese Veränderung zu Ungunsten der Pflegebedürftigen und ihrer Angehörigen abzuwenden und welche Unterstützungsmöglichkeiten sieht die Staatsregierung für Pflegebedürftige, ihre Angehörigen sowie die Anbieter von Tagespflege, sollte sich Jens Spahn mit seinem Vorschlag durchsetzen? </w:t>
            </w:r>
          </w:p>
        </w:tc>
        <w:tc>
          <w:tcPr>
            <w:tcW w:w="5762" w:type="dxa"/>
          </w:tcPr>
          <w:p w:rsidR="001001DD" w:rsidRDefault="001001DD" w:rsidP="001001DD">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 xml:space="preserve">Die Eckpunkte des Bundesministeriums für Gesundheit für eine Pflegereform 2021 vom 04.11.2020 wurden nicht offiziell vorgelegt oder veröffentlicht. Die 97. Konferenz der Arbeits- und Sozialminister </w:t>
      </w:r>
      <w:r w:rsidR="003410E5">
        <w:t xml:space="preserve">(ASMK) </w:t>
      </w:r>
      <w:r>
        <w:t>am 26.11.2020 hat einen Beschluss zur Weiterentwicklung der Pflegeversicherung gefasst (TOP 5.10). Darin haben die Länder die in den bekannt gewordenen Eckpunkten des Bundesministeriums für Gesundheit vorgesehene Maßnahme begrüßt, den pflegebedingten Eigenanteil in stationären Einrichtungen zu begrenzen. Bayern hat dabei insbesondere die vollständige Übernahme der pflegebedingten Eigenanteile bei langen Pflegeverläufen begrüßt. Weiterhin haben die Länder Steuerzuschüsse aus dem Bundeshaushalt zur Finanzierung gesamtgesellschaftlicher Aufgaben durch die Pflegeversicherung gefordert. Daneben haben die Länder gefordert, in die weitere Diskussion über die Ausgestaltung der in den Eckpunkten vorgesehenen Maßnahmen eingebunden zu werden. Schließlich haben die Länder auf den Beschluss der 96. ASMK (TOP 5.0) zur Weiterentwicklung der Pflegeversicherung verwiesen. Darin haben sie unter anderem die Gleichbehandlung ambulanter und stationärer Versorgung sowie die Aufhebung der Sektorengrenzen in der ambulanten und stationären Langzeitpflege mit einer Stärkung von Personenzentrierung und Selbstbestimmung im Leistungsrecht der Pflegeversicherung gefordert. Es ist ein Anliegen der Staatsregierung, dass Pflegebedürftige weiterhin ein echtes Wahlrecht zwischen ambulanter und stationärer Versorgung haben und dass weiterhin ein Budget für Tagespflegeleistungen zur Verfügung steht, mit dem eine ambulante Versorgung einschließlich Entlastungsmöglichkeiten für pflegende Angehörige attraktiv bleibt. Eventuelle weitere Schritte auf Landesebene hängen davon ab, ob und mit welchem Inhalt eine Pflegereform auf Bundesebene verabschiedet wird.</w:t>
      </w:r>
    </w:p>
    <w:p w:rsidR="007E0861" w:rsidRDefault="007E0861">
      <w:bookmarkStart w:id="137" w:name="Frage_Nr_68_Ende"/>
      <w:bookmarkEnd w:id="137"/>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1001DD" w:rsidTr="001001DD">
        <w:tc>
          <w:tcPr>
            <w:tcW w:w="1856" w:type="dxa"/>
          </w:tcPr>
          <w:p w:rsidR="001001DD" w:rsidRDefault="001001DD" w:rsidP="001001DD">
            <w:pPr>
              <w:pStyle w:val="LTAnfrageInitiator"/>
            </w:pPr>
            <w:r>
              <w:lastRenderedPageBreak/>
              <w:t>Abgeordneter</w:t>
            </w:r>
            <w:r>
              <w:rPr>
                <w:b/>
              </w:rPr>
              <w:br/>
              <w:t>Jan</w:t>
            </w:r>
            <w:r>
              <w:rPr>
                <w:b/>
              </w:rPr>
              <w:br/>
              <w:t>Schiffers</w:t>
            </w:r>
            <w:r>
              <w:rPr>
                <w:b/>
              </w:rPr>
              <w:br/>
            </w:r>
            <w:r>
              <w:t>(AfD)</w:t>
            </w:r>
            <w:bookmarkStart w:id="138" w:name="Frage_Nr_69"/>
            <w:bookmarkEnd w:id="138"/>
          </w:p>
        </w:tc>
        <w:tc>
          <w:tcPr>
            <w:tcW w:w="5760" w:type="dxa"/>
          </w:tcPr>
          <w:p w:rsidR="001001DD" w:rsidRPr="004446F3" w:rsidRDefault="001001DD" w:rsidP="004446F3">
            <w:pPr>
              <w:pStyle w:val="LTAnfrageText"/>
            </w:pPr>
            <w:r w:rsidRPr="004446F3">
              <w:t>Ich frage die Staatsregierung, ab wann können die Impfungen komplett durch die niedergelassenen Ärzte übernommen werden, wie lange laufen die Mietverträge für die Impfzentren im Freistaat Bayern und werden die Impfzentren trotzdem weiterhin betrieben, auch wenn die Impfungen komplett durch die niedergelassenen Ärzte vorgenommen werden können?</w:t>
            </w:r>
          </w:p>
        </w:tc>
        <w:tc>
          <w:tcPr>
            <w:tcW w:w="5760" w:type="dxa"/>
          </w:tcPr>
          <w:p w:rsidR="001001DD" w:rsidRDefault="001001DD" w:rsidP="001001DD">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Die anstehende Einbindung der niedergelassenen Ärzte stellt eine wichtige Weiterentwicklung der Bayerischen Impfstrategie dar. Um möglichst Anfang April mit den Impfungen in den Arztpraxen beginnen zu können, hat das St</w:t>
      </w:r>
      <w:r w:rsidR="003410E5">
        <w:t>aatsministerium für Gesundheit und Pflege (St</w:t>
      </w:r>
      <w:r>
        <w:t>MGP</w:t>
      </w:r>
      <w:r w:rsidR="003410E5">
        <w:t>)</w:t>
      </w:r>
      <w:r>
        <w:t xml:space="preserve"> mit den Vorbereitungen begonnen und mit dem Bayerischen Landkreistag und dem Bayerischen Städtetag, der Kassenärztlichen Vereinigung Bayerns (KVB), der Bayerischen Landesärztekammer (BLÄK), dem Bayerischen Hausärzteverband (BHÄV) und der Bayerischen Apothekerkammer (BLAK) ein Impfbündnis geschlossen. Ebenfalls soll die ARGE Bevölkerungsschutz einbezogen werden.</w:t>
      </w:r>
    </w:p>
    <w:p w:rsidR="007E0861" w:rsidRDefault="007E0861" w:rsidP="007E0861">
      <w:pPr>
        <w:pStyle w:val="LTAntwortRessortText"/>
      </w:pPr>
      <w:r>
        <w:t>Der Bund u</w:t>
      </w:r>
      <w:r w:rsidR="00A66E79">
        <w:t>nd der Freistaat Bayern werden –</w:t>
      </w:r>
      <w:r>
        <w:t xml:space="preserve"> vorbehaltlich der Entscheidung de</w:t>
      </w:r>
      <w:r w:rsidR="00A66E79">
        <w:t>r Ministerpräsidentenkonferenz –</w:t>
      </w:r>
      <w:r>
        <w:t xml:space="preserve"> den Betrieb der Impfzentren gemäß der Coronavirus-Impfverordnung (CoronaImpfV) bis mindestens zum 30. September 2021 finanzieren. Die entsprechende rechtliche Grundlage soll nach Zusage des Bundes zeitnah geschaffen werden.</w:t>
      </w:r>
    </w:p>
    <w:p w:rsidR="007E0861" w:rsidRDefault="007E0861" w:rsidP="007E0861">
      <w:pPr>
        <w:pStyle w:val="LTAntwortRessortText"/>
      </w:pPr>
      <w:r>
        <w:t>Die Impfzentren und deren Mobile Teams werden weiterhin als eine der beiden Säulen einer schnellen und effektiven Verimpfung benötigt. Die Impfzentren werden auf Basis des erreichten Status quo weiter betrieben. Bestehende und realisierte Impfkapazitäten sollen auch weiterhin genutzt werden.</w:t>
      </w:r>
    </w:p>
    <w:p w:rsidR="007E0861" w:rsidRDefault="007E0861" w:rsidP="007E0861">
      <w:pPr>
        <w:pStyle w:val="LTAntwortRessortText"/>
      </w:pPr>
      <w:r>
        <w:t>Die Impfzentren werden durch die Kreisverwaltungsbehörden vor Ort betrieben. Zu den Laufzeiten eventueller Mietverträge liegen dem StMGP keine detaillierten Informationen vor.</w:t>
      </w:r>
    </w:p>
    <w:p w:rsidR="007E0861" w:rsidRDefault="007E0861">
      <w:bookmarkStart w:id="139" w:name="Frage_Nr_69_Ende"/>
      <w:bookmarkEnd w:id="139"/>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B4415" w:rsidTr="004B4415">
        <w:tc>
          <w:tcPr>
            <w:tcW w:w="1883" w:type="dxa"/>
          </w:tcPr>
          <w:p w:rsidR="004B4415" w:rsidRDefault="004B4415" w:rsidP="004B4415">
            <w:pPr>
              <w:pStyle w:val="LTAnfrageInitiator"/>
            </w:pPr>
            <w:r>
              <w:lastRenderedPageBreak/>
              <w:t>Abgeordneter</w:t>
            </w:r>
            <w:r>
              <w:rPr>
                <w:b/>
              </w:rPr>
              <w:br/>
              <w:t>Florian</w:t>
            </w:r>
            <w:r>
              <w:rPr>
                <w:b/>
              </w:rPr>
              <w:br/>
              <w:t>Siekmann</w:t>
            </w:r>
            <w:r>
              <w:rPr>
                <w:b/>
              </w:rPr>
              <w:br/>
            </w:r>
            <w:r>
              <w:t>(BÜNDNIS 90/DIE GRÜNEN)</w:t>
            </w:r>
            <w:bookmarkStart w:id="140" w:name="Frage_Nr_70"/>
            <w:bookmarkEnd w:id="140"/>
          </w:p>
        </w:tc>
        <w:tc>
          <w:tcPr>
            <w:tcW w:w="5733" w:type="dxa"/>
          </w:tcPr>
          <w:p w:rsidR="004B4415" w:rsidRPr="004446F3" w:rsidRDefault="004B4415" w:rsidP="004446F3">
            <w:pPr>
              <w:pStyle w:val="LTAnfrageText"/>
            </w:pPr>
            <w:r w:rsidRPr="004446F3">
              <w:t>Im Hinblick auf den Bestechungsskandal um MdB Georg Nüßlein und etwaige Verbindungen nach Bayern frage ich die Staatsregierung, welche Pandemiebeschaffungsverträge (bitte unter Nennung der Vertragspartner, des Vertragsgegenstandes und des jeweiligen Auftragsvolumens) haben bayerische Ministerien oder nachgelagerte Behörden mit welchen Firmen geschlossen, bei denen MdB Georg Nüßlein bzw. die Beratungsfirma Tectum Holding GmbH vermittelnd oder beratend beteiligt waren, und welche Stückpreise (Netto) für die erworbenen Güter wurden dabei gezahlt?</w:t>
            </w:r>
          </w:p>
        </w:tc>
        <w:tc>
          <w:tcPr>
            <w:tcW w:w="5733" w:type="dxa"/>
          </w:tcPr>
          <w:p w:rsidR="004B4415" w:rsidRDefault="004B4415" w:rsidP="004B4415">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Der Sachverhalt ist Gegenstand der laufenden Ermittlungen der Generalstaatsanwaltschaft München. Weitere Informationen können hierzu nicht erteilt werden.</w:t>
      </w:r>
    </w:p>
    <w:p w:rsidR="007E0861" w:rsidRDefault="007E0861" w:rsidP="007E0861">
      <w:pPr>
        <w:pStyle w:val="LTAntwortRessortText"/>
      </w:pPr>
      <w:r>
        <w:t xml:space="preserve">Im Übrigen ist eine Beantwortung der umfassend angelegten Fragestellung zu Beschaffungsvorgängen der bayerischen Staatsverwaltung über persönliche Schutzausrüstungen während der </w:t>
      </w:r>
      <w:r w:rsidR="00B832D1">
        <w:t>Coronapandemie</w:t>
      </w:r>
      <w:r>
        <w:t xml:space="preserve"> aufgrund der Kürze der für die Beantwortung einer Anfrage zum Plenum zur Verfügung stehenden Zeit nicht leistbar. Die Anfrage erstreckt sich auf alle Ressorts unter Einbindung des jeweils nachgeordneten Bereichs, was eine entsprechende Abfrage und Recherche erforderlich machen würde, zugleich wäre eine Abstimmung mit der Generalstaatsanwaltschaft München angezeigt.</w:t>
      </w:r>
    </w:p>
    <w:p w:rsidR="007E0861" w:rsidRDefault="007E0861">
      <w:bookmarkStart w:id="141" w:name="Frage_Nr_70_Ende"/>
      <w:bookmarkEnd w:id="141"/>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B4415" w:rsidTr="004B4415">
        <w:tc>
          <w:tcPr>
            <w:tcW w:w="1883" w:type="dxa"/>
          </w:tcPr>
          <w:p w:rsidR="004B4415" w:rsidRDefault="004B4415" w:rsidP="004B4415">
            <w:pPr>
              <w:pStyle w:val="LTAnfrageInitiator"/>
            </w:pPr>
            <w:r>
              <w:lastRenderedPageBreak/>
              <w:t>Abgeordnete</w:t>
            </w:r>
            <w:r>
              <w:rPr>
                <w:b/>
              </w:rPr>
              <w:br/>
              <w:t>Ursula</w:t>
            </w:r>
            <w:r>
              <w:rPr>
                <w:b/>
              </w:rPr>
              <w:br/>
              <w:t>Sowa</w:t>
            </w:r>
            <w:r>
              <w:rPr>
                <w:b/>
              </w:rPr>
              <w:br/>
            </w:r>
            <w:r>
              <w:t>(BÜNDNIS 90/DIE GRÜNEN)</w:t>
            </w:r>
            <w:bookmarkStart w:id="142" w:name="Frage_Nr_71"/>
            <w:bookmarkEnd w:id="142"/>
          </w:p>
        </w:tc>
        <w:tc>
          <w:tcPr>
            <w:tcW w:w="5733" w:type="dxa"/>
          </w:tcPr>
          <w:p w:rsidR="004B4415" w:rsidRPr="004446F3" w:rsidRDefault="004B4415" w:rsidP="004446F3">
            <w:pPr>
              <w:pStyle w:val="LTAnfrageText"/>
            </w:pPr>
            <w:r w:rsidRPr="004446F3">
              <w:t>Vor dem Hintergrund, dass der Ministerrat am 12.01.2021 beschlossen hat, dass ab Montag, 18.01.2021, in den öffentlichen Verkehrsmitteln des Nahverkehrs und den dazugehörigen Einrichtungen im Freistaat Bayern die Pflicht zum Tragen einer FFP2-Maske oder einer Maske mit vergleichbarer Schutzwirkung gilt, frage ich die Staatsregierung, wie hat sie dafür Sorge getragen, dass genügend FFP2-Masken für alle Bürgerinnen und Bürger in Bayern zu dem Zeitpunkt vorhanden waren, welche Angebote lagen der Staatsregierung bei den jeweiligen Käufen, für die die bisherigen Vergabekriterien aufgehoben wurden, vor und welche Stückpreise wurden von der Staatsregierung für FFP2-Masken an welche Firmen gezahlt?</w:t>
            </w:r>
          </w:p>
        </w:tc>
        <w:tc>
          <w:tcPr>
            <w:tcW w:w="5733" w:type="dxa"/>
          </w:tcPr>
          <w:p w:rsidR="004B4415" w:rsidRDefault="004B4415" w:rsidP="004B4415">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Zur und seit Einführung der in der Anfrage in Bezug genommenen Maskenpflichten sind keine Versorgungsengpässe im Bereich von FFP2- oder vergleichbaren Masken für Bürgerinnen und Bürger aufgetreten. Das Marktangebot erwies sich ungeachtet der höheren Nachfrage als stabil. Für den Fall, dass dennoch Versorgungsengpässe aufgetreten wären, hätte der Freistaat Bayern zur Überbrückung auf staatliche Bestände insbesondere im Bayerischen Pandemiezentrallager zurückgreifen können. Nach Einführung der besagten Maskenpflicht wurden tatsächlich auch bereits FFP2-Masken aus staatlichen Beständen an Bürgerinnen und Bürger ausgegeben, allerdings nicht zur Überbrückung von Versorgungsengpässen, sondern zur vorsorglichen Abmilderung sozialer Härten durch kostenlose Abgabe von zunächst jeweils fünf FFP2- oder vergleichbaren Masken an Bedürftige.</w:t>
      </w:r>
    </w:p>
    <w:p w:rsidR="007E0861" w:rsidRDefault="007E0861" w:rsidP="007E0861">
      <w:pPr>
        <w:pStyle w:val="LTAntwortRessortText"/>
      </w:pPr>
      <w:r>
        <w:t xml:space="preserve">Im Übrigen wurden Vergabekriterien bei den durchgeführten Vergabeverfahren zu keiner Zeit </w:t>
      </w:r>
      <w:r w:rsidR="00102307">
        <w:t>„</w:t>
      </w:r>
      <w:r>
        <w:t>aufgehoben</w:t>
      </w:r>
      <w:r w:rsidR="00102307">
        <w:t>“</w:t>
      </w:r>
      <w:r>
        <w:t>.</w:t>
      </w:r>
    </w:p>
    <w:p w:rsidR="007E0861" w:rsidRDefault="007E0861">
      <w:bookmarkStart w:id="143" w:name="Frage_Nr_71_Ende"/>
      <w:bookmarkEnd w:id="143"/>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4B4415" w:rsidTr="004B4415">
        <w:tc>
          <w:tcPr>
            <w:tcW w:w="1852" w:type="dxa"/>
          </w:tcPr>
          <w:p w:rsidR="004B4415" w:rsidRDefault="004B4415" w:rsidP="004B4415">
            <w:pPr>
              <w:pStyle w:val="LTAnfrageInitiator"/>
            </w:pPr>
            <w:r>
              <w:lastRenderedPageBreak/>
              <w:t>Abgeordneter</w:t>
            </w:r>
            <w:r>
              <w:rPr>
                <w:b/>
              </w:rPr>
              <w:br/>
              <w:t>Dr. Dominik</w:t>
            </w:r>
            <w:r>
              <w:rPr>
                <w:b/>
              </w:rPr>
              <w:br/>
              <w:t>Spitzer</w:t>
            </w:r>
            <w:r>
              <w:rPr>
                <w:b/>
              </w:rPr>
              <w:br/>
            </w:r>
            <w:r>
              <w:t>(FDP)</w:t>
            </w:r>
            <w:bookmarkStart w:id="144" w:name="Frage_Nr_72"/>
            <w:bookmarkEnd w:id="144"/>
          </w:p>
        </w:tc>
        <w:tc>
          <w:tcPr>
            <w:tcW w:w="5764" w:type="dxa"/>
          </w:tcPr>
          <w:p w:rsidR="004B4415" w:rsidRPr="004446F3" w:rsidRDefault="004B4415" w:rsidP="004446F3">
            <w:pPr>
              <w:pStyle w:val="LTAnfrageText"/>
            </w:pPr>
            <w:r w:rsidRPr="004446F3">
              <w:t>Ich frage die Staatsregierung, ob durch das zuständige Staatsministerium im Zusammenhang mit dem Coronavirus-Geschehen seit März 2020 spezielle Weisungen an die nachgeordneten Behörden zur Qualifikation und Überwachung des probenehmenden Personals und der die Proben bearbeitenden Labore ergangen sind (falls ja, bitte Nennung der Schreiben mit Datum), wie viele Vor-Ort-Kontrollen (Anzahl) durch die zuständigen Landesbehörden (bitte benennen) seit März 2020 zur Einhaltung der Richtlinien der Bundesärztekammer zur Qualitätssicherung laboratoriumsmedizinischer Untersuchungen (Rili BÄK) bei diesen Laboren erfolgten und ob der Staatsregierung inzwischen bekannt ist, wie viele dieser Labore seit März 2020 zumindest zeitweise mit nicht kompatiblen Testsystemen und/oder nicht nur für das SARS-CoV-2 spezifischen Testsystemen gearbeitet haben (falls ja, bitte Nennung Anzahl der Labore aufgegliedert nach Regierungsbezirken, einschließlich des medienbekannten Falls eines Labors im Regierungsbezirk Schwaben)?</w:t>
            </w:r>
          </w:p>
        </w:tc>
        <w:tc>
          <w:tcPr>
            <w:tcW w:w="5764" w:type="dxa"/>
          </w:tcPr>
          <w:p w:rsidR="004B4415" w:rsidRDefault="004B4415" w:rsidP="004B4415">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 xml:space="preserve">Auf die Antwort zu den Fragen 1.1 bis 2.3 der Schriftlichen Anfrage der Abgeordneten </w:t>
      </w:r>
      <w:r w:rsidR="00CB2060">
        <w:t xml:space="preserve">Christina </w:t>
      </w:r>
      <w:r>
        <w:t>Haubrich vom 17.11.202</w:t>
      </w:r>
      <w:r w:rsidR="00CB2060">
        <w:t xml:space="preserve">0 (druckgelegt am 19.02.2021 </w:t>
      </w:r>
      <w:r>
        <w:t>Drs</w:t>
      </w:r>
      <w:r w:rsidR="00CB2060">
        <w:t>.</w:t>
      </w:r>
      <w:r>
        <w:t xml:space="preserve"> 18/12229, Seite 2) wird Bezug genommen.</w:t>
      </w:r>
    </w:p>
    <w:p w:rsidR="007E0861" w:rsidRDefault="007E0861">
      <w:bookmarkStart w:id="145" w:name="Frage_Nr_72_Ende"/>
      <w:bookmarkEnd w:id="145"/>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77973" w:rsidTr="00077973">
        <w:tc>
          <w:tcPr>
            <w:tcW w:w="1883" w:type="dxa"/>
          </w:tcPr>
          <w:p w:rsidR="00077973" w:rsidRDefault="00077973" w:rsidP="00077973">
            <w:pPr>
              <w:pStyle w:val="LTAnfrageInitiator"/>
            </w:pPr>
            <w:r>
              <w:lastRenderedPageBreak/>
              <w:t>Abgeordnete</w:t>
            </w:r>
            <w:r>
              <w:rPr>
                <w:b/>
              </w:rPr>
              <w:br/>
              <w:t>Rosi</w:t>
            </w:r>
            <w:r>
              <w:rPr>
                <w:b/>
              </w:rPr>
              <w:br/>
              <w:t>Steinberger</w:t>
            </w:r>
            <w:r>
              <w:rPr>
                <w:b/>
              </w:rPr>
              <w:br/>
            </w:r>
            <w:r>
              <w:t>(BÜNDNIS 90/DIE GRÜNEN)</w:t>
            </w:r>
            <w:bookmarkStart w:id="146" w:name="Frage_Nr_73"/>
            <w:bookmarkEnd w:id="146"/>
          </w:p>
        </w:tc>
        <w:tc>
          <w:tcPr>
            <w:tcW w:w="5733" w:type="dxa"/>
          </w:tcPr>
          <w:p w:rsidR="00077973" w:rsidRPr="004446F3" w:rsidRDefault="00077973" w:rsidP="004446F3">
            <w:pPr>
              <w:pStyle w:val="LTAnfrageText"/>
            </w:pPr>
            <w:r w:rsidRPr="004446F3">
              <w:t>Ich frage die Staatsregierung, wie sieht die Impfstrategie für Lehrkräfte und Erzieherinnen bzw. Erzieher an bayerischen Schulen und Kinderbetreuungseinrichtungen aus und bis wann sollen diese Personengruppen vollständig geimpft sein? </w:t>
            </w:r>
          </w:p>
        </w:tc>
        <w:tc>
          <w:tcPr>
            <w:tcW w:w="5733" w:type="dxa"/>
          </w:tcPr>
          <w:p w:rsidR="00077973" w:rsidRDefault="00077973" w:rsidP="00077973">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Mit der Änderung der Coronavirus-Impfverordnung (CoronaImpfV) des Bundesgesundheitsministeriums vom 24.02.2021 erfolgte eine Höherpriorisierung des Personals an Grund- und Förderschulen und Kitas in die Stufe 2 (hohe Impfpriorität).</w:t>
      </w:r>
    </w:p>
    <w:p w:rsidR="007E0861" w:rsidRDefault="007E0861" w:rsidP="007E0861">
      <w:pPr>
        <w:pStyle w:val="LTAntwortRessortText"/>
      </w:pPr>
      <w:r>
        <w:t>Aufgrund der damaligen Sach- und Rechtslage und der damaligen Empfehlung, Impfstoff der Firma AstraZeneca nicht an Personen ab 65 Jahre zu verimpfen, konnte bereits mit den Impfungen dieses Personenkreises begonnen werden, da die CoronaImpfV mit AstraZeneca den Übergang zur nächstniedrigeren Impfpriorität erlaubte, wenn für die registrierten, noch nicht g</w:t>
      </w:r>
      <w:r w:rsidR="003410E5">
        <w:t>eimpften Personen der Priorität </w:t>
      </w:r>
      <w:r>
        <w:t>1 dieser Impfstoff wegen seiner Altersempfehlung nicht in Betracht kam.</w:t>
      </w:r>
    </w:p>
    <w:p w:rsidR="007E0861" w:rsidRDefault="007E0861" w:rsidP="001F27E4">
      <w:pPr>
        <w:pStyle w:val="LTAntwortRessortText"/>
        <w:spacing w:before="0"/>
      </w:pPr>
      <w:r>
        <w:t>Die Staatsregierung hat bereits am 25.02.2021 ein entsprechendes Konzept zur Impfung dieses Personenkreises verabschiedet, welches ein Impfangebot durch Vor-Ort-Termine in den Einrichtungen, Sammeltermine in den Impfzentren oder individuell vereinbarte Termine in den Impfzentren vorsieht; die Entscheidung über das konkrete Impfangebot trifft das Impfzentrum vor Ort. Die dementsprechenden Impfungen haben bereits begonnen bzw. es wurden bereits entsprechende Termine vereinbart.</w:t>
      </w:r>
    </w:p>
    <w:p w:rsidR="007E0861" w:rsidRDefault="007E0861" w:rsidP="001F27E4">
      <w:pPr>
        <w:pStyle w:val="LTAntwortRessortText"/>
        <w:spacing w:before="0"/>
      </w:pPr>
      <w:r>
        <w:t xml:space="preserve">Dieses Konzept richtet sich an </w:t>
      </w:r>
      <w:r w:rsidR="003410E5">
        <w:t>einen Personenkreis von ca. 260 </w:t>
      </w:r>
      <w:r>
        <w:t xml:space="preserve">000 Personen </w:t>
      </w:r>
      <w:r w:rsidR="003410E5">
        <w:br/>
        <w:t>(ca. 85 000 an Grundschulen, 25 000 an Förderschulen, 150 </w:t>
      </w:r>
      <w:r>
        <w:t>000 an Kinderbetreuungseinrichtungen).</w:t>
      </w:r>
    </w:p>
    <w:p w:rsidR="007E0861" w:rsidRDefault="007E0861" w:rsidP="001F27E4">
      <w:pPr>
        <w:pStyle w:val="LTAntwortRessortText"/>
        <w:spacing w:before="0"/>
      </w:pPr>
      <w:r>
        <w:t>Das Konzept kann aus Sicht der Staatsregierung bei Erreichung der Prioritätsstufe</w:t>
      </w:r>
      <w:r w:rsidR="003410E5">
        <w:t> </w:t>
      </w:r>
      <w:r>
        <w:t>3 als Grundlage für ein Konzept für das in dieser Stufe angesiedelte Personal an sonstigen Schulen und in der sonstigen Kinder-</w:t>
      </w:r>
      <w:r w:rsidR="003410E5">
        <w:t xml:space="preserve"> und Jugendhilfe dienen (ca. 38 </w:t>
      </w:r>
      <w:r>
        <w:t xml:space="preserve">000 </w:t>
      </w:r>
      <w:r w:rsidR="003410E5">
        <w:t>Lehrkräfte an Gymnasien, ca. 21 </w:t>
      </w:r>
      <w:r>
        <w:t>000 Lehr</w:t>
      </w:r>
      <w:r w:rsidR="003410E5">
        <w:t>kräfte an Mittelschulen, ca. 18 </w:t>
      </w:r>
      <w:r>
        <w:t>000 Le</w:t>
      </w:r>
      <w:r w:rsidR="003410E5">
        <w:t>hrkräfte an Realschulen, ca. 33 </w:t>
      </w:r>
      <w:r>
        <w:t xml:space="preserve">000 Lehrkräfte </w:t>
      </w:r>
      <w:r w:rsidR="003410E5">
        <w:t>an Beruflichen Schulen; ca. 110 </w:t>
      </w:r>
      <w:r>
        <w:t>000 Beschäftigte in der sonstigen Kinder</w:t>
      </w:r>
      <w:r w:rsidR="003410E5">
        <w:t>- und Jugendhilfe, davon ca. 90 </w:t>
      </w:r>
      <w:r>
        <w:t>000 Ehrenamtliche). Der Impffortschritt bei diesen Personengruppen hängt maßgeblich von der Verfügbarkeit von Impfstoff bzw. der Impfwilligkeit der weiteren jeweils Berechtigten ab.</w:t>
      </w:r>
    </w:p>
    <w:p w:rsidR="007E0861" w:rsidRDefault="007E0861" w:rsidP="001F27E4">
      <w:pPr>
        <w:pStyle w:val="LTAntwortRessortText"/>
        <w:spacing w:before="0"/>
      </w:pPr>
      <w:r>
        <w:t xml:space="preserve">Nach der inzwischen geänderten Impfempfehlung der Ständigen Impfkommission </w:t>
      </w:r>
      <w:r w:rsidR="003410E5">
        <w:t xml:space="preserve">(STIKO) </w:t>
      </w:r>
      <w:r>
        <w:t>be</w:t>
      </w:r>
      <w:r w:rsidR="003410E5">
        <w:t xml:space="preserve">im Robert Koch-Institut </w:t>
      </w:r>
      <w:r>
        <w:t>wird der Impfstoff der Firma AstraZeneca nun auch für Personen über 65 Jahre empfohlen. Auch bei der Verwendung dieses Impfstoffs ist grundsätzlich zunächst die höhere Priorität vor der niedrigeren Priorität zu prüfen; derzeit ist die Impfung mit diesem Impfstoff jedoch aufgrund der aktuellen Empfehlung des Paul-Ehrlich-Instituts ohnehin ausgesetzt. An den</w:t>
      </w:r>
      <w:r w:rsidR="00695DFD">
        <w:t xml:space="preserve"> </w:t>
      </w:r>
      <w:r>
        <w:t>bereits vereinbarten Terminen ist jedoch ungeachtet der geänderten Impfempfehlung und der Aussetzung der Impfung mit diesem Impfstoff bei entsprechender Verfügbarkeit von Impfstoff aus organisatorischen Gründen festzuhalten. Die CoronaImpfV gibt hierfür ausdrücklich mit § 1 Abs. 3 Satz 1 (bisher § 1 Abs. 2 Satz 3) CoronaImpfV den nötigen Spielraum.</w:t>
      </w:r>
    </w:p>
    <w:p w:rsidR="007E0861" w:rsidRDefault="007E0861" w:rsidP="007E0861">
      <w:pPr>
        <w:pStyle w:val="LTAntwortRessortText"/>
      </w:pPr>
      <w:r>
        <w:t>Für das weitere Vorgehen sollten ebenfalls organisatorische Aspekte Berücksichtigung finden. Soweit über 80-Jähri</w:t>
      </w:r>
      <w:r w:rsidR="003410E5">
        <w:t>ge nicht in ausreichender Zahl –</w:t>
      </w:r>
      <w:r>
        <w:t xml:space="preserve"> etwa mangels </w:t>
      </w:r>
      <w:r>
        <w:lastRenderedPageBreak/>
        <w:t>hinreichender</w:t>
      </w:r>
      <w:r w:rsidR="003410E5">
        <w:t xml:space="preserve"> Mobilität –</w:t>
      </w:r>
      <w:r>
        <w:t xml:space="preserve"> einen Termin im Impfzentrum wahrnehmen können, Schutzimpfungen für Lehrkräfte und Erzieher indessen als Kohortenimpfungen durch den Einsatz Mobiler Impfteams oder über Terminslots in den Impfzentren unproblematisch durchgeführt werden können, erscheint es zulässig und sinnvoll, derartige Wege zu beschreiten.</w:t>
      </w:r>
    </w:p>
    <w:p w:rsidR="007E0861" w:rsidRDefault="007E0861">
      <w:bookmarkStart w:id="147" w:name="Frage_Nr_73_Ende"/>
      <w:bookmarkEnd w:id="147"/>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A43E3C" w:rsidTr="00A43E3C">
        <w:tc>
          <w:tcPr>
            <w:tcW w:w="1854" w:type="dxa"/>
          </w:tcPr>
          <w:p w:rsidR="00A43E3C" w:rsidRDefault="00A43E3C" w:rsidP="00A43E3C">
            <w:pPr>
              <w:pStyle w:val="LTAnfrageInitiator"/>
            </w:pPr>
            <w:r>
              <w:lastRenderedPageBreak/>
              <w:t>Abgeordnete</w:t>
            </w:r>
            <w:r>
              <w:rPr>
                <w:b/>
              </w:rPr>
              <w:br/>
              <w:t>Ruth</w:t>
            </w:r>
            <w:r>
              <w:rPr>
                <w:b/>
              </w:rPr>
              <w:br/>
              <w:t>Waldmann</w:t>
            </w:r>
            <w:r>
              <w:rPr>
                <w:b/>
              </w:rPr>
              <w:br/>
            </w:r>
            <w:r>
              <w:t>(SPD)</w:t>
            </w:r>
            <w:bookmarkStart w:id="148" w:name="Frage_Nr_74"/>
            <w:bookmarkEnd w:id="148"/>
          </w:p>
        </w:tc>
        <w:tc>
          <w:tcPr>
            <w:tcW w:w="5762" w:type="dxa"/>
          </w:tcPr>
          <w:p w:rsidR="00A43E3C" w:rsidRPr="004446F3" w:rsidRDefault="00A43E3C" w:rsidP="004446F3">
            <w:pPr>
              <w:pStyle w:val="LTAnfrageText"/>
            </w:pPr>
            <w:r w:rsidRPr="004446F3">
              <w:t>Ich frage die Staatsregierung, warum erhalten die staatlichen Gesundheitsämter gemäß aktuellem Stellenplan des Staatsministeriums für Gesundheit und Pflege (StMGP) nur 124 der 487 und damit 25 Prozent der neuen Stellen im Öffentlichen Gesundheitsdienst (ÖGD), welche konkreten Aufgaben sind für die 163 bzw. 200 neuen ÖGD-Stellen im StMGP bzw. im Landesamt für Gesundheit und Lebensmittelsicherheit vorgesehen und warum hält sich die Staatsregierung nicht an die Vereinbarung im „Pakt für den Öffentlichen Gesundheitsdienst“ grundsätzlich 90 Prozent der neuen Stellen an den unteren Gesundheitsbehörden einzurichten?</w:t>
            </w:r>
          </w:p>
        </w:tc>
        <w:tc>
          <w:tcPr>
            <w:tcW w:w="5762" w:type="dxa"/>
          </w:tcPr>
          <w:p w:rsidR="00A43E3C" w:rsidRDefault="00A43E3C" w:rsidP="00A43E3C">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 xml:space="preserve">Der Pakt für den ÖGD fordert für das Jahr 2021 in Bayern insgesamt mindestens 237 neue Stellen. Davon sind 90 </w:t>
      </w:r>
      <w:r w:rsidR="00102307">
        <w:t>Prozent</w:t>
      </w:r>
      <w:r>
        <w:t>, also 213 Stellen, an den unteren Gesundheitsbehörden auszubringen. Nach Abzug der auf die kommunalen Gesundheitsämter entfallenden 42 Stellen verbleiben insgesamt 171 neue Stellen, die an den unteren staatlichen Gesundheitsbehörden auszubringen sind. Hierzu zählen die st</w:t>
      </w:r>
      <w:r w:rsidR="003410E5">
        <w:t>aatlichen Gesundheitsämter und –</w:t>
      </w:r>
      <w:r>
        <w:t xml:space="preserve"> aufgrund de</w:t>
      </w:r>
      <w:r w:rsidR="003410E5">
        <w:t>s sehr engen Sachzusammenhangs –</w:t>
      </w:r>
      <w:r>
        <w:t xml:space="preserve"> auch die Regierungen. Im Zusammenhang mit dem ÖGD-Pakt sind hierfür insgesamt 184 Stellen im Regierungsentwurf des Stellenplans ausgebracht, die sich aufgrund der Zuständigkeit für die Stellenbewirtschaftung auf die Einzelpläne 03 des St</w:t>
      </w:r>
      <w:r w:rsidR="003410E5">
        <w:t>aatsministerium des Innern, für Sport und Integration (St</w:t>
      </w:r>
      <w:r>
        <w:t>MI</w:t>
      </w:r>
      <w:r w:rsidR="003410E5">
        <w:t>)</w:t>
      </w:r>
      <w:r>
        <w:t xml:space="preserve"> und 14 des StMGP verteilen. Die geforderte Quote von 90 </w:t>
      </w:r>
      <w:r w:rsidR="00102307">
        <w:t>Prozent</w:t>
      </w:r>
      <w:r>
        <w:t xml:space="preserve"> wird also gewahrt.</w:t>
      </w:r>
    </w:p>
    <w:p w:rsidR="007E0861" w:rsidRDefault="007E0861" w:rsidP="007E0861">
      <w:pPr>
        <w:pStyle w:val="LTAntwortRessortText"/>
      </w:pPr>
      <w:r>
        <w:t xml:space="preserve">Die genannte Stellenmehrung für das StMGP dient davon losgelöst zum großen Teil der Verstetigung von bereits vorhandenen befristeten Stellen, der Verstärkung von aufgrund der Pandemie besonders betroffenen Organisationseinheiten bzw. gebildeten Schwerpunktbereichen sowie insbesondere auch dem Aufbau der zwei neuen Abteilungen (Öffentlicher Gesundheitsdienst, Gesundheitssicherheit). Das StMGP ist durch den Kampf gegen die </w:t>
      </w:r>
      <w:r w:rsidR="00B832D1">
        <w:t>Coronapandemie</w:t>
      </w:r>
      <w:r>
        <w:t xml:space="preserve"> extrem stark belastet und bedarf dringend der neuen Stellen.</w:t>
      </w:r>
    </w:p>
    <w:p w:rsidR="007E0861" w:rsidRDefault="007E0861" w:rsidP="007E0861">
      <w:pPr>
        <w:pStyle w:val="LTAntwortRessortText"/>
      </w:pPr>
      <w:r>
        <w:t xml:space="preserve">Die neu ausgebrachten Stellen für das Bayerische Landesamt für Gesundheit und Lebensmittelsicherheit werden größtenteils zum Ausbau der Task Force Infektiologie und zur Stärkung der durch die Pandemie besonders belasteten Bereiche verwendet. Ein weiterer, nicht unwesentlicher Anteil der Stellenmehrung geht auf eine </w:t>
      </w:r>
      <w:r w:rsidR="00A66E79">
        <w:t>Stellenumsetzung vom Einzelplan</w:t>
      </w:r>
      <w:r>
        <w:t xml:space="preserve"> 05 zum Aufbau des Arbeitsmedizinischen Instituts für Schulen zurück.</w:t>
      </w:r>
    </w:p>
    <w:p w:rsidR="007E0861" w:rsidRDefault="007E0861" w:rsidP="007E0861">
      <w:pPr>
        <w:pStyle w:val="LTAntwortRessortText"/>
      </w:pPr>
      <w:r>
        <w:t>Insgesamt ist festzustellen, dass die Forderungen aus dem ÖGD-Pakt durch den Freistaat Bayern</w:t>
      </w:r>
      <w:r w:rsidR="00695DFD">
        <w:t xml:space="preserve"> </w:t>
      </w:r>
      <w:r>
        <w:t>mit dem vorgesehenen Haushalt 2021 übererfüllt werden.</w:t>
      </w:r>
    </w:p>
    <w:p w:rsidR="007E0861" w:rsidRDefault="007E0861">
      <w:bookmarkStart w:id="149" w:name="Frage_Nr_74_Ende"/>
      <w:bookmarkEnd w:id="149"/>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43E3C" w:rsidTr="00A43E3C">
        <w:tc>
          <w:tcPr>
            <w:tcW w:w="1883" w:type="dxa"/>
          </w:tcPr>
          <w:p w:rsidR="00A43E3C" w:rsidRDefault="00A43E3C" w:rsidP="00A43E3C">
            <w:pPr>
              <w:pStyle w:val="LTAnfrageInitiator"/>
            </w:pPr>
            <w:r>
              <w:lastRenderedPageBreak/>
              <w:t>Abgeordnete</w:t>
            </w:r>
            <w:r>
              <w:rPr>
                <w:b/>
              </w:rPr>
              <w:br/>
              <w:t>Dr. Sabine</w:t>
            </w:r>
            <w:r>
              <w:rPr>
                <w:b/>
              </w:rPr>
              <w:br/>
              <w:t>Weigand</w:t>
            </w:r>
            <w:r>
              <w:rPr>
                <w:b/>
              </w:rPr>
              <w:br/>
            </w:r>
            <w:r>
              <w:t>(BÜNDNIS 90/DIE GRÜNEN)</w:t>
            </w:r>
            <w:bookmarkStart w:id="150" w:name="Frage_Nr_75"/>
            <w:bookmarkEnd w:id="150"/>
          </w:p>
        </w:tc>
        <w:tc>
          <w:tcPr>
            <w:tcW w:w="5733" w:type="dxa"/>
          </w:tcPr>
          <w:p w:rsidR="00A43E3C" w:rsidRPr="004446F3" w:rsidRDefault="00A43E3C" w:rsidP="004446F3">
            <w:pPr>
              <w:pStyle w:val="LTAnfrageText"/>
            </w:pPr>
            <w:r w:rsidRPr="004446F3">
              <w:t xml:space="preserve">Ich frage die Staatsregierung, ob und wenn ja, welche Pandemiebeschaffungsverträge mit bayerischen Ministerien oder nachgelagerten Behörden unter Vermittlungen von MdEP Monika Hohlmeier oder </w:t>
            </w:r>
            <w:r w:rsidRPr="003410E5">
              <w:rPr>
                <w:highlight w:val="black"/>
              </w:rPr>
              <w:t>---------------</w:t>
            </w:r>
            <w:r w:rsidRPr="004446F3">
              <w:t xml:space="preserve"> abgeschlossen (bitte unter Nennung der jeweiligen Vertragspartner und des Auftragsvolumens) wurden?  </w:t>
            </w:r>
          </w:p>
        </w:tc>
        <w:tc>
          <w:tcPr>
            <w:tcW w:w="5733" w:type="dxa"/>
          </w:tcPr>
          <w:p w:rsidR="00A43E3C" w:rsidRDefault="00A43E3C" w:rsidP="00A43E3C">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Dem Staatsministerium für Gesundheit und Pflege ist diesbezüglich lediglich der Beschaffungsvorgang zum Kauf v</w:t>
      </w:r>
      <w:r w:rsidR="003410E5">
        <w:t>on 1 Mio. Schutzmasken sowie 65 </w:t>
      </w:r>
      <w:r>
        <w:t xml:space="preserve">000 Einweg-Schutzanzügen von der Fa. </w:t>
      </w:r>
      <w:r w:rsidR="007434EE">
        <w:t>EMIX</w:t>
      </w:r>
      <w:r>
        <w:t xml:space="preserve"> Trading bekannt.</w:t>
      </w:r>
    </w:p>
    <w:p w:rsidR="007E0861" w:rsidRDefault="007E0861" w:rsidP="007E0861">
      <w:pPr>
        <w:pStyle w:val="LTAntwortRessortText"/>
      </w:pPr>
      <w:r>
        <w:t xml:space="preserve">Im Übrigen ist eine Beantwortung der umfassend angelegten Fragestellung zu Beschaffungsvorgängen der bayerischen Staatsverwaltung über persönliche Schutzausrüstungen während der </w:t>
      </w:r>
      <w:r w:rsidR="00B832D1">
        <w:t>Coronapandemie</w:t>
      </w:r>
      <w:r>
        <w:t xml:space="preserve"> aufgrund der Kürze der für die Beantwortung einer Anfrage zum Plenum zur Verfügung stehenden Zeit nicht leistbar. Die Anfrage erstreckt sich auf alle Ressorts unter Einbindung des jeweils nachgeordneten Bereichs, was eine entsprechende Abfrage und Recherche erforderlich machen würde.</w:t>
      </w:r>
    </w:p>
    <w:p w:rsidR="007E0861" w:rsidRDefault="007E0861">
      <w:bookmarkStart w:id="151" w:name="Frage_Nr_75_Ende"/>
      <w:bookmarkEnd w:id="151"/>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43E3C" w:rsidTr="00A43E3C">
        <w:tc>
          <w:tcPr>
            <w:tcW w:w="1883" w:type="dxa"/>
          </w:tcPr>
          <w:p w:rsidR="00A43E3C" w:rsidRDefault="00A43E3C" w:rsidP="00A43E3C">
            <w:pPr>
              <w:pStyle w:val="LTAnfrageInitiator"/>
            </w:pPr>
            <w:r>
              <w:lastRenderedPageBreak/>
              <w:t>Abgeordneter</w:t>
            </w:r>
            <w:r>
              <w:rPr>
                <w:b/>
              </w:rPr>
              <w:br/>
              <w:t>Christian</w:t>
            </w:r>
            <w:r>
              <w:rPr>
                <w:b/>
              </w:rPr>
              <w:br/>
              <w:t>Zwanziger</w:t>
            </w:r>
            <w:r>
              <w:rPr>
                <w:b/>
              </w:rPr>
              <w:br/>
            </w:r>
            <w:r>
              <w:t>(BÜNDNIS 90/DIE GRÜNEN)</w:t>
            </w:r>
            <w:bookmarkStart w:id="152" w:name="Frage_Nr_76"/>
            <w:bookmarkEnd w:id="152"/>
          </w:p>
        </w:tc>
        <w:tc>
          <w:tcPr>
            <w:tcW w:w="5733" w:type="dxa"/>
          </w:tcPr>
          <w:p w:rsidR="00A43E3C" w:rsidRPr="004446F3" w:rsidRDefault="00A43E3C" w:rsidP="00190AE0">
            <w:pPr>
              <w:pStyle w:val="LTAnfrageText"/>
            </w:pPr>
            <w:r w:rsidRPr="004446F3">
              <w:t>Angesichts der zuletzt hohen Schwankungen bei den gemeldeten Neuinfektionen in der Stadt Erlangen und im Landkreis Erlangen-Höchstadt, die nicht zuletzt einen signifikanten Einfluss auf die 7-Tage-Inzidenz und damit auf Öffnungen u. a. bei Schulen und im Einzelhandel in der Stadt und im Landkreis hatten, frage ich die Staatsregierung, auf welche Ursachen diese Schwankungen nach Kenntnis der Staatsregierung im Bereich des Gesundheitsamts Erlangen zurückzuführen sind (bitte aufschlüsseln nach tatsächlichen Schwankungen im Infektionsgeschehen, Meldeverzug durch Labore und Meldeverzug durch Weitergabe des Gesundheitsamts an das Landesamt für Gesundheit und Lebensmittelsicherheit unter Angabe der Ursachen des Meldeverzugs der letzten 4 Kalenderwochen), welche Kenntnisse hat die Staatsregierung zu weiteren Landkreisen bzw. kreisfreien Städte Bayerns zu den Ursachen von Meldeverzügen und damit einhergehender Schwankungen, die auf Grundlage der aktuellen Bestimmungen zu Öffnungsschritten geführt haben, die bereits wieder zurückgenommen werden mussten und wie will die Staatsregierung die Situation verbessern, damit insbesondere Schulen eine verlässliche Perspektive haben und gleichzeitig Öffnungsschritte in anderen Bereichen, sofern sie vollzogen werden, durch derartige Meldeverzüge nicht auf wacklige Beinen gestellt sind und die Logik der Infektionsschutzverordnung in gewisser Weise untergraben?</w:t>
            </w:r>
          </w:p>
        </w:tc>
        <w:tc>
          <w:tcPr>
            <w:tcW w:w="5733" w:type="dxa"/>
          </w:tcPr>
          <w:p w:rsidR="00A43E3C" w:rsidRDefault="00A43E3C" w:rsidP="00A43E3C">
            <w:pPr>
              <w:pStyle w:val="LTAnfrageText"/>
            </w:pPr>
          </w:p>
        </w:tc>
      </w:tr>
    </w:tbl>
    <w:p w:rsidR="007E0861" w:rsidRDefault="007E0861" w:rsidP="007E0861">
      <w:pPr>
        <w:pStyle w:val="LTUeberschrAntwortRessort"/>
      </w:pPr>
      <w:r>
        <w:t>Antwort des Staatsministeriums für Gesundheit und Pflege</w:t>
      </w:r>
    </w:p>
    <w:p w:rsidR="007E0861" w:rsidRDefault="007E0861" w:rsidP="007E0861">
      <w:pPr>
        <w:pStyle w:val="LTAntwortRessortText"/>
      </w:pPr>
      <w:r>
        <w:t>Ungewöhnliche Schwankungen können weder für die Stadt Erlangen und den Landkreis Erlangen-Höchstadt noch für andere Regionen in Bayern festgestellt werden.</w:t>
      </w:r>
    </w:p>
    <w:p w:rsidR="007E0861" w:rsidRDefault="007E0861" w:rsidP="007E0861">
      <w:pPr>
        <w:pStyle w:val="LTAntwortRessortText"/>
      </w:pPr>
      <w:r>
        <w:t>Die Infektionen erfolgen in der Bevölkerung nicht linear, insofern muss grundsätzlich von gewissen Schwankungen ausgegangen werden. Hinzu kommt, dass sich a</w:t>
      </w:r>
      <w:r w:rsidR="00190AE0">
        <w:t>n unterschiedlichen Tagen unter</w:t>
      </w:r>
      <w:r>
        <w:t>schiedlich viele Menschen testen lassen, sodass tageweise unters</w:t>
      </w:r>
      <w:r w:rsidR="00190AE0">
        <w:t>chiedlich viele Infektionen auf</w:t>
      </w:r>
      <w:r>
        <w:t>gedeckt und den Gesundheitsämtern gemeldet werden.</w:t>
      </w:r>
    </w:p>
    <w:p w:rsidR="007E0861" w:rsidRDefault="007E0861" w:rsidP="007E0861">
      <w:pPr>
        <w:pStyle w:val="LTAntwortRessortText"/>
      </w:pPr>
      <w:r>
        <w:t xml:space="preserve">Bei der Übermittlung der Fälle von den Gesundheitsämtern über das Bayerische Landesamt für Gesundheit und Lebensmittelsicherheit (LGL) an das Robert Koch-Institut (RKI) kann es zu einem Melde- und Übermittlungsverzug kommen, </w:t>
      </w:r>
      <w:r w:rsidR="00102307">
        <w:t>z. B.</w:t>
      </w:r>
      <w:r>
        <w:t xml:space="preserve"> wenn das örtliche Gesundheitsamt Fälle zu einem späteren als dem vereinbarten Zeitpunkt an das LGL übermittelt und diese deshalb nicht mehr am selben Tag an das RKI übermittelt werden können. Ein Übermittlungsverzug kann auch durch</w:t>
      </w:r>
      <w:r w:rsidR="00190AE0">
        <w:t xml:space="preserve"> </w:t>
      </w:r>
      <w:r>
        <w:t>technische Störungen verursacht sein. Das LGL steht im gute</w:t>
      </w:r>
      <w:r w:rsidR="00190AE0">
        <w:t>n Kontakt sowohl mit den Gesund</w:t>
      </w:r>
      <w:r>
        <w:t>heitsämtern als auch mit dem RKI, sodass etwaig aufgetretene Ursachen für einen Melde- und Übermittlungsverzug rasch behoben werden und auch in der Z</w:t>
      </w:r>
      <w:r w:rsidR="00190AE0">
        <w:t>ukunft zügig behoben werden kön</w:t>
      </w:r>
      <w:r>
        <w:t>nen.</w:t>
      </w:r>
    </w:p>
    <w:p w:rsidR="007E0861" w:rsidRDefault="007E0861" w:rsidP="007E0861">
      <w:pPr>
        <w:pStyle w:val="LTAntwortRessortText"/>
      </w:pPr>
      <w:r>
        <w:t xml:space="preserve">Bei der für weitere Öffnungsschritte maßgeblichen, vom RKI ausgewiesenen </w:t>
      </w:r>
      <w:r w:rsidR="003410E5">
        <w:br/>
      </w:r>
      <w:r>
        <w:t>7-Tage-Inzidenz liegt das Meldedatum beim Gesundheitsamt zugrunde, also das Da</w:t>
      </w:r>
      <w:r w:rsidR="00190AE0">
        <w:t>tum, an dem das örtliche Gesund</w:t>
      </w:r>
      <w:r>
        <w:t xml:space="preserve">heitsamt Kenntnis über den Fall erlangt und ihn elektronisch erfasst hat (also nicht das Datum, an dem die Daten des Falls dem RKI </w:t>
      </w:r>
      <w:r>
        <w:lastRenderedPageBreak/>
        <w:t>übermittelt werden). Insofern werden etwaige verspätete Datenlieferungen in den Berechnungen adäquat berücksichtigt.</w:t>
      </w:r>
    </w:p>
    <w:p w:rsidR="007E0861" w:rsidRDefault="007E0861" w:rsidP="007E0861">
      <w:pPr>
        <w:pStyle w:val="LTAntwortRessortText"/>
      </w:pPr>
      <w:r>
        <w:t>Die aktuellen Bestimmungen z</w:t>
      </w:r>
      <w:r w:rsidR="003410E5">
        <w:t>u Öffnungsschritten (vgl. § 3 i. </w:t>
      </w:r>
      <w:r>
        <w:t>V.</w:t>
      </w:r>
      <w:r w:rsidR="003410E5">
        <w:t> </w:t>
      </w:r>
      <w:r>
        <w:t>m.</w:t>
      </w:r>
      <w:r w:rsidR="00190AE0">
        <w:t xml:space="preserve"> mit den jeweils geltenden Rege</w:t>
      </w:r>
      <w:r>
        <w:t>lungen für die konkreten Lebensbereiche und §§ 18, 19 der Zwölften Bayerisch</w:t>
      </w:r>
      <w:r w:rsidR="00190AE0">
        <w:t>e</w:t>
      </w:r>
      <w:r w:rsidR="00790807">
        <w:t>n</w:t>
      </w:r>
      <w:r w:rsidR="00190AE0">
        <w:t xml:space="preserve"> Infektionsschutz</w:t>
      </w:r>
      <w:r>
        <w:t xml:space="preserve">maßnahmenverordnung </w:t>
      </w:r>
      <w:r w:rsidR="003410E5">
        <w:t xml:space="preserve">– </w:t>
      </w:r>
      <w:r>
        <w:t>12. BayIfSMV) schaffen eine der Dynam</w:t>
      </w:r>
      <w:r w:rsidR="00190AE0">
        <w:t>ik des Infektionsgeschehens ent</w:t>
      </w:r>
      <w:r>
        <w:t>sprechende Perspektive und fangen etwaige kurzzeitige Schwankungen in der 7-Tage-Inzidenz auf.</w:t>
      </w:r>
    </w:p>
    <w:p w:rsidR="007E0861" w:rsidRDefault="007E0861" w:rsidP="007E0861">
      <w:pPr>
        <w:pStyle w:val="LTAntwortRessortText"/>
      </w:pPr>
      <w:r>
        <w:t>Mit der 12. BayIfSMV wurde das Vorgehen bei der inzidenzabhängigen Entscheidung über Schul- und Kitafragen angepasst. Diese stellt nunmehr auf eine Wochenperspektive auf der Grundlage der jeweils am Freitag vorliegenden Daten ab (vgl.</w:t>
      </w:r>
      <w:r w:rsidR="00190AE0">
        <w:t xml:space="preserve"> Begründung der </w:t>
      </w:r>
      <w:r w:rsidR="003410E5">
        <w:t>12. BayIfSMV</w:t>
      </w:r>
      <w:r>
        <w:t xml:space="preserve"> vom 6. März 2021, BayMBl. Nr. 172).</w:t>
      </w:r>
    </w:p>
    <w:p w:rsidR="007E0861" w:rsidRDefault="007E0861" w:rsidP="007E0861">
      <w:pPr>
        <w:pStyle w:val="LTAntwortRessortText"/>
      </w:pPr>
      <w:r>
        <w:t xml:space="preserve">Die Möglichkeit, weitergehende Anordnungen </w:t>
      </w:r>
      <w:r w:rsidR="00102307">
        <w:t>z. B.</w:t>
      </w:r>
      <w:r>
        <w:t xml:space="preserve"> bei einem unvorhergesehen rasanten Anstieg der Infektionszahlen oder bei im Einzelfall offenkundiger Fehlerhafti</w:t>
      </w:r>
      <w:r w:rsidR="00190AE0">
        <w:t>gkeit der vom RKI veröffentlich</w:t>
      </w:r>
      <w:r>
        <w:t xml:space="preserve">ten Zahlen </w:t>
      </w:r>
      <w:r w:rsidR="003410E5">
        <w:t>zu treffen (§ 28 Abs. 1 der 12. </w:t>
      </w:r>
      <w:r>
        <w:t>BayIfSMV), bleibt unberührt</w:t>
      </w:r>
    </w:p>
    <w:p w:rsidR="007E0861" w:rsidRDefault="007E0861" w:rsidP="007E0861">
      <w:pPr>
        <w:pStyle w:val="LTAntwortRessortText"/>
      </w:pPr>
      <w:bookmarkStart w:id="153" w:name="Frage_Nr_76_Ende"/>
      <w:bookmarkEnd w:id="153"/>
    </w:p>
    <w:sectPr w:rsidR="007E0861" w:rsidSect="00F00864">
      <w:headerReference w:type="even" r:id="rId28"/>
      <w:headerReference w:type="default" r:id="rId29"/>
      <w:footerReference w:type="default" r:id="rId30"/>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CFD" w:rsidRDefault="00684CFD">
      <w:r>
        <w:separator/>
      </w:r>
    </w:p>
  </w:endnote>
  <w:endnote w:type="continuationSeparator" w:id="0">
    <w:p w:rsidR="00684CFD" w:rsidRDefault="006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FD" w:rsidRDefault="00684CFD"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FD" w:rsidRPr="009C32BE" w:rsidRDefault="00684CFD"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FD" w:rsidRPr="00311533" w:rsidRDefault="00684CFD"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CFD" w:rsidRDefault="00684CFD">
      <w:r>
        <w:separator/>
      </w:r>
    </w:p>
  </w:footnote>
  <w:footnote w:type="continuationSeparator" w:id="0">
    <w:p w:rsidR="00684CFD" w:rsidRDefault="00684CFD">
      <w:r>
        <w:continuationSeparator/>
      </w:r>
    </w:p>
  </w:footnote>
  <w:footnote w:id="1">
    <w:p w:rsidR="0083333B" w:rsidRPr="00C82F6C" w:rsidRDefault="0083333B" w:rsidP="0083333B">
      <w:pPr>
        <w:pStyle w:val="LTAntwortRessortText"/>
        <w:ind w:left="680" w:hanging="340"/>
        <w:rPr>
          <w:sz w:val="16"/>
        </w:rPr>
      </w:pPr>
      <w:r>
        <w:rPr>
          <w:rStyle w:val="Funotenzeichen"/>
        </w:rPr>
        <w:footnoteRef/>
      </w:r>
      <w:r>
        <w:tab/>
      </w:r>
      <w:r w:rsidRPr="00C82F6C">
        <w:rPr>
          <w:sz w:val="16"/>
        </w:rPr>
        <w:t>Quelle: Statistisches Landesamt/CEUS; für das Wintersemester 2020/2021: Vorläufige Ergebnisse aus der Studierendenstatistik für das Wintersemester 2020/21 vom 15.02.2021 (</w:t>
      </w:r>
      <w:hyperlink r:id="rId1" w:history="1">
        <w:r w:rsidRPr="007E2FED">
          <w:rPr>
            <w:rStyle w:val="LTHyperlinkZchn"/>
            <w:b w:val="0"/>
            <w:sz w:val="16"/>
          </w:rPr>
          <w:t>https://www.statistik.bayern.de/mam/statistik/bildung_soziales/hochschulen/0202_studierende_im_wintersemester_2020_21_-_vorl_ergebnis.pdf</w:t>
        </w:r>
      </w:hyperlink>
      <w:r w:rsidRPr="00C82F6C">
        <w:rPr>
          <w:sz w:val="16"/>
        </w:rPr>
        <w:t>).</w:t>
      </w:r>
    </w:p>
    <w:p w:rsidR="0083333B" w:rsidRDefault="0083333B" w:rsidP="0083333B">
      <w:pPr>
        <w:pStyle w:val="Funotentext"/>
      </w:pPr>
    </w:p>
  </w:footnote>
  <w:footnote w:id="2">
    <w:p w:rsidR="00684CFD" w:rsidRDefault="00684CFD" w:rsidP="004961D3">
      <w:pPr>
        <w:pStyle w:val="Funotentext"/>
        <w:ind w:left="340" w:hanging="340"/>
      </w:pPr>
      <w:r>
        <w:rPr>
          <w:rStyle w:val="Funotenzeichen"/>
        </w:rPr>
        <w:footnoteRef/>
      </w:r>
      <w:r>
        <w:tab/>
      </w:r>
      <w:hyperlink r:id="rId2" w:history="1">
        <w:r w:rsidRPr="00262A38">
          <w:rPr>
            <w:rStyle w:val="LTHyperlinkZchn"/>
            <w:b w:val="0"/>
            <w:sz w:val="16"/>
          </w:rPr>
          <w:t>https://www.welt.de/politik/deutschland/article227027703/Angela-Merkel-will-Geimpfte-nichtbevorzugt-behandeln.html</w:t>
        </w:r>
      </w:hyperlink>
    </w:p>
  </w:footnote>
  <w:footnote w:id="3">
    <w:p w:rsidR="00684CFD" w:rsidRPr="00262A38" w:rsidRDefault="00684CFD" w:rsidP="004C0F13">
      <w:pPr>
        <w:pStyle w:val="Funotentext"/>
        <w:ind w:left="340" w:hanging="340"/>
        <w:rPr>
          <w:rStyle w:val="LTHyperlinkZchn"/>
          <w:b w:val="0"/>
          <w:sz w:val="16"/>
        </w:rPr>
      </w:pPr>
      <w:r>
        <w:rPr>
          <w:rStyle w:val="Funotenzeichen"/>
        </w:rPr>
        <w:footnoteRef/>
      </w:r>
      <w:r>
        <w:tab/>
      </w:r>
      <w:hyperlink r:id="rId3" w:history="1">
        <w:r w:rsidRPr="00262A38">
          <w:rPr>
            <w:rStyle w:val="LTHyperlinkZchn"/>
            <w:b w:val="0"/>
            <w:sz w:val="16"/>
          </w:rPr>
          <w:t>https://www.facebook.com/watch/?v=804965153429809</w:t>
        </w:r>
      </w:hyperlink>
    </w:p>
  </w:footnote>
  <w:footnote w:id="4">
    <w:p w:rsidR="00684CFD" w:rsidRPr="00262A38" w:rsidRDefault="00684CFD" w:rsidP="004961D3">
      <w:pPr>
        <w:pStyle w:val="Funotentext"/>
        <w:ind w:left="340" w:hanging="340"/>
        <w:rPr>
          <w:rStyle w:val="LTHyperlinkZchn"/>
          <w:b w:val="0"/>
          <w:sz w:val="16"/>
        </w:rPr>
      </w:pPr>
      <w:r>
        <w:rPr>
          <w:rStyle w:val="Funotenzeichen"/>
        </w:rPr>
        <w:footnoteRef/>
      </w:r>
      <w:r>
        <w:tab/>
      </w:r>
      <w:hyperlink r:id="rId4" w:history="1">
        <w:r w:rsidRPr="00262A38">
          <w:rPr>
            <w:rStyle w:val="LTHyperlinkZchn"/>
            <w:b w:val="0"/>
            <w:sz w:val="16"/>
          </w:rPr>
          <w:t>https://www.welt.de/politik/deutschland/plus227789681/Hans-Juergen-Papier-Die-Menschen-dieses-Landes-sind-keine-Untertanen.html</w:t>
        </w:r>
      </w:hyperlink>
    </w:p>
  </w:footnote>
  <w:footnote w:id="5">
    <w:p w:rsidR="00684CFD" w:rsidRDefault="00684CFD" w:rsidP="0098735C">
      <w:pPr>
        <w:pStyle w:val="Funotentext"/>
        <w:ind w:left="340" w:hanging="340"/>
      </w:pPr>
      <w:r>
        <w:rPr>
          <w:rStyle w:val="Funotenzeichen"/>
        </w:rPr>
        <w:footnoteRef/>
      </w:r>
      <w:r>
        <w:tab/>
      </w:r>
      <w:r w:rsidRPr="00EC651B">
        <w:rPr>
          <w:rFonts w:cs="Arial"/>
          <w:sz w:val="16"/>
          <w:szCs w:val="24"/>
        </w:rPr>
        <w:t xml:space="preserve">(Vgl. </w:t>
      </w:r>
      <w:hyperlink r:id="rId5" w:history="1">
        <w:r w:rsidRPr="002F599A">
          <w:rPr>
            <w:rStyle w:val="LTHyperlinkZchn"/>
            <w:b w:val="0"/>
            <w:sz w:val="16"/>
          </w:rPr>
          <w:t>http://www.bayern.de/wirtschaftsministerium-erlaeutert-ankauf-hochwertiger-bayerischer-atemschutz-masken-und-weist-falschdarstellungen-zurueck/?seite=2453</w:t>
        </w:r>
      </w:hyperlink>
      <w:r w:rsidRPr="00EC651B">
        <w:rPr>
          <w:rFonts w:cs="Arial"/>
          <w:sz w:val="16"/>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FD" w:rsidRDefault="00684CFD"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982BA0">
      <w:fldChar w:fldCharType="begin"/>
    </w:r>
    <w:r w:rsidR="00982BA0">
      <w:instrText xml:space="preserve"> DOCVARIABLE  "Wp" \* MERGEFORMAT </w:instrText>
    </w:r>
    <w:r w:rsidR="00982BA0">
      <w:fldChar w:fldCharType="separate"/>
    </w:r>
    <w:r w:rsidR="00F774D5">
      <w:t>18</w:t>
    </w:r>
    <w:r w:rsidR="00982BA0">
      <w:fldChar w:fldCharType="end"/>
    </w:r>
    <w:r w:rsidRPr="00CA6785">
      <w:t>/</w:t>
    </w:r>
    <w:r>
      <w:rPr>
        <w:b/>
      </w:rPr>
      <w:fldChar w:fldCharType="begin"/>
    </w:r>
    <w:r>
      <w:rPr>
        <w:b/>
      </w:rPr>
      <w:instrText xml:space="preserve"> DOCVARIABLE  "Drsnr" \* MERGEFORMAT </w:instrText>
    </w:r>
    <w:r>
      <w:rPr>
        <w:b/>
      </w:rPr>
      <w:fldChar w:fldCharType="separate"/>
    </w:r>
    <w:r w:rsidR="00F774D5">
      <w:rPr>
        <w:b/>
      </w:rPr>
      <w:t>14726</w:t>
    </w:r>
    <w:r>
      <w:rPr>
        <w:b/>
      </w:rPr>
      <w:fldChar w:fldCharType="end"/>
    </w:r>
    <w:r>
      <w:tab/>
    </w:r>
    <w:r>
      <w:tab/>
    </w:r>
    <w:r w:rsidRPr="009A2D8C">
      <w:t>Bayerischer Landtag</w:t>
    </w:r>
    <w:r>
      <w:t xml:space="preserve"> -</w:t>
    </w:r>
    <w:r w:rsidR="00982BA0">
      <w:fldChar w:fldCharType="begin"/>
    </w:r>
    <w:r w:rsidR="00982BA0">
      <w:instrText xml:space="preserve"> DOCVARIABLE  "Wp" \* MERGEFORMAT </w:instrText>
    </w:r>
    <w:r w:rsidR="00982BA0">
      <w:fldChar w:fldCharType="separate"/>
    </w:r>
    <w:r w:rsidR="00F774D5">
      <w:t>18</w:t>
    </w:r>
    <w:r w:rsidR="00982BA0">
      <w:fldChar w:fldCharType="end"/>
    </w:r>
    <w:r>
      <w:t>. Wahlperiode</w:t>
    </w:r>
  </w:p>
  <w:p w:rsidR="00684CFD" w:rsidRDefault="00684CFD"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FD" w:rsidRDefault="00684CFD"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982BA0">
      <w:fldChar w:fldCharType="begin"/>
    </w:r>
    <w:r w:rsidR="00982BA0">
      <w:instrText xml:space="preserve"> DOCVARIABLE  "Wp" \* MERGEFORMAT </w:instrText>
    </w:r>
    <w:r w:rsidR="00982BA0">
      <w:fldChar w:fldCharType="separate"/>
    </w:r>
    <w:r w:rsidR="00F774D5">
      <w:t>18</w:t>
    </w:r>
    <w:r w:rsidR="00982BA0">
      <w:fldChar w:fldCharType="end"/>
    </w:r>
    <w:r>
      <w:t>. Wahlperiode</w:t>
    </w:r>
    <w:r>
      <w:tab/>
    </w:r>
    <w:r>
      <w:tab/>
    </w:r>
    <w:r w:rsidRPr="009A2D8C">
      <w:rPr>
        <w:b/>
      </w:rPr>
      <w:t>Drucksache</w:t>
    </w:r>
    <w:r>
      <w:rPr>
        <w:b/>
      </w:rPr>
      <w:t xml:space="preserve"> </w:t>
    </w:r>
    <w:r w:rsidR="00982BA0">
      <w:fldChar w:fldCharType="begin"/>
    </w:r>
    <w:r w:rsidR="00982BA0">
      <w:instrText xml:space="preserve"> DOCVARIABLE  "Wp" \* MERGEFORMAT </w:instrText>
    </w:r>
    <w:r w:rsidR="00982BA0">
      <w:fldChar w:fldCharType="separate"/>
    </w:r>
    <w:r w:rsidR="00F774D5">
      <w:t>18</w:t>
    </w:r>
    <w:r w:rsidR="00982BA0">
      <w:fldChar w:fldCharType="end"/>
    </w:r>
    <w:r w:rsidRPr="00CA6785">
      <w:t>/</w:t>
    </w:r>
    <w:r>
      <w:rPr>
        <w:b/>
      </w:rPr>
      <w:fldChar w:fldCharType="begin"/>
    </w:r>
    <w:r>
      <w:rPr>
        <w:b/>
      </w:rPr>
      <w:instrText xml:space="preserve"> DOCVARIABLE  "Drsnr" \* MERGEFORMAT </w:instrText>
    </w:r>
    <w:r>
      <w:rPr>
        <w:b/>
      </w:rPr>
      <w:fldChar w:fldCharType="separate"/>
    </w:r>
    <w:r w:rsidR="00F774D5">
      <w:rPr>
        <w:b/>
      </w:rPr>
      <w:t>14726</w:t>
    </w:r>
    <w:r>
      <w:rPr>
        <w:b/>
      </w:rPr>
      <w:fldChar w:fldCharType="end"/>
    </w:r>
  </w:p>
  <w:p w:rsidR="00684CFD" w:rsidRPr="00C127DA" w:rsidRDefault="00684CFD"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FD" w:rsidRDefault="00684CFD"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11DCD49D" wp14:editId="5FD5342B">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113F4B1D" wp14:editId="443143D1">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F774D5" w:rsidRPr="00F774D5">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F774D5">
      <w:rPr>
        <w:sz w:val="22"/>
        <w:szCs w:val="22"/>
      </w:rPr>
      <w:t>15.03.2021</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F774D5" w:rsidRPr="00F774D5">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F774D5" w:rsidRPr="00F774D5">
      <w:rPr>
        <w:b/>
        <w:bCs/>
        <w:sz w:val="42"/>
        <w:szCs w:val="42"/>
      </w:rPr>
      <w:t>14726</w:t>
    </w:r>
    <w:r w:rsidRPr="00853926">
      <w:rPr>
        <w:b/>
        <w:sz w:val="42"/>
        <w:szCs w:val="42"/>
      </w:rPr>
      <w:fldChar w:fldCharType="end"/>
    </w:r>
  </w:p>
  <w:p w:rsidR="00684CFD" w:rsidRPr="004453BF" w:rsidRDefault="00684CFD"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FD" w:rsidRPr="00A44F63" w:rsidRDefault="00684CFD"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F774D5">
      <w:rPr>
        <w:rStyle w:val="Seitenzahl"/>
        <w:noProof/>
        <w:szCs w:val="20"/>
      </w:rPr>
      <w:t>55</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F774D5">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774D5">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F774D5">
      <w:rPr>
        <w:b/>
        <w:szCs w:val="20"/>
      </w:rPr>
      <w:t>14726</w:t>
    </w:r>
    <w:r w:rsidRPr="00A44F63">
      <w:rPr>
        <w:b/>
        <w:szCs w:val="20"/>
      </w:rPr>
      <w:fldChar w:fldCharType="end"/>
    </w:r>
  </w:p>
  <w:p w:rsidR="00684CFD" w:rsidRPr="00861320" w:rsidRDefault="00684CFD"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FD" w:rsidRPr="00DE5B17" w:rsidRDefault="00684CFD"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774D5">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F774D5">
      <w:rPr>
        <w:b/>
        <w:szCs w:val="20"/>
      </w:rPr>
      <w:t>14726</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F774D5">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982BA0">
      <w:rPr>
        <w:rStyle w:val="Seitenzahl"/>
        <w:noProof/>
        <w:szCs w:val="20"/>
      </w:rPr>
      <w:t>100</w:t>
    </w:r>
    <w:r w:rsidRPr="00DE5B17">
      <w:rPr>
        <w:rStyle w:val="Seitenzahl"/>
        <w:szCs w:val="20"/>
      </w:rPr>
      <w:fldChar w:fldCharType="end"/>
    </w:r>
  </w:p>
  <w:p w:rsidR="00684CFD" w:rsidRPr="00601929" w:rsidRDefault="00684CFD"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3C7B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CA9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40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18D9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E02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70DDA"/>
    <w:multiLevelType w:val="hybridMultilevel"/>
    <w:tmpl w:val="2FE4920E"/>
    <w:lvl w:ilvl="0" w:tplc="C6CCF41A">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415475A"/>
    <w:multiLevelType w:val="hybridMultilevel"/>
    <w:tmpl w:val="0366C95A"/>
    <w:lvl w:ilvl="0" w:tplc="04070001">
      <w:start w:val="1"/>
      <w:numFmt w:val="bullet"/>
      <w:lvlText w:val=""/>
      <w:lvlJc w:val="left"/>
      <w:pPr>
        <w:ind w:left="1060" w:hanging="360"/>
      </w:pPr>
      <w:rPr>
        <w:rFonts w:ascii="Symbol" w:hAnsi="Symbol" w:hint="default"/>
      </w:rPr>
    </w:lvl>
    <w:lvl w:ilvl="1" w:tplc="3F224DEC">
      <w:numFmt w:val="bullet"/>
      <w:lvlText w:val=""/>
      <w:lvlJc w:val="left"/>
      <w:pPr>
        <w:ind w:left="1780" w:hanging="360"/>
      </w:pPr>
      <w:rPr>
        <w:rFonts w:ascii="Wingdings" w:eastAsia="Times New Roman" w:hAnsi="Wingdings" w:cs="Times New Roman"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070435E"/>
    <w:multiLevelType w:val="hybridMultilevel"/>
    <w:tmpl w:val="A88CB216"/>
    <w:lvl w:ilvl="0" w:tplc="C6CCF41A">
      <w:start w:val="1"/>
      <w:numFmt w:val="bullet"/>
      <w:lvlText w:val=""/>
      <w:lvlJc w:val="left"/>
      <w:pPr>
        <w:ind w:left="1060" w:hanging="360"/>
      </w:pPr>
      <w:rPr>
        <w:rFonts w:ascii="Symbol" w:hAnsi="Symbol" w:hint="default"/>
      </w:rPr>
    </w:lvl>
    <w:lvl w:ilvl="1" w:tplc="82E27AA0">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64344A2"/>
    <w:multiLevelType w:val="hybridMultilevel"/>
    <w:tmpl w:val="F74482DC"/>
    <w:lvl w:ilvl="0" w:tplc="29449856">
      <w:numFmt w:val="bullet"/>
      <w:lvlText w:val="-"/>
      <w:lvlJc w:val="left"/>
      <w:pPr>
        <w:ind w:left="550" w:hanging="353"/>
      </w:pPr>
      <w:rPr>
        <w:rFonts w:ascii="Arial" w:eastAsia="Arial" w:hAnsi="Arial" w:cs="Arial" w:hint="default"/>
        <w:spacing w:val="-9"/>
        <w:w w:val="99"/>
        <w:sz w:val="24"/>
        <w:szCs w:val="24"/>
        <w:lang w:val="de-DE" w:eastAsia="de-DE" w:bidi="de-DE"/>
      </w:rPr>
    </w:lvl>
    <w:lvl w:ilvl="1" w:tplc="A46071A0">
      <w:numFmt w:val="bullet"/>
      <w:lvlText w:val="•"/>
      <w:lvlJc w:val="left"/>
      <w:pPr>
        <w:ind w:left="884" w:hanging="353"/>
      </w:pPr>
      <w:rPr>
        <w:rFonts w:hint="default"/>
        <w:lang w:val="de-DE" w:eastAsia="de-DE" w:bidi="de-DE"/>
      </w:rPr>
    </w:lvl>
    <w:lvl w:ilvl="2" w:tplc="7BC6C1BC">
      <w:numFmt w:val="bullet"/>
      <w:lvlText w:val="•"/>
      <w:lvlJc w:val="left"/>
      <w:pPr>
        <w:ind w:left="1209" w:hanging="353"/>
      </w:pPr>
      <w:rPr>
        <w:rFonts w:hint="default"/>
        <w:lang w:val="de-DE" w:eastAsia="de-DE" w:bidi="de-DE"/>
      </w:rPr>
    </w:lvl>
    <w:lvl w:ilvl="3" w:tplc="F81E4352">
      <w:numFmt w:val="bullet"/>
      <w:lvlText w:val="•"/>
      <w:lvlJc w:val="left"/>
      <w:pPr>
        <w:ind w:left="1534" w:hanging="353"/>
      </w:pPr>
      <w:rPr>
        <w:rFonts w:hint="default"/>
        <w:lang w:val="de-DE" w:eastAsia="de-DE" w:bidi="de-DE"/>
      </w:rPr>
    </w:lvl>
    <w:lvl w:ilvl="4" w:tplc="235618CA">
      <w:numFmt w:val="bullet"/>
      <w:lvlText w:val="•"/>
      <w:lvlJc w:val="left"/>
      <w:pPr>
        <w:ind w:left="1859" w:hanging="353"/>
      </w:pPr>
      <w:rPr>
        <w:rFonts w:hint="default"/>
        <w:lang w:val="de-DE" w:eastAsia="de-DE" w:bidi="de-DE"/>
      </w:rPr>
    </w:lvl>
    <w:lvl w:ilvl="5" w:tplc="7624DF7E">
      <w:numFmt w:val="bullet"/>
      <w:lvlText w:val="•"/>
      <w:lvlJc w:val="left"/>
      <w:pPr>
        <w:ind w:left="2184" w:hanging="353"/>
      </w:pPr>
      <w:rPr>
        <w:rFonts w:hint="default"/>
        <w:lang w:val="de-DE" w:eastAsia="de-DE" w:bidi="de-DE"/>
      </w:rPr>
    </w:lvl>
    <w:lvl w:ilvl="6" w:tplc="9716C182">
      <w:numFmt w:val="bullet"/>
      <w:lvlText w:val="•"/>
      <w:lvlJc w:val="left"/>
      <w:pPr>
        <w:ind w:left="2509" w:hanging="353"/>
      </w:pPr>
      <w:rPr>
        <w:rFonts w:hint="default"/>
        <w:lang w:val="de-DE" w:eastAsia="de-DE" w:bidi="de-DE"/>
      </w:rPr>
    </w:lvl>
    <w:lvl w:ilvl="7" w:tplc="1B68BA6A">
      <w:numFmt w:val="bullet"/>
      <w:lvlText w:val="•"/>
      <w:lvlJc w:val="left"/>
      <w:pPr>
        <w:ind w:left="2834" w:hanging="353"/>
      </w:pPr>
      <w:rPr>
        <w:rFonts w:hint="default"/>
        <w:lang w:val="de-DE" w:eastAsia="de-DE" w:bidi="de-DE"/>
      </w:rPr>
    </w:lvl>
    <w:lvl w:ilvl="8" w:tplc="2606FB1C">
      <w:numFmt w:val="bullet"/>
      <w:lvlText w:val="•"/>
      <w:lvlJc w:val="left"/>
      <w:pPr>
        <w:ind w:left="3159" w:hanging="353"/>
      </w:pPr>
      <w:rPr>
        <w:rFonts w:hint="default"/>
        <w:lang w:val="de-DE" w:eastAsia="de-DE" w:bidi="de-DE"/>
      </w:rPr>
    </w:lvl>
  </w:abstractNum>
  <w:abstractNum w:abstractNumId="14" w15:restartNumberingAfterBreak="0">
    <w:nsid w:val="19AD4513"/>
    <w:multiLevelType w:val="hybridMultilevel"/>
    <w:tmpl w:val="B5B0C3E8"/>
    <w:lvl w:ilvl="0" w:tplc="C6C2B6C8">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5" w15:restartNumberingAfterBreak="0">
    <w:nsid w:val="1CAB0F0D"/>
    <w:multiLevelType w:val="hybridMultilevel"/>
    <w:tmpl w:val="10ACF99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370297A"/>
    <w:multiLevelType w:val="hybridMultilevel"/>
    <w:tmpl w:val="AD1C916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D4B45B3"/>
    <w:multiLevelType w:val="hybridMultilevel"/>
    <w:tmpl w:val="582E5CC6"/>
    <w:lvl w:ilvl="0" w:tplc="C6CCF41A">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2F7A09F4"/>
    <w:multiLevelType w:val="hybridMultilevel"/>
    <w:tmpl w:val="27BCE2FC"/>
    <w:lvl w:ilvl="0" w:tplc="C6CCF41A">
      <w:start w:val="1"/>
      <w:numFmt w:val="bullet"/>
      <w:lvlText w:val=""/>
      <w:lvlJc w:val="left"/>
      <w:pPr>
        <w:ind w:left="1060" w:hanging="360"/>
      </w:pPr>
      <w:rPr>
        <w:rFonts w:ascii="Symbol" w:hAnsi="Symbol" w:hint="default"/>
      </w:rPr>
    </w:lvl>
    <w:lvl w:ilvl="1" w:tplc="C6CCF41A">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33D23219"/>
    <w:multiLevelType w:val="multilevel"/>
    <w:tmpl w:val="39748414"/>
    <w:lvl w:ilvl="0">
      <w:start w:val="8"/>
      <w:numFmt w:val="decimal"/>
      <w:lvlText w:val="%1"/>
      <w:lvlJc w:val="left"/>
      <w:pPr>
        <w:ind w:left="106" w:hanging="608"/>
      </w:pPr>
      <w:rPr>
        <w:rFonts w:hint="default"/>
        <w:lang w:val="de-DE" w:eastAsia="de-DE" w:bidi="de-DE"/>
      </w:rPr>
    </w:lvl>
    <w:lvl w:ilvl="1">
      <w:start w:val="4"/>
      <w:numFmt w:val="decimal"/>
      <w:lvlText w:val="%1.%2"/>
      <w:lvlJc w:val="left"/>
      <w:pPr>
        <w:ind w:left="106" w:hanging="608"/>
      </w:pPr>
      <w:rPr>
        <w:rFonts w:hint="default"/>
        <w:lang w:val="de-DE" w:eastAsia="de-DE" w:bidi="de-DE"/>
      </w:rPr>
    </w:lvl>
    <w:lvl w:ilvl="2">
      <w:start w:val="2"/>
      <w:numFmt w:val="decimal"/>
      <w:lvlText w:val="%1.%2.%3"/>
      <w:lvlJc w:val="left"/>
      <w:pPr>
        <w:ind w:left="106" w:hanging="608"/>
      </w:pPr>
      <w:rPr>
        <w:rFonts w:ascii="Arial" w:eastAsia="Arial" w:hAnsi="Arial" w:cs="Arial" w:hint="default"/>
        <w:spacing w:val="-6"/>
        <w:w w:val="99"/>
        <w:sz w:val="24"/>
        <w:szCs w:val="24"/>
        <w:lang w:val="de-DE" w:eastAsia="de-DE" w:bidi="de-DE"/>
      </w:rPr>
    </w:lvl>
    <w:lvl w:ilvl="3">
      <w:numFmt w:val="bullet"/>
      <w:lvlText w:val=""/>
      <w:lvlJc w:val="left"/>
      <w:pPr>
        <w:ind w:left="827" w:hanging="353"/>
      </w:pPr>
      <w:rPr>
        <w:rFonts w:ascii="Symbol" w:eastAsia="Symbol" w:hAnsi="Symbol" w:cs="Symbol" w:hint="default"/>
        <w:w w:val="100"/>
        <w:sz w:val="24"/>
        <w:szCs w:val="24"/>
        <w:lang w:val="de-DE" w:eastAsia="de-DE" w:bidi="de-DE"/>
      </w:rPr>
    </w:lvl>
    <w:lvl w:ilvl="4">
      <w:numFmt w:val="bullet"/>
      <w:lvlText w:val="•"/>
      <w:lvlJc w:val="left"/>
      <w:pPr>
        <w:ind w:left="3794" w:hanging="353"/>
      </w:pPr>
      <w:rPr>
        <w:rFonts w:hint="default"/>
        <w:lang w:val="de-DE" w:eastAsia="de-DE" w:bidi="de-DE"/>
      </w:rPr>
    </w:lvl>
    <w:lvl w:ilvl="5">
      <w:numFmt w:val="bullet"/>
      <w:lvlText w:val="•"/>
      <w:lvlJc w:val="left"/>
      <w:pPr>
        <w:ind w:left="4786" w:hanging="353"/>
      </w:pPr>
      <w:rPr>
        <w:rFonts w:hint="default"/>
        <w:lang w:val="de-DE" w:eastAsia="de-DE" w:bidi="de-DE"/>
      </w:rPr>
    </w:lvl>
    <w:lvl w:ilvl="6">
      <w:numFmt w:val="bullet"/>
      <w:lvlText w:val="•"/>
      <w:lvlJc w:val="left"/>
      <w:pPr>
        <w:ind w:left="5777" w:hanging="353"/>
      </w:pPr>
      <w:rPr>
        <w:rFonts w:hint="default"/>
        <w:lang w:val="de-DE" w:eastAsia="de-DE" w:bidi="de-DE"/>
      </w:rPr>
    </w:lvl>
    <w:lvl w:ilvl="7">
      <w:numFmt w:val="bullet"/>
      <w:lvlText w:val="•"/>
      <w:lvlJc w:val="left"/>
      <w:pPr>
        <w:ind w:left="6769" w:hanging="353"/>
      </w:pPr>
      <w:rPr>
        <w:rFonts w:hint="default"/>
        <w:lang w:val="de-DE" w:eastAsia="de-DE" w:bidi="de-DE"/>
      </w:rPr>
    </w:lvl>
    <w:lvl w:ilvl="8">
      <w:numFmt w:val="bullet"/>
      <w:lvlText w:val="•"/>
      <w:lvlJc w:val="left"/>
      <w:pPr>
        <w:ind w:left="7760" w:hanging="353"/>
      </w:pPr>
      <w:rPr>
        <w:rFonts w:hint="default"/>
        <w:lang w:val="de-DE" w:eastAsia="de-DE" w:bidi="de-DE"/>
      </w:rPr>
    </w:lvl>
  </w:abstractNum>
  <w:abstractNum w:abstractNumId="25" w15:restartNumberingAfterBreak="0">
    <w:nsid w:val="35F24B47"/>
    <w:multiLevelType w:val="hybridMultilevel"/>
    <w:tmpl w:val="564C06C6"/>
    <w:lvl w:ilvl="0" w:tplc="C6CCF41A">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3B3820FD"/>
    <w:multiLevelType w:val="hybridMultilevel"/>
    <w:tmpl w:val="80CCA15A"/>
    <w:lvl w:ilvl="0" w:tplc="8D1C16D0">
      <w:start w:val="2"/>
      <w:numFmt w:val="decimal"/>
      <w:lvlText w:val="%1."/>
      <w:lvlJc w:val="left"/>
      <w:pPr>
        <w:ind w:left="538" w:hanging="433"/>
      </w:pPr>
      <w:rPr>
        <w:rFonts w:ascii="Arial" w:eastAsia="Arial" w:hAnsi="Arial" w:cs="Arial" w:hint="default"/>
        <w:b/>
        <w:bCs/>
        <w:spacing w:val="-6"/>
        <w:w w:val="99"/>
        <w:sz w:val="24"/>
        <w:szCs w:val="24"/>
        <w:lang w:val="de-DE" w:eastAsia="de-DE" w:bidi="de-DE"/>
      </w:rPr>
    </w:lvl>
    <w:lvl w:ilvl="1" w:tplc="80B4E0F8">
      <w:numFmt w:val="bullet"/>
      <w:lvlText w:val="•"/>
      <w:lvlJc w:val="left"/>
      <w:pPr>
        <w:ind w:left="1460" w:hanging="433"/>
      </w:pPr>
      <w:rPr>
        <w:rFonts w:hint="default"/>
        <w:lang w:val="de-DE" w:eastAsia="de-DE" w:bidi="de-DE"/>
      </w:rPr>
    </w:lvl>
    <w:lvl w:ilvl="2" w:tplc="47A4DE84">
      <w:numFmt w:val="bullet"/>
      <w:lvlText w:val="•"/>
      <w:lvlJc w:val="left"/>
      <w:pPr>
        <w:ind w:left="2380" w:hanging="433"/>
      </w:pPr>
      <w:rPr>
        <w:rFonts w:hint="default"/>
        <w:lang w:val="de-DE" w:eastAsia="de-DE" w:bidi="de-DE"/>
      </w:rPr>
    </w:lvl>
    <w:lvl w:ilvl="3" w:tplc="2070ACD4">
      <w:numFmt w:val="bullet"/>
      <w:lvlText w:val="•"/>
      <w:lvlJc w:val="left"/>
      <w:pPr>
        <w:ind w:left="3301" w:hanging="433"/>
      </w:pPr>
      <w:rPr>
        <w:rFonts w:hint="default"/>
        <w:lang w:val="de-DE" w:eastAsia="de-DE" w:bidi="de-DE"/>
      </w:rPr>
    </w:lvl>
    <w:lvl w:ilvl="4" w:tplc="CB8A1DFC">
      <w:numFmt w:val="bullet"/>
      <w:lvlText w:val="•"/>
      <w:lvlJc w:val="left"/>
      <w:pPr>
        <w:ind w:left="4221" w:hanging="433"/>
      </w:pPr>
      <w:rPr>
        <w:rFonts w:hint="default"/>
        <w:lang w:val="de-DE" w:eastAsia="de-DE" w:bidi="de-DE"/>
      </w:rPr>
    </w:lvl>
    <w:lvl w:ilvl="5" w:tplc="C5783766">
      <w:numFmt w:val="bullet"/>
      <w:lvlText w:val="•"/>
      <w:lvlJc w:val="left"/>
      <w:pPr>
        <w:ind w:left="5142" w:hanging="433"/>
      </w:pPr>
      <w:rPr>
        <w:rFonts w:hint="default"/>
        <w:lang w:val="de-DE" w:eastAsia="de-DE" w:bidi="de-DE"/>
      </w:rPr>
    </w:lvl>
    <w:lvl w:ilvl="6" w:tplc="9ABA517A">
      <w:numFmt w:val="bullet"/>
      <w:lvlText w:val="•"/>
      <w:lvlJc w:val="left"/>
      <w:pPr>
        <w:ind w:left="6062" w:hanging="433"/>
      </w:pPr>
      <w:rPr>
        <w:rFonts w:hint="default"/>
        <w:lang w:val="de-DE" w:eastAsia="de-DE" w:bidi="de-DE"/>
      </w:rPr>
    </w:lvl>
    <w:lvl w:ilvl="7" w:tplc="30B4B88A">
      <w:numFmt w:val="bullet"/>
      <w:lvlText w:val="•"/>
      <w:lvlJc w:val="left"/>
      <w:pPr>
        <w:ind w:left="6982" w:hanging="433"/>
      </w:pPr>
      <w:rPr>
        <w:rFonts w:hint="default"/>
        <w:lang w:val="de-DE" w:eastAsia="de-DE" w:bidi="de-DE"/>
      </w:rPr>
    </w:lvl>
    <w:lvl w:ilvl="8" w:tplc="1FCE7166">
      <w:numFmt w:val="bullet"/>
      <w:lvlText w:val="•"/>
      <w:lvlJc w:val="left"/>
      <w:pPr>
        <w:ind w:left="7903" w:hanging="433"/>
      </w:pPr>
      <w:rPr>
        <w:rFonts w:hint="default"/>
        <w:lang w:val="de-DE" w:eastAsia="de-DE" w:bidi="de-DE"/>
      </w:rPr>
    </w:lvl>
  </w:abstractNum>
  <w:abstractNum w:abstractNumId="27" w15:restartNumberingAfterBreak="0">
    <w:nsid w:val="40886BDE"/>
    <w:multiLevelType w:val="hybridMultilevel"/>
    <w:tmpl w:val="FC585032"/>
    <w:lvl w:ilvl="0" w:tplc="C6CCF41A">
      <w:start w:val="1"/>
      <w:numFmt w:val="bullet"/>
      <w:lvlText w:val=""/>
      <w:lvlJc w:val="left"/>
      <w:pPr>
        <w:ind w:left="1060" w:hanging="360"/>
      </w:pPr>
      <w:rPr>
        <w:rFonts w:ascii="Symbol" w:hAnsi="Symbol" w:hint="default"/>
      </w:rPr>
    </w:lvl>
    <w:lvl w:ilvl="1" w:tplc="C6CCF41A">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8" w15:restartNumberingAfterBreak="0">
    <w:nsid w:val="42A02E8F"/>
    <w:multiLevelType w:val="hybridMultilevel"/>
    <w:tmpl w:val="D15C5D0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45045DFF"/>
    <w:multiLevelType w:val="hybridMultilevel"/>
    <w:tmpl w:val="83640148"/>
    <w:lvl w:ilvl="0" w:tplc="4BF67C72">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0" w15:restartNumberingAfterBreak="0">
    <w:nsid w:val="45A16EC2"/>
    <w:multiLevelType w:val="hybridMultilevel"/>
    <w:tmpl w:val="D0225FBC"/>
    <w:lvl w:ilvl="0" w:tplc="C6CCF41A">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1" w15:restartNumberingAfterBreak="0">
    <w:nsid w:val="46656477"/>
    <w:multiLevelType w:val="hybridMultilevel"/>
    <w:tmpl w:val="CAD2925E"/>
    <w:lvl w:ilvl="0" w:tplc="04070019">
      <w:start w:val="1"/>
      <w:numFmt w:val="lowerLetter"/>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32"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C0C1D5E"/>
    <w:multiLevelType w:val="hybridMultilevel"/>
    <w:tmpl w:val="8B047DB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4" w15:restartNumberingAfterBreak="0">
    <w:nsid w:val="4D8E08E3"/>
    <w:multiLevelType w:val="hybridMultilevel"/>
    <w:tmpl w:val="23245DEE"/>
    <w:lvl w:ilvl="0" w:tplc="84345646">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35"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7E4364"/>
    <w:multiLevelType w:val="hybridMultilevel"/>
    <w:tmpl w:val="4E22072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7"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1"/>
  </w:num>
  <w:num w:numId="2">
    <w:abstractNumId w:val="18"/>
  </w:num>
  <w:num w:numId="3">
    <w:abstractNumId w:val="37"/>
  </w:num>
  <w:num w:numId="4">
    <w:abstractNumId w:val="39"/>
  </w:num>
  <w:num w:numId="5">
    <w:abstractNumId w:val="38"/>
  </w:num>
  <w:num w:numId="6">
    <w:abstractNumId w:val="35"/>
  </w:num>
  <w:num w:numId="7">
    <w:abstractNumId w:val="16"/>
  </w:num>
  <w:num w:numId="8">
    <w:abstractNumId w:val="17"/>
  </w:num>
  <w:num w:numId="9">
    <w:abstractNumId w:val="40"/>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8"/>
  </w:num>
  <w:num w:numId="26">
    <w:abstractNumId w:val="25"/>
  </w:num>
  <w:num w:numId="27">
    <w:abstractNumId w:val="14"/>
  </w:num>
  <w:num w:numId="28">
    <w:abstractNumId w:val="10"/>
  </w:num>
  <w:num w:numId="29">
    <w:abstractNumId w:val="29"/>
  </w:num>
  <w:num w:numId="30">
    <w:abstractNumId w:val="15"/>
  </w:num>
  <w:num w:numId="31">
    <w:abstractNumId w:val="33"/>
  </w:num>
  <w:num w:numId="32">
    <w:abstractNumId w:val="11"/>
  </w:num>
  <w:num w:numId="33">
    <w:abstractNumId w:val="36"/>
  </w:num>
  <w:num w:numId="34">
    <w:abstractNumId w:val="30"/>
  </w:num>
  <w:num w:numId="35">
    <w:abstractNumId w:val="23"/>
  </w:num>
  <w:num w:numId="36">
    <w:abstractNumId w:val="12"/>
  </w:num>
  <w:num w:numId="37">
    <w:abstractNumId w:val="19"/>
  </w:num>
  <w:num w:numId="38">
    <w:abstractNumId w:val="22"/>
  </w:num>
  <w:num w:numId="39">
    <w:abstractNumId w:val="27"/>
  </w:num>
  <w:num w:numId="40">
    <w:abstractNumId w:val="26"/>
  </w:num>
  <w:num w:numId="41">
    <w:abstractNumId w:val="24"/>
  </w:num>
  <w:num w:numId="42">
    <w:abstractNumId w:val="13"/>
  </w:num>
  <w:num w:numId="43">
    <w:abstractNumId w:val="3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3jAzIKTqdmL4F5VeJbvKid8/APbPPlEKZw6tWbGJv2LgKA1pxWe3RNOIcQpZvY80k7UJjVnO8EKG6wEz0rMd2g==" w:salt="mLWzPlIe6PpJE++n60Zolg=="/>
  <w:defaultTabStop w:val="709"/>
  <w:autoHyphenation/>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16.03.2021"/>
    <w:docVar w:name="Drsnr" w:val="14726"/>
    <w:docVar w:name="Eingangsdatum" w:val="15.03.2021"/>
    <w:docVar w:name="Passwort" w:val="Elan&amp;Internet"/>
    <w:docVar w:name="Wochendatum" w:val="15. März 2021"/>
    <w:docVar w:name="Wp" w:val="18"/>
  </w:docVars>
  <w:rsids>
    <w:rsidRoot w:val="007E0861"/>
    <w:rsid w:val="00002517"/>
    <w:rsid w:val="00006292"/>
    <w:rsid w:val="00007D07"/>
    <w:rsid w:val="000371B5"/>
    <w:rsid w:val="00043B70"/>
    <w:rsid w:val="00055D93"/>
    <w:rsid w:val="00060898"/>
    <w:rsid w:val="000614E0"/>
    <w:rsid w:val="00061EB3"/>
    <w:rsid w:val="000646CF"/>
    <w:rsid w:val="00077973"/>
    <w:rsid w:val="000779F7"/>
    <w:rsid w:val="00083D54"/>
    <w:rsid w:val="0008617E"/>
    <w:rsid w:val="0009579C"/>
    <w:rsid w:val="00097682"/>
    <w:rsid w:val="000B1637"/>
    <w:rsid w:val="000B2A68"/>
    <w:rsid w:val="000B764D"/>
    <w:rsid w:val="000C480A"/>
    <w:rsid w:val="000C71A5"/>
    <w:rsid w:val="000C72A9"/>
    <w:rsid w:val="000C7D5A"/>
    <w:rsid w:val="000E21D9"/>
    <w:rsid w:val="000E73CC"/>
    <w:rsid w:val="000F109F"/>
    <w:rsid w:val="000F3417"/>
    <w:rsid w:val="000F370E"/>
    <w:rsid w:val="001001DD"/>
    <w:rsid w:val="00102307"/>
    <w:rsid w:val="00114B66"/>
    <w:rsid w:val="00117EB2"/>
    <w:rsid w:val="00124C5C"/>
    <w:rsid w:val="0012690B"/>
    <w:rsid w:val="001275F0"/>
    <w:rsid w:val="001356F0"/>
    <w:rsid w:val="00135D97"/>
    <w:rsid w:val="00136D38"/>
    <w:rsid w:val="001376A1"/>
    <w:rsid w:val="00141C03"/>
    <w:rsid w:val="00153FFA"/>
    <w:rsid w:val="00154F5F"/>
    <w:rsid w:val="001576CA"/>
    <w:rsid w:val="001579D6"/>
    <w:rsid w:val="00163927"/>
    <w:rsid w:val="00165D18"/>
    <w:rsid w:val="001676F2"/>
    <w:rsid w:val="00171CDA"/>
    <w:rsid w:val="00180058"/>
    <w:rsid w:val="001817B9"/>
    <w:rsid w:val="00187DFF"/>
    <w:rsid w:val="00190AE0"/>
    <w:rsid w:val="00193919"/>
    <w:rsid w:val="00193AB7"/>
    <w:rsid w:val="001C6140"/>
    <w:rsid w:val="001D073A"/>
    <w:rsid w:val="001D638E"/>
    <w:rsid w:val="001E298D"/>
    <w:rsid w:val="001E3461"/>
    <w:rsid w:val="001E41D1"/>
    <w:rsid w:val="001F240A"/>
    <w:rsid w:val="001F27E4"/>
    <w:rsid w:val="001F3CDA"/>
    <w:rsid w:val="00207FC6"/>
    <w:rsid w:val="00215CAA"/>
    <w:rsid w:val="002215F6"/>
    <w:rsid w:val="002225B4"/>
    <w:rsid w:val="00226E30"/>
    <w:rsid w:val="00227E77"/>
    <w:rsid w:val="002302DA"/>
    <w:rsid w:val="00231278"/>
    <w:rsid w:val="0023365B"/>
    <w:rsid w:val="00235942"/>
    <w:rsid w:val="002375B2"/>
    <w:rsid w:val="00246C2C"/>
    <w:rsid w:val="00246DE7"/>
    <w:rsid w:val="0025081B"/>
    <w:rsid w:val="00250D6F"/>
    <w:rsid w:val="00262A38"/>
    <w:rsid w:val="00265CCB"/>
    <w:rsid w:val="00273798"/>
    <w:rsid w:val="00277DD9"/>
    <w:rsid w:val="002822CD"/>
    <w:rsid w:val="00283D88"/>
    <w:rsid w:val="0028470E"/>
    <w:rsid w:val="00284AA1"/>
    <w:rsid w:val="00293F06"/>
    <w:rsid w:val="00297346"/>
    <w:rsid w:val="002A69AA"/>
    <w:rsid w:val="002B27E5"/>
    <w:rsid w:val="002B6514"/>
    <w:rsid w:val="002B6C1B"/>
    <w:rsid w:val="002D2999"/>
    <w:rsid w:val="002D2A91"/>
    <w:rsid w:val="002D4B91"/>
    <w:rsid w:val="002D53C0"/>
    <w:rsid w:val="002D5E77"/>
    <w:rsid w:val="002E02C7"/>
    <w:rsid w:val="002E3E59"/>
    <w:rsid w:val="002F599A"/>
    <w:rsid w:val="003078E2"/>
    <w:rsid w:val="00310A7B"/>
    <w:rsid w:val="00311533"/>
    <w:rsid w:val="0031185F"/>
    <w:rsid w:val="003158E0"/>
    <w:rsid w:val="00315B5B"/>
    <w:rsid w:val="003220C1"/>
    <w:rsid w:val="00330AC4"/>
    <w:rsid w:val="003317ED"/>
    <w:rsid w:val="003343E3"/>
    <w:rsid w:val="003410E5"/>
    <w:rsid w:val="00343C38"/>
    <w:rsid w:val="00352140"/>
    <w:rsid w:val="00354E4E"/>
    <w:rsid w:val="0035608B"/>
    <w:rsid w:val="003571B7"/>
    <w:rsid w:val="0036081C"/>
    <w:rsid w:val="00362B50"/>
    <w:rsid w:val="00365EAB"/>
    <w:rsid w:val="0037590D"/>
    <w:rsid w:val="00381D5C"/>
    <w:rsid w:val="003830E9"/>
    <w:rsid w:val="00383EF2"/>
    <w:rsid w:val="00384BCC"/>
    <w:rsid w:val="003865DE"/>
    <w:rsid w:val="00390643"/>
    <w:rsid w:val="00390B65"/>
    <w:rsid w:val="00390D0E"/>
    <w:rsid w:val="003A0B46"/>
    <w:rsid w:val="003A6DDF"/>
    <w:rsid w:val="003B09EA"/>
    <w:rsid w:val="003B10EA"/>
    <w:rsid w:val="003B21D3"/>
    <w:rsid w:val="003B4646"/>
    <w:rsid w:val="003B7D59"/>
    <w:rsid w:val="003C1177"/>
    <w:rsid w:val="003C3519"/>
    <w:rsid w:val="003C4151"/>
    <w:rsid w:val="003E107C"/>
    <w:rsid w:val="003E2DEE"/>
    <w:rsid w:val="003E36C6"/>
    <w:rsid w:val="003E4991"/>
    <w:rsid w:val="003E61AF"/>
    <w:rsid w:val="003E7E4B"/>
    <w:rsid w:val="003F467B"/>
    <w:rsid w:val="00402CF3"/>
    <w:rsid w:val="0040470D"/>
    <w:rsid w:val="00407887"/>
    <w:rsid w:val="004104B6"/>
    <w:rsid w:val="00413D64"/>
    <w:rsid w:val="004148C6"/>
    <w:rsid w:val="00425AC7"/>
    <w:rsid w:val="00431F16"/>
    <w:rsid w:val="00434496"/>
    <w:rsid w:val="004379F0"/>
    <w:rsid w:val="004446F3"/>
    <w:rsid w:val="004453BF"/>
    <w:rsid w:val="00447D20"/>
    <w:rsid w:val="0045402F"/>
    <w:rsid w:val="00455A72"/>
    <w:rsid w:val="0045610A"/>
    <w:rsid w:val="00465F83"/>
    <w:rsid w:val="00473F7B"/>
    <w:rsid w:val="00474EB3"/>
    <w:rsid w:val="00476B56"/>
    <w:rsid w:val="004937CE"/>
    <w:rsid w:val="004961D3"/>
    <w:rsid w:val="00496299"/>
    <w:rsid w:val="004A0B31"/>
    <w:rsid w:val="004A1BE9"/>
    <w:rsid w:val="004A5A42"/>
    <w:rsid w:val="004B184E"/>
    <w:rsid w:val="004B4415"/>
    <w:rsid w:val="004B5A87"/>
    <w:rsid w:val="004C0F13"/>
    <w:rsid w:val="004C1BA3"/>
    <w:rsid w:val="004C3433"/>
    <w:rsid w:val="004D023C"/>
    <w:rsid w:val="004D4829"/>
    <w:rsid w:val="004D7B2E"/>
    <w:rsid w:val="004E1031"/>
    <w:rsid w:val="004F2494"/>
    <w:rsid w:val="00502FBE"/>
    <w:rsid w:val="00503F3C"/>
    <w:rsid w:val="005040C2"/>
    <w:rsid w:val="005216DD"/>
    <w:rsid w:val="00526778"/>
    <w:rsid w:val="005321C0"/>
    <w:rsid w:val="0053309B"/>
    <w:rsid w:val="00537833"/>
    <w:rsid w:val="00537EB9"/>
    <w:rsid w:val="00544156"/>
    <w:rsid w:val="005517B2"/>
    <w:rsid w:val="005653B6"/>
    <w:rsid w:val="00567084"/>
    <w:rsid w:val="0057046C"/>
    <w:rsid w:val="005704E5"/>
    <w:rsid w:val="0057191B"/>
    <w:rsid w:val="00572482"/>
    <w:rsid w:val="00573581"/>
    <w:rsid w:val="005833DD"/>
    <w:rsid w:val="005834A1"/>
    <w:rsid w:val="005878CA"/>
    <w:rsid w:val="00593818"/>
    <w:rsid w:val="00593C65"/>
    <w:rsid w:val="005A0EEC"/>
    <w:rsid w:val="005A439A"/>
    <w:rsid w:val="005A5E63"/>
    <w:rsid w:val="005A796D"/>
    <w:rsid w:val="005A79EC"/>
    <w:rsid w:val="005B53A1"/>
    <w:rsid w:val="005B6943"/>
    <w:rsid w:val="005C075F"/>
    <w:rsid w:val="005C55DD"/>
    <w:rsid w:val="005C5701"/>
    <w:rsid w:val="005D0F29"/>
    <w:rsid w:val="005D2E4E"/>
    <w:rsid w:val="005D3C42"/>
    <w:rsid w:val="005F371F"/>
    <w:rsid w:val="00601929"/>
    <w:rsid w:val="00606488"/>
    <w:rsid w:val="006076A5"/>
    <w:rsid w:val="00610EFD"/>
    <w:rsid w:val="00611FE7"/>
    <w:rsid w:val="00615D16"/>
    <w:rsid w:val="0062036D"/>
    <w:rsid w:val="00620B1D"/>
    <w:rsid w:val="006263A1"/>
    <w:rsid w:val="00646DE2"/>
    <w:rsid w:val="00651968"/>
    <w:rsid w:val="00653E6D"/>
    <w:rsid w:val="00661F4C"/>
    <w:rsid w:val="00675AED"/>
    <w:rsid w:val="0068306E"/>
    <w:rsid w:val="00684CFD"/>
    <w:rsid w:val="00693C55"/>
    <w:rsid w:val="00695DFD"/>
    <w:rsid w:val="006B0212"/>
    <w:rsid w:val="006B1709"/>
    <w:rsid w:val="006B3465"/>
    <w:rsid w:val="006C4DB6"/>
    <w:rsid w:val="006C5C31"/>
    <w:rsid w:val="006D0FD8"/>
    <w:rsid w:val="006D2E83"/>
    <w:rsid w:val="006E0274"/>
    <w:rsid w:val="006E5B9D"/>
    <w:rsid w:val="006F0AB3"/>
    <w:rsid w:val="006F0CA8"/>
    <w:rsid w:val="0070116F"/>
    <w:rsid w:val="007061D4"/>
    <w:rsid w:val="00711009"/>
    <w:rsid w:val="00713B02"/>
    <w:rsid w:val="00714C18"/>
    <w:rsid w:val="00717184"/>
    <w:rsid w:val="00730353"/>
    <w:rsid w:val="00734E22"/>
    <w:rsid w:val="007434EE"/>
    <w:rsid w:val="007463CC"/>
    <w:rsid w:val="0075012C"/>
    <w:rsid w:val="0075769E"/>
    <w:rsid w:val="00760A53"/>
    <w:rsid w:val="00761779"/>
    <w:rsid w:val="007649D6"/>
    <w:rsid w:val="00764C64"/>
    <w:rsid w:val="00767D17"/>
    <w:rsid w:val="00767ED8"/>
    <w:rsid w:val="00773102"/>
    <w:rsid w:val="00774FA2"/>
    <w:rsid w:val="0077709E"/>
    <w:rsid w:val="00781527"/>
    <w:rsid w:val="00781FB1"/>
    <w:rsid w:val="007868AE"/>
    <w:rsid w:val="00787923"/>
    <w:rsid w:val="00790807"/>
    <w:rsid w:val="00795ACF"/>
    <w:rsid w:val="00797183"/>
    <w:rsid w:val="007A24B3"/>
    <w:rsid w:val="007B0B33"/>
    <w:rsid w:val="007B31D4"/>
    <w:rsid w:val="007B6F46"/>
    <w:rsid w:val="007E0861"/>
    <w:rsid w:val="007E2FED"/>
    <w:rsid w:val="00805E8A"/>
    <w:rsid w:val="008062A0"/>
    <w:rsid w:val="00816C6F"/>
    <w:rsid w:val="00825C50"/>
    <w:rsid w:val="0083333B"/>
    <w:rsid w:val="00844005"/>
    <w:rsid w:val="00846D02"/>
    <w:rsid w:val="00850CD7"/>
    <w:rsid w:val="0085359B"/>
    <w:rsid w:val="008540E3"/>
    <w:rsid w:val="008606C1"/>
    <w:rsid w:val="00863A28"/>
    <w:rsid w:val="00863D7F"/>
    <w:rsid w:val="00880170"/>
    <w:rsid w:val="008803A9"/>
    <w:rsid w:val="00880BB4"/>
    <w:rsid w:val="00881163"/>
    <w:rsid w:val="0088715D"/>
    <w:rsid w:val="008930C0"/>
    <w:rsid w:val="00897172"/>
    <w:rsid w:val="008A671A"/>
    <w:rsid w:val="008C3EAF"/>
    <w:rsid w:val="008C6176"/>
    <w:rsid w:val="008C6A18"/>
    <w:rsid w:val="008D0F1A"/>
    <w:rsid w:val="008D2301"/>
    <w:rsid w:val="008E2258"/>
    <w:rsid w:val="008E3C99"/>
    <w:rsid w:val="008E41C5"/>
    <w:rsid w:val="008E7B3B"/>
    <w:rsid w:val="008F3C44"/>
    <w:rsid w:val="0091136E"/>
    <w:rsid w:val="00911F24"/>
    <w:rsid w:val="009149D4"/>
    <w:rsid w:val="009229F8"/>
    <w:rsid w:val="009234BF"/>
    <w:rsid w:val="0092602C"/>
    <w:rsid w:val="009310B8"/>
    <w:rsid w:val="00932D27"/>
    <w:rsid w:val="00940305"/>
    <w:rsid w:val="0095379B"/>
    <w:rsid w:val="00962732"/>
    <w:rsid w:val="009641E6"/>
    <w:rsid w:val="00966E35"/>
    <w:rsid w:val="00972072"/>
    <w:rsid w:val="0097254F"/>
    <w:rsid w:val="00977682"/>
    <w:rsid w:val="00982BA0"/>
    <w:rsid w:val="009837B0"/>
    <w:rsid w:val="0098735C"/>
    <w:rsid w:val="009924CE"/>
    <w:rsid w:val="00995D8F"/>
    <w:rsid w:val="009A2D8C"/>
    <w:rsid w:val="009A5A06"/>
    <w:rsid w:val="009B3DA8"/>
    <w:rsid w:val="009B4119"/>
    <w:rsid w:val="009B6B5E"/>
    <w:rsid w:val="009B7205"/>
    <w:rsid w:val="009C1AC7"/>
    <w:rsid w:val="009C32BE"/>
    <w:rsid w:val="009D5962"/>
    <w:rsid w:val="009E25A3"/>
    <w:rsid w:val="009E41B6"/>
    <w:rsid w:val="009E6DDB"/>
    <w:rsid w:val="009F6B94"/>
    <w:rsid w:val="00A11E02"/>
    <w:rsid w:val="00A17038"/>
    <w:rsid w:val="00A2276D"/>
    <w:rsid w:val="00A25D7C"/>
    <w:rsid w:val="00A265DC"/>
    <w:rsid w:val="00A27016"/>
    <w:rsid w:val="00A3195E"/>
    <w:rsid w:val="00A3336A"/>
    <w:rsid w:val="00A42917"/>
    <w:rsid w:val="00A42EAA"/>
    <w:rsid w:val="00A43E3C"/>
    <w:rsid w:val="00A44F63"/>
    <w:rsid w:val="00A47020"/>
    <w:rsid w:val="00A5482B"/>
    <w:rsid w:val="00A603C5"/>
    <w:rsid w:val="00A66E79"/>
    <w:rsid w:val="00A76D72"/>
    <w:rsid w:val="00A84172"/>
    <w:rsid w:val="00A906F3"/>
    <w:rsid w:val="00A963EF"/>
    <w:rsid w:val="00A96B48"/>
    <w:rsid w:val="00AA3478"/>
    <w:rsid w:val="00AA7233"/>
    <w:rsid w:val="00AB3B23"/>
    <w:rsid w:val="00AB74CC"/>
    <w:rsid w:val="00AC4FC6"/>
    <w:rsid w:val="00AC6C23"/>
    <w:rsid w:val="00AD053B"/>
    <w:rsid w:val="00AD59F9"/>
    <w:rsid w:val="00AD7E0F"/>
    <w:rsid w:val="00AE1029"/>
    <w:rsid w:val="00AE1B1E"/>
    <w:rsid w:val="00B0098A"/>
    <w:rsid w:val="00B01EB4"/>
    <w:rsid w:val="00B246BA"/>
    <w:rsid w:val="00B3097E"/>
    <w:rsid w:val="00B3698E"/>
    <w:rsid w:val="00B45132"/>
    <w:rsid w:val="00B54211"/>
    <w:rsid w:val="00B551D9"/>
    <w:rsid w:val="00B57DE6"/>
    <w:rsid w:val="00B72724"/>
    <w:rsid w:val="00B753A4"/>
    <w:rsid w:val="00B76C77"/>
    <w:rsid w:val="00B76F64"/>
    <w:rsid w:val="00B8046D"/>
    <w:rsid w:val="00B82BE0"/>
    <w:rsid w:val="00B832D1"/>
    <w:rsid w:val="00B85638"/>
    <w:rsid w:val="00B902FE"/>
    <w:rsid w:val="00B91015"/>
    <w:rsid w:val="00B9456C"/>
    <w:rsid w:val="00BA2A1D"/>
    <w:rsid w:val="00BA7AAC"/>
    <w:rsid w:val="00BB117A"/>
    <w:rsid w:val="00BB3E7A"/>
    <w:rsid w:val="00BB6019"/>
    <w:rsid w:val="00BC1C8F"/>
    <w:rsid w:val="00BC4D4B"/>
    <w:rsid w:val="00BD2540"/>
    <w:rsid w:val="00BD3199"/>
    <w:rsid w:val="00BD7DB0"/>
    <w:rsid w:val="00BE0A75"/>
    <w:rsid w:val="00BE1E41"/>
    <w:rsid w:val="00C034C9"/>
    <w:rsid w:val="00C05388"/>
    <w:rsid w:val="00C11892"/>
    <w:rsid w:val="00C127DA"/>
    <w:rsid w:val="00C128FC"/>
    <w:rsid w:val="00C20D25"/>
    <w:rsid w:val="00C31000"/>
    <w:rsid w:val="00C4558C"/>
    <w:rsid w:val="00C47535"/>
    <w:rsid w:val="00C50F30"/>
    <w:rsid w:val="00C53CDF"/>
    <w:rsid w:val="00C54C38"/>
    <w:rsid w:val="00C555C7"/>
    <w:rsid w:val="00C63211"/>
    <w:rsid w:val="00C63280"/>
    <w:rsid w:val="00C64946"/>
    <w:rsid w:val="00C67283"/>
    <w:rsid w:val="00C7072B"/>
    <w:rsid w:val="00C743BB"/>
    <w:rsid w:val="00C82F6C"/>
    <w:rsid w:val="00C83A7D"/>
    <w:rsid w:val="00C841E1"/>
    <w:rsid w:val="00C84F6F"/>
    <w:rsid w:val="00C91B34"/>
    <w:rsid w:val="00C95F05"/>
    <w:rsid w:val="00CA46E4"/>
    <w:rsid w:val="00CA7FCE"/>
    <w:rsid w:val="00CB1499"/>
    <w:rsid w:val="00CB2060"/>
    <w:rsid w:val="00CC20C5"/>
    <w:rsid w:val="00CC43A0"/>
    <w:rsid w:val="00CC6B36"/>
    <w:rsid w:val="00CC77D8"/>
    <w:rsid w:val="00CC7D0D"/>
    <w:rsid w:val="00CD631D"/>
    <w:rsid w:val="00CD6B4E"/>
    <w:rsid w:val="00CE2154"/>
    <w:rsid w:val="00CE5E4F"/>
    <w:rsid w:val="00CF4879"/>
    <w:rsid w:val="00CF5AA4"/>
    <w:rsid w:val="00CF77F6"/>
    <w:rsid w:val="00D01638"/>
    <w:rsid w:val="00D0623A"/>
    <w:rsid w:val="00D07F06"/>
    <w:rsid w:val="00D15F26"/>
    <w:rsid w:val="00D32A7D"/>
    <w:rsid w:val="00D33D48"/>
    <w:rsid w:val="00D3404D"/>
    <w:rsid w:val="00D45EB8"/>
    <w:rsid w:val="00D46E54"/>
    <w:rsid w:val="00D47CB5"/>
    <w:rsid w:val="00D5247F"/>
    <w:rsid w:val="00D6160D"/>
    <w:rsid w:val="00D6673D"/>
    <w:rsid w:val="00D76C8C"/>
    <w:rsid w:val="00D82366"/>
    <w:rsid w:val="00D83DC5"/>
    <w:rsid w:val="00D86767"/>
    <w:rsid w:val="00D900D2"/>
    <w:rsid w:val="00DA1063"/>
    <w:rsid w:val="00DA2424"/>
    <w:rsid w:val="00DA74F1"/>
    <w:rsid w:val="00DB29C5"/>
    <w:rsid w:val="00DC31EF"/>
    <w:rsid w:val="00DC6F57"/>
    <w:rsid w:val="00DC761C"/>
    <w:rsid w:val="00DD48D5"/>
    <w:rsid w:val="00DE5B17"/>
    <w:rsid w:val="00DF2A7C"/>
    <w:rsid w:val="00DF2AD3"/>
    <w:rsid w:val="00DF675B"/>
    <w:rsid w:val="00DF7A33"/>
    <w:rsid w:val="00E0053B"/>
    <w:rsid w:val="00E044EA"/>
    <w:rsid w:val="00E06311"/>
    <w:rsid w:val="00E175A9"/>
    <w:rsid w:val="00E2431C"/>
    <w:rsid w:val="00E3270E"/>
    <w:rsid w:val="00E6572C"/>
    <w:rsid w:val="00E72AA0"/>
    <w:rsid w:val="00E72D19"/>
    <w:rsid w:val="00E7333F"/>
    <w:rsid w:val="00E73E5A"/>
    <w:rsid w:val="00E7475C"/>
    <w:rsid w:val="00E7622D"/>
    <w:rsid w:val="00E960B7"/>
    <w:rsid w:val="00EB6C16"/>
    <w:rsid w:val="00EC2C1B"/>
    <w:rsid w:val="00EC75D6"/>
    <w:rsid w:val="00ED4839"/>
    <w:rsid w:val="00ED7023"/>
    <w:rsid w:val="00EE2E76"/>
    <w:rsid w:val="00EE5DC7"/>
    <w:rsid w:val="00EE6106"/>
    <w:rsid w:val="00EF116E"/>
    <w:rsid w:val="00EF398E"/>
    <w:rsid w:val="00EF48B3"/>
    <w:rsid w:val="00EF67A7"/>
    <w:rsid w:val="00EF7053"/>
    <w:rsid w:val="00F0047B"/>
    <w:rsid w:val="00F00864"/>
    <w:rsid w:val="00F23429"/>
    <w:rsid w:val="00F368AF"/>
    <w:rsid w:val="00F37ED4"/>
    <w:rsid w:val="00F44D16"/>
    <w:rsid w:val="00F73B72"/>
    <w:rsid w:val="00F769C0"/>
    <w:rsid w:val="00F76B51"/>
    <w:rsid w:val="00F774D5"/>
    <w:rsid w:val="00F827A4"/>
    <w:rsid w:val="00F8499E"/>
    <w:rsid w:val="00F90CFF"/>
    <w:rsid w:val="00F9374C"/>
    <w:rsid w:val="00F9387B"/>
    <w:rsid w:val="00FA46A8"/>
    <w:rsid w:val="00FA64C1"/>
    <w:rsid w:val="00FB269D"/>
    <w:rsid w:val="00FB64A8"/>
    <w:rsid w:val="00FC3C83"/>
    <w:rsid w:val="00FE0BE9"/>
    <w:rsid w:val="00FE1A91"/>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C4869A85-117A-4F0C-BA5E-9DD8BCE8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paragraph" w:styleId="berschrift1">
    <w:name w:val="heading 1"/>
    <w:basedOn w:val="Standard"/>
    <w:link w:val="berschrift1Zchn"/>
    <w:uiPriority w:val="1"/>
    <w:qFormat/>
    <w:rsid w:val="00352140"/>
    <w:pPr>
      <w:widowControl w:val="0"/>
      <w:autoSpaceDE w:val="0"/>
      <w:autoSpaceDN w:val="0"/>
      <w:ind w:left="105"/>
      <w:outlineLvl w:val="0"/>
    </w:pPr>
    <w:rPr>
      <w:rFonts w:eastAsia="Arial" w:cs="Arial"/>
      <w:b/>
      <w:bCs/>
      <w:sz w:val="24"/>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styleId="Funotentext">
    <w:name w:val="footnote text"/>
    <w:basedOn w:val="Standard"/>
    <w:link w:val="FunotentextZchn"/>
    <w:uiPriority w:val="99"/>
    <w:semiHidden/>
    <w:unhideWhenUsed/>
    <w:rsid w:val="00DC761C"/>
    <w:rPr>
      <w:szCs w:val="20"/>
    </w:rPr>
  </w:style>
  <w:style w:type="character" w:customStyle="1" w:styleId="FunotentextZchn">
    <w:name w:val="Fußnotentext Zchn"/>
    <w:basedOn w:val="Absatz-Standardschriftart"/>
    <w:link w:val="Funotentext"/>
    <w:uiPriority w:val="99"/>
    <w:semiHidden/>
    <w:rsid w:val="00DC761C"/>
    <w:rPr>
      <w:rFonts w:ascii="Arial" w:hAnsi="Arial"/>
    </w:rPr>
  </w:style>
  <w:style w:type="character" w:styleId="Funotenzeichen">
    <w:name w:val="footnote reference"/>
    <w:basedOn w:val="Absatz-Standardschriftart"/>
    <w:uiPriority w:val="99"/>
    <w:semiHidden/>
    <w:unhideWhenUsed/>
    <w:rsid w:val="00DC761C"/>
    <w:rPr>
      <w:vertAlign w:val="superscript"/>
    </w:rPr>
  </w:style>
  <w:style w:type="table" w:customStyle="1" w:styleId="TableNormal">
    <w:name w:val="Table Normal"/>
    <w:uiPriority w:val="2"/>
    <w:semiHidden/>
    <w:unhideWhenUsed/>
    <w:qFormat/>
    <w:rsid w:val="00B76C7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B76C77"/>
    <w:pPr>
      <w:widowControl w:val="0"/>
      <w:autoSpaceDE w:val="0"/>
      <w:autoSpaceDN w:val="0"/>
      <w:spacing w:line="248" w:lineRule="exact"/>
      <w:jc w:val="right"/>
    </w:pPr>
    <w:rPr>
      <w:rFonts w:ascii="Calibri" w:eastAsia="Calibri" w:hAnsi="Calibri" w:cs="Calibri"/>
      <w:sz w:val="22"/>
      <w:szCs w:val="22"/>
      <w:lang w:bidi="de-DE"/>
    </w:rPr>
  </w:style>
  <w:style w:type="paragraph" w:styleId="Textkrper">
    <w:name w:val="Body Text"/>
    <w:basedOn w:val="Standard"/>
    <w:link w:val="TextkrperZchn"/>
    <w:uiPriority w:val="1"/>
    <w:qFormat/>
    <w:rsid w:val="00352140"/>
    <w:pPr>
      <w:widowControl w:val="0"/>
      <w:autoSpaceDE w:val="0"/>
      <w:autoSpaceDN w:val="0"/>
    </w:pPr>
    <w:rPr>
      <w:rFonts w:eastAsia="Arial" w:cs="Arial"/>
      <w:sz w:val="24"/>
      <w:lang w:bidi="de-DE"/>
    </w:rPr>
  </w:style>
  <w:style w:type="character" w:customStyle="1" w:styleId="TextkrperZchn">
    <w:name w:val="Textkörper Zchn"/>
    <w:basedOn w:val="Absatz-Standardschriftart"/>
    <w:link w:val="Textkrper"/>
    <w:uiPriority w:val="1"/>
    <w:rsid w:val="00352140"/>
    <w:rPr>
      <w:rFonts w:ascii="Arial" w:eastAsia="Arial" w:hAnsi="Arial" w:cs="Arial"/>
      <w:sz w:val="24"/>
      <w:szCs w:val="24"/>
      <w:lang w:bidi="de-DE"/>
    </w:rPr>
  </w:style>
  <w:style w:type="character" w:customStyle="1" w:styleId="berschrift1Zchn">
    <w:name w:val="Überschrift 1 Zchn"/>
    <w:basedOn w:val="Absatz-Standardschriftart"/>
    <w:link w:val="berschrift1"/>
    <w:uiPriority w:val="1"/>
    <w:rsid w:val="00352140"/>
    <w:rPr>
      <w:rFonts w:ascii="Arial" w:eastAsia="Arial" w:hAnsi="Arial" w:cs="Arial"/>
      <w:b/>
      <w:bCs/>
      <w:sz w:val="24"/>
      <w:szCs w:val="24"/>
      <w:lang w:bidi="de-DE"/>
    </w:rPr>
  </w:style>
  <w:style w:type="paragraph" w:styleId="Listenabsatz">
    <w:name w:val="List Paragraph"/>
    <w:basedOn w:val="Standard"/>
    <w:uiPriority w:val="1"/>
    <w:qFormat/>
    <w:rsid w:val="00352140"/>
    <w:pPr>
      <w:widowControl w:val="0"/>
      <w:autoSpaceDE w:val="0"/>
      <w:autoSpaceDN w:val="0"/>
      <w:ind w:left="105"/>
    </w:pPr>
    <w:rPr>
      <w:rFonts w:eastAsia="Arial" w:cs="Arial"/>
      <w:sz w:val="22"/>
      <w:szCs w:val="22"/>
      <w:lang w:bidi="de-DE"/>
    </w:rPr>
  </w:style>
  <w:style w:type="table" w:customStyle="1" w:styleId="TableNormal1">
    <w:name w:val="Table Normal1"/>
    <w:uiPriority w:val="2"/>
    <w:semiHidden/>
    <w:unhideWhenUsed/>
    <w:qFormat/>
    <w:rsid w:val="00DF2A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667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09500/0000009505_Ritter_Anlage_1.pdf" TargetMode="External"/><Relationship Id="rId18" Type="http://schemas.openxmlformats.org/officeDocument/2006/relationships/hyperlink" Target="https://www.bayern.landtag.de/www/ElanTextAblage_WP18/Drucksachen/Basisdrucksachen/0000009500/0000009505_Fischbach_Anlage_1" TargetMode="External"/><Relationship Id="rId26" Type="http://schemas.openxmlformats.org/officeDocument/2006/relationships/hyperlink" Target="https://bit.ly/38I6Gx4" TargetMode="External"/><Relationship Id="rId3" Type="http://schemas.openxmlformats.org/officeDocument/2006/relationships/styles" Target="styles.xml"/><Relationship Id="rId21" Type="http://schemas.openxmlformats.org/officeDocument/2006/relationships/hyperlink" Target="https://www.bayern.landtag.de/www/ElanTextAblage_WP18/Drucksachen/Basisdrucksachen/0000009500/0000009505_Fischbach_Anlage_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distanzunterricht.bayern.de/" TargetMode="External"/><Relationship Id="rId25" Type="http://schemas.openxmlformats.org/officeDocument/2006/relationships/hyperlink" Target="https://www.bayern.landtag.de/www/ElanTextAblage_WP18/Drucksachen/Basisdrucksachen/0000009500/0000009505_Skutella_Anlage.pdf" TargetMode="External"/><Relationship Id="rId2" Type="http://schemas.openxmlformats.org/officeDocument/2006/relationships/numbering" Target="numbering.xml"/><Relationship Id="rId16" Type="http://schemas.openxmlformats.org/officeDocument/2006/relationships/hyperlink" Target="https://www.km.bayern.de/download/24663_M-an-Eltern_Unterrichtsbetrieb-ab-dem-15.-MProzentC3ProzentA4rz-2021_a.pdf" TargetMode="External"/><Relationship Id="rId20" Type="http://schemas.openxmlformats.org/officeDocument/2006/relationships/hyperlink" Target="https://www.gesetze-bayern.de/Content/Document/BayVV_2230_1_1_1_K_11819/tru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justiz.bayern.d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m.bayern.de/allgemein/meldung/7061/neuer-rahmen-hygieneplan-fuer-schulen-liegt-vor.html" TargetMode="External"/><Relationship Id="rId23" Type="http://schemas.openxmlformats.org/officeDocument/2006/relationships/hyperlink" Target="https://www.auftraege.bayern.de/Dashboards/Dashboard_off?BL=09"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bayern.landtag.de/www/ElanTextAblage_WP18/Drucksachen/Basisdrucksachen/0000009500/0000009505_Fischbach_Anlage_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09500/0000009505_Ritter_Anlage_2.pdf" TargetMode="External"/><Relationship Id="rId22" Type="http://schemas.openxmlformats.org/officeDocument/2006/relationships/hyperlink" Target="https://www.bayern.landtag.de/www/ElanTextAblage_WP18/Drucksachen/Basisdrucksachen/0000009500/0000009505_Fischbach_Anlage_2" TargetMode="External"/><Relationship Id="rId27" Type="http://schemas.openxmlformats.org/officeDocument/2006/relationships/hyperlink" Target="https://www.bayern.landtag.de/www/ElanTextAblage_WP18/Drucksachen/Basisdrucksachen/0000009500/0000009505_Muthmann_Anlage.pdf" TargetMode="Externa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watch/?v=804965153429809" TargetMode="External"/><Relationship Id="rId2" Type="http://schemas.openxmlformats.org/officeDocument/2006/relationships/hyperlink" Target="https://www.welt.de/politik/deutschland/article227027703/Angela-Merkel-will-Geimpfte-nichtbevorzugt-behandeln.html" TargetMode="External"/><Relationship Id="rId1" Type="http://schemas.openxmlformats.org/officeDocument/2006/relationships/hyperlink" Target="https://www.statistik.bayern.de/mam/statistik/bildung_soziales/hochschulen/0202_studierende_im_wintersemester_2020_21_-_vorl_ergebnis.pdf" TargetMode="External"/><Relationship Id="rId5" Type="http://schemas.openxmlformats.org/officeDocument/2006/relationships/hyperlink" Target="http://www.bayern.de/wirtschaftsministerium-erlaeutert-ankauf-hochwertiger-bayerischer-atemschutz-masken-und-weist-falschdarstellungen-zurueck/?seite=2453" TargetMode="External"/><Relationship Id="rId4" Type="http://schemas.openxmlformats.org/officeDocument/2006/relationships/hyperlink" Target="https://www.welt.de/politik/deutschland/plus227789681/Hans-Juergen-Papier-Die-Menschen-dieses-Landes-sind-keine-Untertanen.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tas0033\ElanText\ElanTextVorlagen_WP18\DrsAnfragenPlenu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D5DE-3C1E-4D43-A51C-F19D8EBA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DrsAnfragenPlenum.dotm</Template>
  <TotalTime>0</TotalTime>
  <Pages>122</Pages>
  <Words>31080</Words>
  <Characters>223027</Characters>
  <Application>Microsoft Office Word</Application>
  <DocSecurity>8</DocSecurity>
  <Lines>1858</Lines>
  <Paragraphs>507</Paragraphs>
  <ScaleCrop>false</ScaleCrop>
  <HeadingPairs>
    <vt:vector size="2" baseType="variant">
      <vt:variant>
        <vt:lpstr>Titel</vt:lpstr>
      </vt:variant>
      <vt:variant>
        <vt:i4>1</vt:i4>
      </vt:variant>
    </vt:vector>
  </HeadingPairs>
  <TitlesOfParts>
    <vt:vector size="1" baseType="lpstr">
      <vt:lpstr>Drucksache 18/14726</vt:lpstr>
    </vt:vector>
  </TitlesOfParts>
  <Company>LfStaD</Company>
  <LinksUpToDate>false</LinksUpToDate>
  <CharactersWithSpaces>253600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18/14726</dc:title>
  <dc:creator>Geier, Stephanie</dc:creator>
  <cp:lastModifiedBy>Kohl, Hubert (LTA)</cp:lastModifiedBy>
  <cp:revision>6</cp:revision>
  <cp:lastPrinted>2006-11-23T10:15:00Z</cp:lastPrinted>
  <dcterms:created xsi:type="dcterms:W3CDTF">2021-03-30T14:35:00Z</dcterms:created>
  <dcterms:modified xsi:type="dcterms:W3CDTF">2021-07-14T17:29:00Z</dcterms:modified>
</cp:coreProperties>
</file>