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996F9C">
      <w:pPr>
        <w:spacing w:before="1560"/>
        <w:ind w:left="357"/>
        <w:jc w:val="center"/>
        <w:rPr>
          <w:b/>
          <w:bCs/>
          <w:sz w:val="32"/>
          <w:szCs w:val="32"/>
        </w:rPr>
      </w:pPr>
      <w:bookmarkStart w:id="0" w:name="_GoBack"/>
      <w:bookmarkEnd w:id="0"/>
      <w:r w:rsidRPr="001E3461">
        <w:rPr>
          <w:b/>
          <w:bCs/>
          <w:sz w:val="32"/>
          <w:szCs w:val="32"/>
        </w:rPr>
        <w:t>Anfragen zum Plenum</w:t>
      </w:r>
    </w:p>
    <w:p w:rsidR="00717184" w:rsidRPr="00717184" w:rsidRDefault="00C11892" w:rsidP="00996F9C">
      <w:pPr>
        <w:spacing w:before="360"/>
        <w:ind w:left="360"/>
        <w:jc w:val="center"/>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BA3081">
        <w:rPr>
          <w:b/>
        </w:rPr>
        <w:t>zur Plenarsitzung am 02.02.2022</w:t>
      </w:r>
      <w:r w:rsidR="00D5247F">
        <w:rPr>
          <w:b/>
        </w:rPr>
        <w:fldChar w:fldCharType="end"/>
      </w:r>
      <w:r>
        <w:rPr>
          <w:b/>
        </w:rPr>
        <w:t>)</w:t>
      </w:r>
    </w:p>
    <w:p w:rsidR="00717184" w:rsidRDefault="00FF58EA" w:rsidP="00996F9C">
      <w:pPr>
        <w:spacing w:before="120"/>
        <w:ind w:left="360"/>
        <w:jc w:val="center"/>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230E2B" w:rsidP="00230E2B">
            <w:pPr>
              <w:pStyle w:val="LTVerzDerFragenden"/>
            </w:pPr>
            <w:bookmarkStart w:id="1" w:name="VerzeichnisDerFragenden"/>
            <w:bookmarkEnd w:id="1"/>
            <w:r>
              <w:t>Adelt, Klaus (SPD)</w:t>
            </w:r>
          </w:p>
        </w:tc>
      </w:tr>
      <w:tr w:rsidR="00230E2B" w:rsidRPr="005833DD" w:rsidTr="001F3CDA">
        <w:tc>
          <w:tcPr>
            <w:tcW w:w="5000" w:type="pct"/>
          </w:tcPr>
          <w:p w:rsidR="00230E2B" w:rsidRDefault="00B80E69" w:rsidP="00230E2B">
            <w:pPr>
              <w:pStyle w:val="LTVerzDerFragendenFrage"/>
            </w:pPr>
            <w:hyperlink w:anchor="Frage_Nr_22" w:tooltip="Frage Nr 22" w:history="1">
              <w:r w:rsidR="00230E2B">
                <w:rPr>
                  <w:rStyle w:val="Hyperlink"/>
                  <w:szCs w:val="24"/>
                </w:rPr>
                <w:t>Abschiebungshaftanstalt Hof</w:t>
              </w:r>
              <w:r w:rsidR="00230E2B">
                <w:rPr>
                  <w:rStyle w:val="Hyperlink"/>
                  <w:szCs w:val="24"/>
                </w:rPr>
                <w:tab/>
                <w:t>22</w:t>
              </w:r>
            </w:hyperlink>
          </w:p>
        </w:tc>
      </w:tr>
      <w:tr w:rsidR="00230E2B" w:rsidRPr="005833DD" w:rsidTr="001F3CDA">
        <w:tc>
          <w:tcPr>
            <w:tcW w:w="5000" w:type="pct"/>
          </w:tcPr>
          <w:p w:rsidR="00230E2B" w:rsidRDefault="00230E2B" w:rsidP="00230E2B">
            <w:pPr>
              <w:pStyle w:val="LTVerzDerFragenden"/>
            </w:pPr>
            <w:r>
              <w:t>Adjei, Benjamin (BÜNDNIS 90/DIE GRÜNEN)</w:t>
            </w:r>
          </w:p>
        </w:tc>
      </w:tr>
      <w:tr w:rsidR="00230E2B" w:rsidRPr="005833DD" w:rsidTr="001F3CDA">
        <w:tc>
          <w:tcPr>
            <w:tcW w:w="5000" w:type="pct"/>
          </w:tcPr>
          <w:p w:rsidR="00230E2B" w:rsidRDefault="00B80E69" w:rsidP="00230E2B">
            <w:pPr>
              <w:pStyle w:val="LTVerzDerFragendenFrage"/>
            </w:pPr>
            <w:hyperlink w:anchor="Frage_Nr_2" w:tooltip="Frage Nr 2" w:history="1">
              <w:r w:rsidR="00230E2B">
                <w:rPr>
                  <w:rStyle w:val="Hyperlink"/>
                  <w:szCs w:val="24"/>
                </w:rPr>
                <w:t xml:space="preserve">Aktueller Stand bei der Beschaffung einer </w:t>
              </w:r>
              <w:r w:rsidR="00490BF0">
                <w:rPr>
                  <w:rStyle w:val="Hyperlink"/>
                  <w:szCs w:val="24"/>
                </w:rPr>
                <w:t>„</w:t>
              </w:r>
              <w:r w:rsidR="003A080E">
                <w:rPr>
                  <w:rStyle w:val="Hyperlink"/>
                  <w:szCs w:val="24"/>
                </w:rPr>
                <w:t>verfahrensübergreifenden</w:t>
              </w:r>
              <w:r w:rsidR="003A080E">
                <w:rPr>
                  <w:rStyle w:val="Hyperlink"/>
                  <w:szCs w:val="24"/>
                </w:rPr>
                <w:br/>
              </w:r>
              <w:r w:rsidR="00230E2B">
                <w:rPr>
                  <w:rStyle w:val="Hyperlink"/>
                  <w:szCs w:val="24"/>
                </w:rPr>
                <w:t>Recherche und Analyseplattform (VeRA)</w:t>
              </w:r>
              <w:r w:rsidR="00490BF0">
                <w:rPr>
                  <w:rStyle w:val="Hyperlink"/>
                  <w:szCs w:val="24"/>
                </w:rPr>
                <w:t>“</w:t>
              </w:r>
              <w:r w:rsidR="00230E2B">
                <w:rPr>
                  <w:rStyle w:val="Hyperlink"/>
                  <w:szCs w:val="24"/>
                </w:rPr>
                <w:tab/>
                <w:t>2</w:t>
              </w:r>
            </w:hyperlink>
          </w:p>
        </w:tc>
      </w:tr>
      <w:tr w:rsidR="00230E2B" w:rsidRPr="005833DD" w:rsidTr="001F3CDA">
        <w:tc>
          <w:tcPr>
            <w:tcW w:w="5000" w:type="pct"/>
          </w:tcPr>
          <w:p w:rsidR="00230E2B" w:rsidRDefault="00230E2B" w:rsidP="00230E2B">
            <w:pPr>
              <w:pStyle w:val="LTVerzDerFragenden"/>
            </w:pPr>
            <w:r>
              <w:t>Aures, Inge (SPD)</w:t>
            </w:r>
          </w:p>
        </w:tc>
      </w:tr>
      <w:tr w:rsidR="00230E2B" w:rsidRPr="005833DD" w:rsidTr="001F3CDA">
        <w:tc>
          <w:tcPr>
            <w:tcW w:w="5000" w:type="pct"/>
          </w:tcPr>
          <w:p w:rsidR="00230E2B" w:rsidRDefault="00B80E69" w:rsidP="00230E2B">
            <w:pPr>
              <w:pStyle w:val="LTVerzDerFragendenFrage"/>
            </w:pPr>
            <w:hyperlink w:anchor="Frage_Nr_12" w:tooltip="Frage Nr 12" w:history="1">
              <w:r w:rsidR="00230E2B">
                <w:rPr>
                  <w:rStyle w:val="Hyperlink"/>
                  <w:szCs w:val="24"/>
                </w:rPr>
                <w:t>Landesweiter Fahrpl</w:t>
              </w:r>
              <w:r w:rsidR="003A080E">
                <w:rPr>
                  <w:rStyle w:val="Hyperlink"/>
                  <w:szCs w:val="24"/>
                </w:rPr>
                <w:t>an für die Dekarbonisierung des</w:t>
              </w:r>
              <w:r w:rsidR="003A080E">
                <w:rPr>
                  <w:rStyle w:val="Hyperlink"/>
                  <w:szCs w:val="24"/>
                </w:rPr>
                <w:br/>
              </w:r>
              <w:r w:rsidR="00230E2B">
                <w:rPr>
                  <w:rStyle w:val="Hyperlink"/>
                  <w:szCs w:val="24"/>
                </w:rPr>
                <w:t>Schienenpersonennahverkehrs</w:t>
              </w:r>
              <w:r w:rsidR="00230E2B">
                <w:rPr>
                  <w:rStyle w:val="Hyperlink"/>
                  <w:szCs w:val="24"/>
                </w:rPr>
                <w:tab/>
                <w:t>12</w:t>
              </w:r>
            </w:hyperlink>
          </w:p>
        </w:tc>
      </w:tr>
      <w:tr w:rsidR="00230E2B" w:rsidRPr="005833DD" w:rsidTr="001F3CDA">
        <w:tc>
          <w:tcPr>
            <w:tcW w:w="5000" w:type="pct"/>
          </w:tcPr>
          <w:p w:rsidR="00230E2B" w:rsidRDefault="00230E2B" w:rsidP="00230E2B">
            <w:pPr>
              <w:pStyle w:val="LTVerzDerFragenden"/>
            </w:pPr>
            <w:r>
              <w:t>Becher, Johannes (BÜNDNIS 90/DIE GRÜNEN)</w:t>
            </w:r>
          </w:p>
        </w:tc>
      </w:tr>
      <w:tr w:rsidR="00230E2B" w:rsidRPr="005833DD" w:rsidTr="001F3CDA">
        <w:tc>
          <w:tcPr>
            <w:tcW w:w="5000" w:type="pct"/>
          </w:tcPr>
          <w:p w:rsidR="00230E2B" w:rsidRDefault="00B80E69" w:rsidP="00230E2B">
            <w:pPr>
              <w:pStyle w:val="LTVerzDerFragendenFrage"/>
            </w:pPr>
            <w:hyperlink w:anchor="Frage_Nr_41" w:tooltip="Frage Nr 41" w:history="1">
              <w:r w:rsidR="00230E2B">
                <w:rPr>
                  <w:rStyle w:val="Hyperlink"/>
                  <w:szCs w:val="24"/>
                </w:rPr>
                <w:t>Aufträge an Boston Consulting</w:t>
              </w:r>
              <w:r w:rsidR="00230E2B">
                <w:rPr>
                  <w:rStyle w:val="Hyperlink"/>
                  <w:szCs w:val="24"/>
                </w:rPr>
                <w:tab/>
                <w:t>41</w:t>
              </w:r>
            </w:hyperlink>
          </w:p>
        </w:tc>
      </w:tr>
      <w:tr w:rsidR="00230E2B" w:rsidRPr="005833DD" w:rsidTr="001F3CDA">
        <w:tc>
          <w:tcPr>
            <w:tcW w:w="5000" w:type="pct"/>
          </w:tcPr>
          <w:p w:rsidR="00230E2B" w:rsidRDefault="00230E2B" w:rsidP="00230E2B">
            <w:pPr>
              <w:pStyle w:val="LTVerzDerFragenden"/>
            </w:pPr>
            <w:r>
              <w:t>Bergmüller, Franz (AfD)</w:t>
            </w:r>
          </w:p>
        </w:tc>
      </w:tr>
      <w:tr w:rsidR="00230E2B" w:rsidRPr="005833DD" w:rsidTr="001F3CDA">
        <w:tc>
          <w:tcPr>
            <w:tcW w:w="5000" w:type="pct"/>
          </w:tcPr>
          <w:p w:rsidR="00230E2B" w:rsidRDefault="00B80E69" w:rsidP="00230E2B">
            <w:pPr>
              <w:pStyle w:val="LTVerzDerFragendenFrage"/>
            </w:pPr>
            <w:hyperlink w:anchor="Frage_Nr_43" w:tooltip="Frage Nr 43" w:history="1">
              <w:r w:rsidR="00230E2B">
                <w:rPr>
                  <w:rStyle w:val="Hyperlink"/>
                  <w:szCs w:val="24"/>
                </w:rPr>
                <w:t>Abrupter Stopp de</w:t>
              </w:r>
              <w:r w:rsidR="003A080E">
                <w:rPr>
                  <w:rStyle w:val="Hyperlink"/>
                  <w:szCs w:val="24"/>
                </w:rPr>
                <w:t>r staatlichen KfW-Förderung für</w:t>
              </w:r>
              <w:r w:rsidR="003A080E">
                <w:rPr>
                  <w:rStyle w:val="Hyperlink"/>
                  <w:szCs w:val="24"/>
                </w:rPr>
                <w:br/>
              </w:r>
              <w:r w:rsidR="00230E2B">
                <w:rPr>
                  <w:rStyle w:val="Hyperlink"/>
                  <w:szCs w:val="24"/>
                </w:rPr>
                <w:t>energieeffiziente Gebäude</w:t>
              </w:r>
              <w:r w:rsidR="00230E2B">
                <w:rPr>
                  <w:rStyle w:val="Hyperlink"/>
                  <w:szCs w:val="24"/>
                </w:rPr>
                <w:tab/>
                <w:t>43</w:t>
              </w:r>
            </w:hyperlink>
          </w:p>
        </w:tc>
      </w:tr>
      <w:tr w:rsidR="00230E2B" w:rsidRPr="005833DD" w:rsidTr="001F3CDA">
        <w:tc>
          <w:tcPr>
            <w:tcW w:w="5000" w:type="pct"/>
          </w:tcPr>
          <w:p w:rsidR="00230E2B" w:rsidRDefault="003A080E" w:rsidP="00230E2B">
            <w:pPr>
              <w:pStyle w:val="LTVerzDerFragenden"/>
            </w:pPr>
            <w:r>
              <w:t>Bozo</w:t>
            </w:r>
            <w:r>
              <w:rPr>
                <w:rFonts w:cs="Arial"/>
              </w:rPr>
              <w:t>ǧ</w:t>
            </w:r>
            <w:r w:rsidR="00230E2B">
              <w:t>lu, Cemal (BÜNDNIS 90/DIE GRÜNEN)</w:t>
            </w:r>
          </w:p>
        </w:tc>
      </w:tr>
      <w:tr w:rsidR="00230E2B" w:rsidRPr="005833DD" w:rsidTr="001F3CDA">
        <w:tc>
          <w:tcPr>
            <w:tcW w:w="5000" w:type="pct"/>
          </w:tcPr>
          <w:p w:rsidR="00230E2B" w:rsidRDefault="00B80E69" w:rsidP="00230E2B">
            <w:pPr>
              <w:pStyle w:val="LTVerzDerFragendenFrage"/>
            </w:pPr>
            <w:hyperlink w:anchor="Frage_Nr_3" w:tooltip="Frage Nr 3" w:history="1">
              <w:r w:rsidR="00230E2B">
                <w:rPr>
                  <w:rStyle w:val="Hyperlink"/>
                  <w:szCs w:val="24"/>
                </w:rPr>
                <w:t>Anschläge in Waldkraiburg</w:t>
              </w:r>
              <w:r w:rsidR="00230E2B">
                <w:rPr>
                  <w:rStyle w:val="Hyperlink"/>
                  <w:szCs w:val="24"/>
                </w:rPr>
                <w:tab/>
                <w:t>3</w:t>
              </w:r>
            </w:hyperlink>
          </w:p>
        </w:tc>
      </w:tr>
      <w:tr w:rsidR="00230E2B" w:rsidRPr="005833DD" w:rsidTr="001F3CDA">
        <w:tc>
          <w:tcPr>
            <w:tcW w:w="5000" w:type="pct"/>
          </w:tcPr>
          <w:p w:rsidR="00230E2B" w:rsidRDefault="008E61A6" w:rsidP="00230E2B">
            <w:pPr>
              <w:pStyle w:val="LTVerzDerFragenden"/>
            </w:pPr>
            <w:r>
              <w:t xml:space="preserve">Von </w:t>
            </w:r>
            <w:r w:rsidR="00230E2B">
              <w:t>Brunn, Florian (SPD)</w:t>
            </w:r>
          </w:p>
        </w:tc>
      </w:tr>
      <w:tr w:rsidR="00230E2B" w:rsidRPr="005833DD" w:rsidTr="001F3CDA">
        <w:tc>
          <w:tcPr>
            <w:tcW w:w="5000" w:type="pct"/>
          </w:tcPr>
          <w:p w:rsidR="00230E2B" w:rsidRDefault="00B80E69" w:rsidP="00230E2B">
            <w:pPr>
              <w:pStyle w:val="LTVerzDerFragendenFrage"/>
            </w:pPr>
            <w:hyperlink w:anchor="Frage_Nr_23" w:tooltip="Frage Nr 23" w:history="1">
              <w:r w:rsidR="00230E2B">
                <w:rPr>
                  <w:rStyle w:val="Hyperlink"/>
                  <w:szCs w:val="24"/>
                </w:rPr>
                <w:t>Gutachten zu Fällen von sexualisierter Ge</w:t>
              </w:r>
              <w:r w:rsidR="003A080E">
                <w:rPr>
                  <w:rStyle w:val="Hyperlink"/>
                  <w:szCs w:val="24"/>
                </w:rPr>
                <w:t>walt in der Erzdiözese</w:t>
              </w:r>
              <w:r w:rsidR="003A080E">
                <w:rPr>
                  <w:rStyle w:val="Hyperlink"/>
                  <w:szCs w:val="24"/>
                </w:rPr>
                <w:br/>
                <w:t>München und Freising –</w:t>
              </w:r>
              <w:r w:rsidR="00230E2B">
                <w:rPr>
                  <w:rStyle w:val="Hyperlink"/>
                  <w:szCs w:val="24"/>
                </w:rPr>
                <w:t xml:space="preserve"> aktuelle Nachfragen</w:t>
              </w:r>
              <w:r w:rsidR="00230E2B">
                <w:rPr>
                  <w:rStyle w:val="Hyperlink"/>
                  <w:szCs w:val="24"/>
                </w:rPr>
                <w:tab/>
                <w:t>23</w:t>
              </w:r>
            </w:hyperlink>
          </w:p>
        </w:tc>
      </w:tr>
      <w:tr w:rsidR="00230E2B" w:rsidRPr="005833DD" w:rsidTr="001F3CDA">
        <w:tc>
          <w:tcPr>
            <w:tcW w:w="5000" w:type="pct"/>
          </w:tcPr>
          <w:p w:rsidR="00230E2B" w:rsidRDefault="00230E2B" w:rsidP="00230E2B">
            <w:pPr>
              <w:pStyle w:val="LTVerzDerFragenden"/>
            </w:pPr>
            <w:r>
              <w:t>Busch, Michael (SPD)</w:t>
            </w:r>
          </w:p>
        </w:tc>
      </w:tr>
      <w:tr w:rsidR="00230E2B" w:rsidRPr="005833DD" w:rsidTr="001F3CDA">
        <w:tc>
          <w:tcPr>
            <w:tcW w:w="5000" w:type="pct"/>
          </w:tcPr>
          <w:p w:rsidR="00230E2B" w:rsidRDefault="00B80E69" w:rsidP="00230E2B">
            <w:pPr>
              <w:pStyle w:val="LTVerzDerFragendenFrage"/>
            </w:pPr>
            <w:hyperlink w:anchor="Frage_Nr_14" w:tooltip="Frage Nr 14" w:history="1">
              <w:r w:rsidR="00230E2B">
                <w:rPr>
                  <w:rStyle w:val="Hyperlink"/>
                  <w:szCs w:val="24"/>
                </w:rPr>
                <w:t>Ortsumgehung Prosselsheim</w:t>
              </w:r>
              <w:r w:rsidR="00230E2B">
                <w:rPr>
                  <w:rStyle w:val="Hyperlink"/>
                  <w:szCs w:val="24"/>
                </w:rPr>
                <w:tab/>
                <w:t>14</w:t>
              </w:r>
            </w:hyperlink>
          </w:p>
        </w:tc>
      </w:tr>
      <w:tr w:rsidR="00230E2B" w:rsidRPr="005833DD" w:rsidTr="001F3CDA">
        <w:tc>
          <w:tcPr>
            <w:tcW w:w="5000" w:type="pct"/>
          </w:tcPr>
          <w:p w:rsidR="00230E2B" w:rsidRDefault="00230E2B" w:rsidP="00230E2B">
            <w:pPr>
              <w:pStyle w:val="LTVerzDerFragenden"/>
            </w:pPr>
            <w:r>
              <w:t>Dr. Büchler, Markus (BÜNDNIS 90/DIE GRÜNEN)</w:t>
            </w:r>
          </w:p>
        </w:tc>
      </w:tr>
      <w:tr w:rsidR="00230E2B" w:rsidRPr="005833DD" w:rsidTr="001F3CDA">
        <w:tc>
          <w:tcPr>
            <w:tcW w:w="5000" w:type="pct"/>
          </w:tcPr>
          <w:p w:rsidR="00230E2B" w:rsidRDefault="00B80E69" w:rsidP="00230E2B">
            <w:pPr>
              <w:pStyle w:val="LTVerzDerFragendenFrage"/>
            </w:pPr>
            <w:hyperlink w:anchor="Frage_Nr_13" w:tooltip="Frage Nr 13" w:history="1">
              <w:r w:rsidR="00230E2B">
                <w:rPr>
                  <w:rStyle w:val="Hyperlink"/>
                  <w:szCs w:val="24"/>
                </w:rPr>
                <w:t>Landesgesetzliche Ermächtigungen zum Klimaschutz im ÖPNV</w:t>
              </w:r>
              <w:r w:rsidR="00230E2B">
                <w:rPr>
                  <w:rStyle w:val="Hyperlink"/>
                  <w:szCs w:val="24"/>
                </w:rPr>
                <w:tab/>
                <w:t>13</w:t>
              </w:r>
            </w:hyperlink>
          </w:p>
        </w:tc>
      </w:tr>
      <w:tr w:rsidR="00230E2B" w:rsidRPr="005833DD" w:rsidTr="001F3CDA">
        <w:tc>
          <w:tcPr>
            <w:tcW w:w="5000" w:type="pct"/>
          </w:tcPr>
          <w:p w:rsidR="00230E2B" w:rsidRDefault="00230E2B" w:rsidP="00230E2B">
            <w:pPr>
              <w:pStyle w:val="LTVerzDerFragenden"/>
            </w:pPr>
            <w:r>
              <w:t>Celina, Kerstin (BÜNDNIS 90/DIE GRÜNEN)</w:t>
            </w:r>
          </w:p>
        </w:tc>
      </w:tr>
      <w:tr w:rsidR="00230E2B" w:rsidRPr="005833DD" w:rsidTr="001F3CDA">
        <w:tc>
          <w:tcPr>
            <w:tcW w:w="5000" w:type="pct"/>
          </w:tcPr>
          <w:p w:rsidR="00230E2B" w:rsidRDefault="00B80E69" w:rsidP="00230E2B">
            <w:pPr>
              <w:pStyle w:val="LTVerzDerFragendenFrage"/>
            </w:pPr>
            <w:hyperlink w:anchor="Frage_Nr_47" w:tooltip="Frage Nr 47" w:history="1">
              <w:r w:rsidR="00230E2B">
                <w:rPr>
                  <w:rStyle w:val="Hyperlink"/>
                  <w:szCs w:val="24"/>
                </w:rPr>
                <w:t>Einführung eines Wassercents in Bayern</w:t>
              </w:r>
              <w:r w:rsidR="00230E2B">
                <w:rPr>
                  <w:rStyle w:val="Hyperlink"/>
                  <w:szCs w:val="24"/>
                </w:rPr>
                <w:tab/>
                <w:t>47</w:t>
              </w:r>
            </w:hyperlink>
          </w:p>
        </w:tc>
      </w:tr>
      <w:tr w:rsidR="00230E2B" w:rsidRPr="005833DD" w:rsidTr="001F3CDA">
        <w:tc>
          <w:tcPr>
            <w:tcW w:w="5000" w:type="pct"/>
          </w:tcPr>
          <w:p w:rsidR="00230E2B" w:rsidRDefault="00230E2B" w:rsidP="00230E2B">
            <w:pPr>
              <w:pStyle w:val="LTVerzDerFragenden"/>
            </w:pPr>
            <w:r>
              <w:t>Dr. Cyron, Anne (AfD)</w:t>
            </w:r>
          </w:p>
        </w:tc>
      </w:tr>
      <w:tr w:rsidR="00230E2B" w:rsidRPr="005833DD" w:rsidTr="001F3CDA">
        <w:tc>
          <w:tcPr>
            <w:tcW w:w="5000" w:type="pct"/>
          </w:tcPr>
          <w:p w:rsidR="00230E2B" w:rsidRDefault="00B80E69" w:rsidP="00230E2B">
            <w:pPr>
              <w:pStyle w:val="LTVerzDerFragendenFrage"/>
            </w:pPr>
            <w:hyperlink w:anchor="Frage_Nr_58" w:tooltip="Frage Nr 58" w:history="1">
              <w:r w:rsidR="00230E2B">
                <w:rPr>
                  <w:rStyle w:val="Hyperlink"/>
                  <w:szCs w:val="24"/>
                </w:rPr>
                <w:t>Hebammenversorgung in Bayern ab dem 15.</w:t>
              </w:r>
              <w:r w:rsidR="003A080E">
                <w:rPr>
                  <w:rStyle w:val="Hyperlink"/>
                  <w:szCs w:val="24"/>
                </w:rPr>
                <w:t>0</w:t>
              </w:r>
              <w:r w:rsidR="00230E2B">
                <w:rPr>
                  <w:rStyle w:val="Hyperlink"/>
                  <w:szCs w:val="24"/>
                </w:rPr>
                <w:t>3.2022</w:t>
              </w:r>
              <w:r w:rsidR="00230E2B">
                <w:rPr>
                  <w:rStyle w:val="Hyperlink"/>
                  <w:szCs w:val="24"/>
                </w:rPr>
                <w:tab/>
                <w:t>58</w:t>
              </w:r>
            </w:hyperlink>
          </w:p>
        </w:tc>
      </w:tr>
      <w:tr w:rsidR="00230E2B" w:rsidRPr="005833DD" w:rsidTr="001F3CDA">
        <w:tc>
          <w:tcPr>
            <w:tcW w:w="5000" w:type="pct"/>
          </w:tcPr>
          <w:p w:rsidR="00230E2B" w:rsidRDefault="00230E2B" w:rsidP="00230E2B">
            <w:pPr>
              <w:pStyle w:val="LTVerzDerFragenden"/>
            </w:pPr>
            <w:r>
              <w:t>Deisenhofer, Maximilian (BÜNDNIS 90/DIE GRÜNEN)</w:t>
            </w:r>
          </w:p>
        </w:tc>
      </w:tr>
      <w:tr w:rsidR="00230E2B" w:rsidRPr="005833DD" w:rsidTr="001F3CDA">
        <w:tc>
          <w:tcPr>
            <w:tcW w:w="5000" w:type="pct"/>
          </w:tcPr>
          <w:p w:rsidR="00230E2B" w:rsidRDefault="00B80E69" w:rsidP="00230E2B">
            <w:pPr>
              <w:pStyle w:val="LTVerzDerFragendenFrage"/>
            </w:pPr>
            <w:hyperlink w:anchor="Frage_Nr_28" w:tooltip="Frage Nr 28" w:history="1">
              <w:r w:rsidR="00230E2B">
                <w:rPr>
                  <w:rStyle w:val="Hyperlink"/>
                  <w:szCs w:val="24"/>
                </w:rPr>
                <w:t>Mobile Luftreinigungsgeräte an bayerischen Schulen II</w:t>
              </w:r>
              <w:r w:rsidR="00230E2B">
                <w:rPr>
                  <w:rStyle w:val="Hyperlink"/>
                  <w:szCs w:val="24"/>
                </w:rPr>
                <w:tab/>
                <w:t>28</w:t>
              </w:r>
            </w:hyperlink>
          </w:p>
        </w:tc>
      </w:tr>
      <w:tr w:rsidR="00230E2B" w:rsidRPr="005833DD" w:rsidTr="001F3CDA">
        <w:tc>
          <w:tcPr>
            <w:tcW w:w="5000" w:type="pct"/>
          </w:tcPr>
          <w:p w:rsidR="00230E2B" w:rsidRDefault="00230E2B" w:rsidP="00230E2B">
            <w:pPr>
              <w:pStyle w:val="LTVerzDerFragenden"/>
            </w:pPr>
            <w:r>
              <w:t>Demirel, Gülseren (BÜNDNIS 90/DIE GRÜNEN)</w:t>
            </w:r>
          </w:p>
        </w:tc>
      </w:tr>
      <w:tr w:rsidR="00230E2B" w:rsidRPr="005833DD" w:rsidTr="001F3CDA">
        <w:tc>
          <w:tcPr>
            <w:tcW w:w="5000" w:type="pct"/>
          </w:tcPr>
          <w:p w:rsidR="00230E2B" w:rsidRDefault="00B80E69" w:rsidP="00230E2B">
            <w:pPr>
              <w:pStyle w:val="LTVerzDerFragendenFrage"/>
            </w:pPr>
            <w:hyperlink w:anchor="Frage_Nr_4" w:tooltip="Frage Nr 4" w:history="1">
              <w:r w:rsidR="00230E2B">
                <w:rPr>
                  <w:rStyle w:val="Hyperlink"/>
                  <w:szCs w:val="24"/>
                </w:rPr>
                <w:t>Bleiberechtsregelung und Umset</w:t>
              </w:r>
              <w:r w:rsidR="006047D8">
                <w:rPr>
                  <w:rStyle w:val="Hyperlink"/>
                  <w:szCs w:val="24"/>
                </w:rPr>
                <w:t>zung der Bundesvorgaben aus dem</w:t>
              </w:r>
              <w:r w:rsidR="006047D8">
                <w:rPr>
                  <w:rStyle w:val="Hyperlink"/>
                  <w:szCs w:val="24"/>
                </w:rPr>
                <w:br/>
              </w:r>
              <w:r w:rsidR="00230E2B">
                <w:rPr>
                  <w:rStyle w:val="Hyperlink"/>
                  <w:szCs w:val="24"/>
                </w:rPr>
                <w:t>Bereich Asylpolitik</w:t>
              </w:r>
              <w:r w:rsidR="00230E2B">
                <w:rPr>
                  <w:rStyle w:val="Hyperlink"/>
                  <w:szCs w:val="24"/>
                </w:rPr>
                <w:tab/>
                <w:t>4</w:t>
              </w:r>
            </w:hyperlink>
          </w:p>
        </w:tc>
      </w:tr>
      <w:tr w:rsidR="00230E2B" w:rsidRPr="005833DD" w:rsidTr="001F3CDA">
        <w:tc>
          <w:tcPr>
            <w:tcW w:w="5000" w:type="pct"/>
          </w:tcPr>
          <w:p w:rsidR="00230E2B" w:rsidRDefault="00230E2B" w:rsidP="00230E2B">
            <w:pPr>
              <w:pStyle w:val="LTVerzDerFragenden"/>
            </w:pPr>
            <w:r>
              <w:t>Duin, Albert (FDP)</w:t>
            </w:r>
          </w:p>
        </w:tc>
      </w:tr>
      <w:tr w:rsidR="00230E2B" w:rsidRPr="005833DD" w:rsidTr="001F3CDA">
        <w:tc>
          <w:tcPr>
            <w:tcW w:w="5000" w:type="pct"/>
          </w:tcPr>
          <w:p w:rsidR="00230E2B" w:rsidRDefault="00B80E69" w:rsidP="00230E2B">
            <w:pPr>
              <w:pStyle w:val="LTVerzDerFragendenFrage"/>
            </w:pPr>
            <w:hyperlink w:anchor="Frage_Nr_44" w:tooltip="Frage Nr 44" w:history="1">
              <w:r w:rsidR="00230E2B">
                <w:rPr>
                  <w:rStyle w:val="Hyperlink"/>
                  <w:szCs w:val="24"/>
                </w:rPr>
                <w:t>Unterstützung für bayerische Festwirte</w:t>
              </w:r>
              <w:r w:rsidR="005508E8">
                <w:rPr>
                  <w:rStyle w:val="Hyperlink"/>
                  <w:szCs w:val="24"/>
                </w:rPr>
                <w:t xml:space="preserve"> </w:t>
              </w:r>
              <w:r w:rsidR="00230E2B">
                <w:rPr>
                  <w:rStyle w:val="Hyperlink"/>
                  <w:szCs w:val="24"/>
                </w:rPr>
                <w:tab/>
                <w:t>44</w:t>
              </w:r>
            </w:hyperlink>
          </w:p>
        </w:tc>
      </w:tr>
      <w:tr w:rsidR="00230E2B" w:rsidRPr="005833DD" w:rsidTr="001F3CDA">
        <w:tc>
          <w:tcPr>
            <w:tcW w:w="5000" w:type="pct"/>
          </w:tcPr>
          <w:p w:rsidR="00230E2B" w:rsidRDefault="00230E2B" w:rsidP="00230E2B">
            <w:pPr>
              <w:pStyle w:val="LTVerzDerFragenden"/>
            </w:pPr>
            <w:r>
              <w:t>Ebner-Steiner, Katrin (AfD)</w:t>
            </w:r>
          </w:p>
        </w:tc>
      </w:tr>
      <w:tr w:rsidR="00230E2B" w:rsidRPr="005833DD" w:rsidTr="001F3CDA">
        <w:tc>
          <w:tcPr>
            <w:tcW w:w="5000" w:type="pct"/>
          </w:tcPr>
          <w:p w:rsidR="00230E2B" w:rsidRDefault="00B80E69" w:rsidP="00230E2B">
            <w:pPr>
              <w:pStyle w:val="LTVerzDerFragendenFrage"/>
            </w:pPr>
            <w:hyperlink w:anchor="Frage_Nr_59" w:tooltip="Frage Nr 59" w:history="1">
              <w:r w:rsidR="00230E2B">
                <w:rPr>
                  <w:rStyle w:val="Hyperlink"/>
                  <w:szCs w:val="24"/>
                </w:rPr>
                <w:t>Reduzierung des Risikos schwerer Verläufe durch Schutzimpfungen</w:t>
              </w:r>
              <w:r w:rsidR="00230E2B">
                <w:rPr>
                  <w:rStyle w:val="Hyperlink"/>
                  <w:szCs w:val="24"/>
                </w:rPr>
                <w:tab/>
                <w:t>59</w:t>
              </w:r>
            </w:hyperlink>
          </w:p>
        </w:tc>
      </w:tr>
      <w:tr w:rsidR="00230E2B" w:rsidRPr="005833DD" w:rsidTr="001F3CDA">
        <w:tc>
          <w:tcPr>
            <w:tcW w:w="5000" w:type="pct"/>
          </w:tcPr>
          <w:p w:rsidR="00230E2B" w:rsidRDefault="00230E2B" w:rsidP="00230E2B">
            <w:pPr>
              <w:pStyle w:val="LTVerzDerFragenden"/>
            </w:pPr>
            <w:r>
              <w:t>Fehlner, Martina (SPD)</w:t>
            </w:r>
          </w:p>
        </w:tc>
      </w:tr>
      <w:tr w:rsidR="00230E2B" w:rsidRPr="005833DD" w:rsidTr="001F3CDA">
        <w:tc>
          <w:tcPr>
            <w:tcW w:w="5000" w:type="pct"/>
          </w:tcPr>
          <w:p w:rsidR="00230E2B" w:rsidRDefault="00B80E69" w:rsidP="00230E2B">
            <w:pPr>
              <w:pStyle w:val="LTVerzDerFragendenFrage"/>
            </w:pPr>
            <w:hyperlink w:anchor="Frage_Nr_52" w:tooltip="Frage Nr 52" w:history="1">
              <w:r w:rsidR="00230E2B">
                <w:rPr>
                  <w:rStyle w:val="Hyperlink"/>
                  <w:szCs w:val="24"/>
                </w:rPr>
                <w:t>Lebensmittelverschwendung in Bayern</w:t>
              </w:r>
              <w:r w:rsidR="00230E2B">
                <w:rPr>
                  <w:rStyle w:val="Hyperlink"/>
                  <w:szCs w:val="24"/>
                </w:rPr>
                <w:tab/>
                <w:t>52</w:t>
              </w:r>
            </w:hyperlink>
          </w:p>
        </w:tc>
      </w:tr>
      <w:tr w:rsidR="00230E2B" w:rsidRPr="005833DD" w:rsidTr="001F3CDA">
        <w:tc>
          <w:tcPr>
            <w:tcW w:w="5000" w:type="pct"/>
          </w:tcPr>
          <w:p w:rsidR="00230E2B" w:rsidRDefault="00230E2B" w:rsidP="00230E2B">
            <w:pPr>
              <w:pStyle w:val="LTVerzDerFragenden"/>
            </w:pPr>
            <w:r>
              <w:t>Fischbach, Matthias (FDP)</w:t>
            </w:r>
          </w:p>
        </w:tc>
      </w:tr>
      <w:tr w:rsidR="00230E2B" w:rsidRPr="005833DD" w:rsidTr="001F3CDA">
        <w:tc>
          <w:tcPr>
            <w:tcW w:w="5000" w:type="pct"/>
          </w:tcPr>
          <w:p w:rsidR="00230E2B" w:rsidRDefault="00B80E69" w:rsidP="00230E2B">
            <w:pPr>
              <w:pStyle w:val="LTVerzDerFragendenFrage"/>
            </w:pPr>
            <w:hyperlink w:anchor="Frage_Nr_29" w:tooltip="Frage Nr 29" w:history="1">
              <w:r w:rsidR="00230E2B">
                <w:rPr>
                  <w:rStyle w:val="Hyperlink"/>
                  <w:szCs w:val="24"/>
                </w:rPr>
                <w:t>Vergaben im Rahmen der ByCS</w:t>
              </w:r>
              <w:r w:rsidR="00230E2B">
                <w:rPr>
                  <w:rStyle w:val="Hyperlink"/>
                  <w:szCs w:val="24"/>
                </w:rPr>
                <w:tab/>
                <w:t>29</w:t>
              </w:r>
            </w:hyperlink>
          </w:p>
        </w:tc>
      </w:tr>
      <w:tr w:rsidR="00230E2B" w:rsidRPr="005833DD" w:rsidTr="001F3CDA">
        <w:tc>
          <w:tcPr>
            <w:tcW w:w="5000" w:type="pct"/>
          </w:tcPr>
          <w:p w:rsidR="00230E2B" w:rsidRDefault="00230E2B" w:rsidP="00230E2B">
            <w:pPr>
              <w:pStyle w:val="LTVerzDerFragenden"/>
            </w:pPr>
            <w:r>
              <w:t>Franke, Anne (BÜNDNIS 90/DIE GRÜNEN)</w:t>
            </w:r>
          </w:p>
        </w:tc>
      </w:tr>
      <w:tr w:rsidR="00230E2B" w:rsidRPr="005833DD" w:rsidTr="001F3CDA">
        <w:tc>
          <w:tcPr>
            <w:tcW w:w="5000" w:type="pct"/>
          </w:tcPr>
          <w:p w:rsidR="00230E2B" w:rsidRDefault="00B80E69" w:rsidP="00230E2B">
            <w:pPr>
              <w:pStyle w:val="LTVerzDerFragendenFrage"/>
            </w:pPr>
            <w:hyperlink w:anchor="Frage_Nr_37" w:tooltip="Frage Nr 37" w:history="1">
              <w:r w:rsidR="00230E2B">
                <w:rPr>
                  <w:rStyle w:val="Hyperlink"/>
                  <w:szCs w:val="24"/>
                </w:rPr>
                <w:t>Stärkung der Friedens- und Konfliktforschung in Bayern</w:t>
              </w:r>
              <w:r w:rsidR="00230E2B">
                <w:rPr>
                  <w:rStyle w:val="Hyperlink"/>
                  <w:szCs w:val="24"/>
                </w:rPr>
                <w:tab/>
                <w:t>37</w:t>
              </w:r>
            </w:hyperlink>
          </w:p>
        </w:tc>
      </w:tr>
      <w:tr w:rsidR="00230E2B" w:rsidRPr="005833DD" w:rsidTr="001F3CDA">
        <w:tc>
          <w:tcPr>
            <w:tcW w:w="5000" w:type="pct"/>
          </w:tcPr>
          <w:p w:rsidR="00230E2B" w:rsidRDefault="00230E2B" w:rsidP="00230E2B">
            <w:pPr>
              <w:pStyle w:val="LTVerzDerFragenden"/>
            </w:pPr>
            <w:r>
              <w:t>Friedl, Patrick (BÜNDNIS 90/DIE GRÜNEN)</w:t>
            </w:r>
          </w:p>
        </w:tc>
      </w:tr>
      <w:tr w:rsidR="00230E2B" w:rsidRPr="005833DD" w:rsidTr="001F3CDA">
        <w:tc>
          <w:tcPr>
            <w:tcW w:w="5000" w:type="pct"/>
          </w:tcPr>
          <w:p w:rsidR="00230E2B" w:rsidRDefault="00B80E69" w:rsidP="00230E2B">
            <w:pPr>
              <w:pStyle w:val="LTVerzDerFragendenFrage"/>
            </w:pPr>
            <w:hyperlink w:anchor="Frage_Nr_15" w:tooltip="Frage Nr 15" w:history="1">
              <w:r w:rsidR="00473C10">
                <w:rPr>
                  <w:rStyle w:val="Hyperlink"/>
                  <w:szCs w:val="24"/>
                </w:rPr>
                <w:t>Erbbaurecht</w:t>
              </w:r>
              <w:r w:rsidR="00230E2B">
                <w:rPr>
                  <w:rStyle w:val="Hyperlink"/>
                  <w:szCs w:val="24"/>
                </w:rPr>
                <w:t xml:space="preserve"> am Oberen Burgweg in Würzburg</w:t>
              </w:r>
              <w:r w:rsidR="00230E2B">
                <w:rPr>
                  <w:rStyle w:val="Hyperlink"/>
                  <w:szCs w:val="24"/>
                </w:rPr>
                <w:tab/>
                <w:t>15</w:t>
              </w:r>
            </w:hyperlink>
          </w:p>
        </w:tc>
      </w:tr>
      <w:tr w:rsidR="00230E2B" w:rsidRPr="005833DD" w:rsidTr="001F3CDA">
        <w:tc>
          <w:tcPr>
            <w:tcW w:w="5000" w:type="pct"/>
          </w:tcPr>
          <w:p w:rsidR="00230E2B" w:rsidRDefault="00230E2B" w:rsidP="00230E2B">
            <w:pPr>
              <w:pStyle w:val="LTVerzDerFragenden"/>
            </w:pPr>
            <w:r>
              <w:t>Fuchs, Barbara (BÜNDNIS 90/DIE GRÜNEN)</w:t>
            </w:r>
          </w:p>
        </w:tc>
      </w:tr>
      <w:tr w:rsidR="00230E2B" w:rsidRPr="005833DD" w:rsidTr="001F3CDA">
        <w:tc>
          <w:tcPr>
            <w:tcW w:w="5000" w:type="pct"/>
          </w:tcPr>
          <w:p w:rsidR="00230E2B" w:rsidRDefault="00B80E69" w:rsidP="00230E2B">
            <w:pPr>
              <w:pStyle w:val="LTVerzDerFragendenFrage"/>
            </w:pPr>
            <w:hyperlink w:anchor="Frage_Nr_5" w:tooltip="Frage Nr 5" w:history="1">
              <w:r w:rsidR="00230E2B">
                <w:rPr>
                  <w:rStyle w:val="Hyperlink"/>
                  <w:szCs w:val="24"/>
                </w:rPr>
                <w:t>Notärztliche Versorgung im Landkreis Neustadt a.</w:t>
              </w:r>
              <w:r w:rsidR="006047D8">
                <w:rPr>
                  <w:rStyle w:val="Hyperlink"/>
                  <w:szCs w:val="24"/>
                </w:rPr>
                <w:t> </w:t>
              </w:r>
              <w:r w:rsidR="00230E2B">
                <w:rPr>
                  <w:rStyle w:val="Hyperlink"/>
                  <w:szCs w:val="24"/>
                </w:rPr>
                <w:t>d.Aisch-Bad Windsheim</w:t>
              </w:r>
              <w:r w:rsidR="00230E2B">
                <w:rPr>
                  <w:rStyle w:val="Hyperlink"/>
                  <w:szCs w:val="24"/>
                </w:rPr>
                <w:tab/>
                <w:t>5</w:t>
              </w:r>
            </w:hyperlink>
          </w:p>
        </w:tc>
      </w:tr>
      <w:tr w:rsidR="00230E2B" w:rsidRPr="005833DD" w:rsidTr="001F3CDA">
        <w:tc>
          <w:tcPr>
            <w:tcW w:w="5000" w:type="pct"/>
          </w:tcPr>
          <w:p w:rsidR="00230E2B" w:rsidRDefault="00230E2B" w:rsidP="00230E2B">
            <w:pPr>
              <w:pStyle w:val="LTVerzDerFragenden"/>
            </w:pPr>
            <w:r>
              <w:t>Gehring, Thomas (BÜNDNIS 90/DIE GRÜNEN)</w:t>
            </w:r>
          </w:p>
        </w:tc>
      </w:tr>
      <w:tr w:rsidR="00230E2B" w:rsidRPr="005833DD" w:rsidTr="001F3CDA">
        <w:tc>
          <w:tcPr>
            <w:tcW w:w="5000" w:type="pct"/>
          </w:tcPr>
          <w:p w:rsidR="00230E2B" w:rsidRDefault="00B80E69" w:rsidP="00230E2B">
            <w:pPr>
              <w:pStyle w:val="LTVerzDerFragendenFrage"/>
            </w:pPr>
            <w:hyperlink w:anchor="Frage_Nr_6" w:tooltip="Frage Nr 6" w:history="1">
              <w:r w:rsidR="00230E2B">
                <w:rPr>
                  <w:rStyle w:val="Hyperlink"/>
                  <w:szCs w:val="24"/>
                </w:rPr>
                <w:t>Tonnagebeschränkung auf Staatsstraßen</w:t>
              </w:r>
              <w:r w:rsidR="00230E2B">
                <w:rPr>
                  <w:rStyle w:val="Hyperlink"/>
                  <w:szCs w:val="24"/>
                </w:rPr>
                <w:tab/>
                <w:t>6</w:t>
              </w:r>
            </w:hyperlink>
          </w:p>
        </w:tc>
      </w:tr>
      <w:tr w:rsidR="00230E2B" w:rsidRPr="005833DD" w:rsidTr="001F3CDA">
        <w:tc>
          <w:tcPr>
            <w:tcW w:w="5000" w:type="pct"/>
          </w:tcPr>
          <w:p w:rsidR="00230E2B" w:rsidRDefault="00230E2B" w:rsidP="00230E2B">
            <w:pPr>
              <w:pStyle w:val="LTVerzDerFragenden"/>
            </w:pPr>
            <w:r>
              <w:t>Hagen, Martin (FDP)</w:t>
            </w:r>
          </w:p>
        </w:tc>
      </w:tr>
      <w:tr w:rsidR="00230E2B" w:rsidRPr="005833DD" w:rsidTr="001F3CDA">
        <w:tc>
          <w:tcPr>
            <w:tcW w:w="5000" w:type="pct"/>
          </w:tcPr>
          <w:p w:rsidR="00230E2B" w:rsidRDefault="00B80E69" w:rsidP="00230E2B">
            <w:pPr>
              <w:pStyle w:val="LTVerzDerFragendenFrage"/>
            </w:pPr>
            <w:hyperlink w:anchor="Frage_Nr_24" w:tooltip="Frage Nr 24" w:history="1">
              <w:r w:rsidR="00230E2B">
                <w:rPr>
                  <w:rStyle w:val="Hyperlink"/>
                  <w:szCs w:val="24"/>
                </w:rPr>
                <w:t>Verfolgung kirchlicher Missbrauchsfälle</w:t>
              </w:r>
              <w:r w:rsidR="00230E2B">
                <w:rPr>
                  <w:rStyle w:val="Hyperlink"/>
                  <w:szCs w:val="24"/>
                </w:rPr>
                <w:tab/>
                <w:t>24</w:t>
              </w:r>
            </w:hyperlink>
          </w:p>
        </w:tc>
      </w:tr>
      <w:tr w:rsidR="00230E2B" w:rsidRPr="005833DD" w:rsidTr="001F3CDA">
        <w:tc>
          <w:tcPr>
            <w:tcW w:w="5000" w:type="pct"/>
          </w:tcPr>
          <w:p w:rsidR="00230E2B" w:rsidRDefault="00230E2B" w:rsidP="00230E2B">
            <w:pPr>
              <w:pStyle w:val="LTVerzDerFragenden"/>
            </w:pPr>
            <w:r>
              <w:t>Halbleib, Volkmar (SPD)</w:t>
            </w:r>
          </w:p>
        </w:tc>
      </w:tr>
      <w:tr w:rsidR="00230E2B" w:rsidRPr="005833DD" w:rsidTr="001F3CDA">
        <w:tc>
          <w:tcPr>
            <w:tcW w:w="5000" w:type="pct"/>
          </w:tcPr>
          <w:p w:rsidR="00230E2B" w:rsidRDefault="00B80E69" w:rsidP="00230E2B">
            <w:pPr>
              <w:pStyle w:val="LTVerzDerFragendenFrage"/>
            </w:pPr>
            <w:hyperlink w:anchor="Frage_Nr_30" w:tooltip="Frage Nr 30" w:history="1">
              <w:r w:rsidR="00230E2B">
                <w:rPr>
                  <w:rStyle w:val="Hyperlink"/>
                  <w:szCs w:val="24"/>
                </w:rPr>
                <w:t>Erstattung von Lolli-Tests für Kinder</w:t>
              </w:r>
              <w:r w:rsidR="00230E2B">
                <w:rPr>
                  <w:rStyle w:val="Hyperlink"/>
                  <w:szCs w:val="24"/>
                </w:rPr>
                <w:tab/>
                <w:t>30</w:t>
              </w:r>
            </w:hyperlink>
          </w:p>
        </w:tc>
      </w:tr>
      <w:tr w:rsidR="00230E2B" w:rsidRPr="005833DD" w:rsidTr="001F3CDA">
        <w:tc>
          <w:tcPr>
            <w:tcW w:w="5000" w:type="pct"/>
          </w:tcPr>
          <w:p w:rsidR="00230E2B" w:rsidRDefault="00230E2B" w:rsidP="00230E2B">
            <w:pPr>
              <w:pStyle w:val="LTVerzDerFragenden"/>
            </w:pPr>
            <w:r>
              <w:t>Hartmann, Ludwig (BÜNDNIS 90/DIE GRÜNEN)</w:t>
            </w:r>
          </w:p>
        </w:tc>
      </w:tr>
      <w:tr w:rsidR="00230E2B" w:rsidRPr="005833DD" w:rsidTr="001F3CDA">
        <w:tc>
          <w:tcPr>
            <w:tcW w:w="5000" w:type="pct"/>
          </w:tcPr>
          <w:p w:rsidR="00230E2B" w:rsidRDefault="00B80E69" w:rsidP="00230E2B">
            <w:pPr>
              <w:pStyle w:val="LTVerzDerFragendenFrage"/>
            </w:pPr>
            <w:hyperlink w:anchor="Frage_Nr_48" w:tooltip="Frage Nr 48" w:history="1">
              <w:r w:rsidR="00230E2B">
                <w:rPr>
                  <w:rStyle w:val="Hyperlink"/>
                  <w:szCs w:val="24"/>
                </w:rPr>
                <w:t>Schutz des Steigerwalds</w:t>
              </w:r>
              <w:r w:rsidR="00230E2B">
                <w:rPr>
                  <w:rStyle w:val="Hyperlink"/>
                  <w:szCs w:val="24"/>
                </w:rPr>
                <w:tab/>
                <w:t>48</w:t>
              </w:r>
            </w:hyperlink>
          </w:p>
        </w:tc>
      </w:tr>
      <w:tr w:rsidR="00230E2B" w:rsidRPr="005833DD" w:rsidTr="001F3CDA">
        <w:tc>
          <w:tcPr>
            <w:tcW w:w="5000" w:type="pct"/>
          </w:tcPr>
          <w:p w:rsidR="00230E2B" w:rsidRDefault="00230E2B" w:rsidP="00230E2B">
            <w:pPr>
              <w:pStyle w:val="LTVerzDerFragenden"/>
            </w:pPr>
            <w:r>
              <w:t>Haubrich, Christina (BÜNDNIS 90/DIE GRÜNEN)</w:t>
            </w:r>
          </w:p>
        </w:tc>
      </w:tr>
      <w:tr w:rsidR="00230E2B" w:rsidRPr="005833DD" w:rsidTr="001F3CDA">
        <w:tc>
          <w:tcPr>
            <w:tcW w:w="5000" w:type="pct"/>
          </w:tcPr>
          <w:p w:rsidR="00230E2B" w:rsidRDefault="00B80E69" w:rsidP="00230E2B">
            <w:pPr>
              <w:pStyle w:val="LTVerzDerFragendenFrage"/>
            </w:pPr>
            <w:hyperlink w:anchor="Frage_Nr_60" w:tooltip="Frage Nr 60" w:history="1">
              <w:r w:rsidR="00230E2B">
                <w:rPr>
                  <w:rStyle w:val="Hyperlink"/>
                  <w:szCs w:val="24"/>
                </w:rPr>
                <w:t>Aufklärung des Corona-Ausbruchs im Friedberger Krankenhaus</w:t>
              </w:r>
              <w:r w:rsidR="00230E2B">
                <w:rPr>
                  <w:rStyle w:val="Hyperlink"/>
                  <w:szCs w:val="24"/>
                </w:rPr>
                <w:tab/>
                <w:t>60</w:t>
              </w:r>
            </w:hyperlink>
          </w:p>
        </w:tc>
      </w:tr>
      <w:tr w:rsidR="00230E2B" w:rsidRPr="005833DD" w:rsidTr="001F3CDA">
        <w:tc>
          <w:tcPr>
            <w:tcW w:w="5000" w:type="pct"/>
          </w:tcPr>
          <w:p w:rsidR="00230E2B" w:rsidRDefault="00230E2B" w:rsidP="00230E2B">
            <w:pPr>
              <w:pStyle w:val="LTVerzDerFragenden"/>
            </w:pPr>
            <w:r>
              <w:t>Hayn, Elmar (BÜNDNIS 90/DIE GRÜNEN)</w:t>
            </w:r>
          </w:p>
        </w:tc>
      </w:tr>
      <w:tr w:rsidR="00230E2B" w:rsidRPr="005833DD" w:rsidTr="001F3CDA">
        <w:tc>
          <w:tcPr>
            <w:tcW w:w="5000" w:type="pct"/>
          </w:tcPr>
          <w:p w:rsidR="00230E2B" w:rsidRDefault="00B80E69" w:rsidP="00230E2B">
            <w:pPr>
              <w:pStyle w:val="LTVerzDerFragendenFrage"/>
            </w:pPr>
            <w:hyperlink w:anchor="Frage_Nr_16" w:tooltip="Frage Nr 16" w:history="1">
              <w:r w:rsidR="00230E2B">
                <w:rPr>
                  <w:rStyle w:val="Hyperlink"/>
                  <w:szCs w:val="24"/>
                </w:rPr>
                <w:t>Wohnungen der BayernHeim GmbH im Stadtgebiet München</w:t>
              </w:r>
              <w:r w:rsidR="00230E2B">
                <w:rPr>
                  <w:rStyle w:val="Hyperlink"/>
                  <w:szCs w:val="24"/>
                </w:rPr>
                <w:tab/>
                <w:t>16</w:t>
              </w:r>
            </w:hyperlink>
          </w:p>
        </w:tc>
      </w:tr>
      <w:tr w:rsidR="00230E2B" w:rsidRPr="005833DD" w:rsidTr="001F3CDA">
        <w:tc>
          <w:tcPr>
            <w:tcW w:w="5000" w:type="pct"/>
          </w:tcPr>
          <w:p w:rsidR="00230E2B" w:rsidRDefault="00230E2B" w:rsidP="00230E2B">
            <w:pPr>
              <w:pStyle w:val="LTVerzDerFragenden"/>
            </w:pPr>
            <w:r>
              <w:t>Dr. Heubisch, Wolfgang (FDP)</w:t>
            </w:r>
          </w:p>
        </w:tc>
      </w:tr>
      <w:tr w:rsidR="00230E2B" w:rsidRPr="005833DD" w:rsidTr="001F3CDA">
        <w:tc>
          <w:tcPr>
            <w:tcW w:w="5000" w:type="pct"/>
          </w:tcPr>
          <w:p w:rsidR="00230E2B" w:rsidRDefault="00B80E69" w:rsidP="00473C10">
            <w:pPr>
              <w:pStyle w:val="LTVerzDerFragendenFrage"/>
            </w:pPr>
            <w:hyperlink w:anchor="Frage_Nr_1" w:tooltip="Frage Nr 1" w:history="1">
              <w:r w:rsidR="00230E2B">
                <w:rPr>
                  <w:rStyle w:val="Hyperlink"/>
                  <w:szCs w:val="24"/>
                </w:rPr>
                <w:t>Zahl der Gespräch</w:t>
              </w:r>
              <w:r w:rsidR="00473C10">
                <w:rPr>
                  <w:rStyle w:val="Hyperlink"/>
                  <w:szCs w:val="24"/>
                </w:rPr>
                <w:t>stermine des Ministerpräsidenten Dr. Markus Söder</w:t>
              </w:r>
              <w:r w:rsidR="00230E2B">
                <w:rPr>
                  <w:rStyle w:val="Hyperlink"/>
                  <w:szCs w:val="24"/>
                </w:rPr>
                <w:t xml:space="preserve"> mit Perso</w:t>
              </w:r>
              <w:r w:rsidR="006047D8">
                <w:rPr>
                  <w:rStyle w:val="Hyperlink"/>
                  <w:szCs w:val="24"/>
                </w:rPr>
                <w:t>nen</w:t>
              </w:r>
              <w:r w:rsidR="00473C10">
                <w:rPr>
                  <w:rStyle w:val="Hyperlink"/>
                  <w:szCs w:val="24"/>
                </w:rPr>
                <w:t xml:space="preserve"> </w:t>
              </w:r>
              <w:r w:rsidR="00230E2B">
                <w:rPr>
                  <w:rStyle w:val="Hyperlink"/>
                  <w:szCs w:val="24"/>
                </w:rPr>
                <w:t>aus dem Kulturbereich während Corona</w:t>
              </w:r>
              <w:r w:rsidR="00230E2B">
                <w:rPr>
                  <w:rStyle w:val="Hyperlink"/>
                  <w:szCs w:val="24"/>
                </w:rPr>
                <w:tab/>
                <w:t>1</w:t>
              </w:r>
            </w:hyperlink>
          </w:p>
        </w:tc>
      </w:tr>
      <w:tr w:rsidR="00230E2B" w:rsidRPr="005833DD" w:rsidTr="001F3CDA">
        <w:tc>
          <w:tcPr>
            <w:tcW w:w="5000" w:type="pct"/>
          </w:tcPr>
          <w:p w:rsidR="00230E2B" w:rsidRDefault="00230E2B" w:rsidP="00230E2B">
            <w:pPr>
              <w:pStyle w:val="LTVerzDerFragenden"/>
            </w:pPr>
            <w:r>
              <w:t>Hiersemann, Alexandra (SPD)</w:t>
            </w:r>
          </w:p>
        </w:tc>
      </w:tr>
      <w:tr w:rsidR="00230E2B" w:rsidRPr="005833DD" w:rsidTr="001F3CDA">
        <w:tc>
          <w:tcPr>
            <w:tcW w:w="5000" w:type="pct"/>
          </w:tcPr>
          <w:p w:rsidR="00230E2B" w:rsidRDefault="00B80E69" w:rsidP="00230E2B">
            <w:pPr>
              <w:pStyle w:val="LTVerzDerFragendenFrage"/>
            </w:pPr>
            <w:hyperlink w:anchor="Frage_Nr_7" w:tooltip="Frage Nr 7" w:history="1">
              <w:r w:rsidR="00230E2B">
                <w:rPr>
                  <w:rStyle w:val="Hyperlink"/>
                  <w:szCs w:val="24"/>
                </w:rPr>
                <w:t>Vorgriffsregelung/Vorfeldregelung zum Aufenthaltsrecht</w:t>
              </w:r>
              <w:r w:rsidR="00230E2B">
                <w:rPr>
                  <w:rStyle w:val="Hyperlink"/>
                  <w:szCs w:val="24"/>
                </w:rPr>
                <w:tab/>
                <w:t>7</w:t>
              </w:r>
            </w:hyperlink>
          </w:p>
        </w:tc>
      </w:tr>
      <w:tr w:rsidR="00230E2B" w:rsidRPr="005833DD" w:rsidTr="001F3CDA">
        <w:tc>
          <w:tcPr>
            <w:tcW w:w="5000" w:type="pct"/>
          </w:tcPr>
          <w:p w:rsidR="00230E2B" w:rsidRDefault="00230E2B" w:rsidP="00230E2B">
            <w:pPr>
              <w:pStyle w:val="LTVerzDerFragenden"/>
            </w:pPr>
            <w:r>
              <w:t>Dr. Kaltenhauser, Helmut (FDP)</w:t>
            </w:r>
          </w:p>
        </w:tc>
      </w:tr>
      <w:tr w:rsidR="00230E2B" w:rsidRPr="005833DD" w:rsidTr="001F3CDA">
        <w:tc>
          <w:tcPr>
            <w:tcW w:w="5000" w:type="pct"/>
          </w:tcPr>
          <w:p w:rsidR="00230E2B" w:rsidRDefault="00B80E69" w:rsidP="00473C10">
            <w:pPr>
              <w:pStyle w:val="LTVerzDerFragendenFrage"/>
            </w:pPr>
            <w:hyperlink w:anchor="Frage_Nr_61" w:tooltip="Frage Nr 61" w:history="1">
              <w:r w:rsidR="00230E2B">
                <w:rPr>
                  <w:rStyle w:val="Hyperlink"/>
                  <w:szCs w:val="24"/>
                </w:rPr>
                <w:t>Zurückgerufene Ware des L</w:t>
              </w:r>
              <w:r w:rsidR="00473C10">
                <w:rPr>
                  <w:rStyle w:val="Hyperlink"/>
                  <w:szCs w:val="24"/>
                </w:rPr>
                <w:t xml:space="preserve">andesamts für Gesundheit und </w:t>
              </w:r>
              <w:r w:rsidR="00473C10">
                <w:rPr>
                  <w:rStyle w:val="Hyperlink"/>
                  <w:szCs w:val="24"/>
                </w:rPr>
                <w:br/>
                <w:t>Lebensmittelsicherheit</w:t>
              </w:r>
              <w:r w:rsidR="00230E2B">
                <w:rPr>
                  <w:rStyle w:val="Hyperlink"/>
                  <w:szCs w:val="24"/>
                </w:rPr>
                <w:tab/>
                <w:t>61</w:t>
              </w:r>
            </w:hyperlink>
          </w:p>
        </w:tc>
      </w:tr>
      <w:tr w:rsidR="00230E2B" w:rsidRPr="005833DD" w:rsidTr="001F3CDA">
        <w:tc>
          <w:tcPr>
            <w:tcW w:w="5000" w:type="pct"/>
          </w:tcPr>
          <w:p w:rsidR="00230E2B" w:rsidRDefault="00230E2B" w:rsidP="00230E2B">
            <w:pPr>
              <w:pStyle w:val="LTVerzDerFragenden"/>
            </w:pPr>
            <w:r>
              <w:t>Klingen, Christian (AfD)</w:t>
            </w:r>
          </w:p>
        </w:tc>
      </w:tr>
      <w:tr w:rsidR="00230E2B" w:rsidRPr="005833DD" w:rsidTr="001F3CDA">
        <w:tc>
          <w:tcPr>
            <w:tcW w:w="5000" w:type="pct"/>
          </w:tcPr>
          <w:p w:rsidR="00230E2B" w:rsidRDefault="00B80E69" w:rsidP="00230E2B">
            <w:pPr>
              <w:pStyle w:val="LTVerzDerFragendenFrage"/>
            </w:pPr>
            <w:hyperlink w:anchor="Frage_Nr_62" w:tooltip="Frage Nr 62" w:history="1">
              <w:r w:rsidR="00230E2B">
                <w:rPr>
                  <w:rStyle w:val="Hyperlink"/>
                  <w:szCs w:val="24"/>
                </w:rPr>
                <w:t>Werden Impfstoffe herkömml</w:t>
              </w:r>
              <w:r w:rsidR="00473C10">
                <w:rPr>
                  <w:rStyle w:val="Hyperlink"/>
                  <w:szCs w:val="24"/>
                </w:rPr>
                <w:t>icher Art durch mRNA-Impfstoffe</w:t>
              </w:r>
              <w:r w:rsidR="00230E2B">
                <w:rPr>
                  <w:rStyle w:val="Hyperlink"/>
                  <w:szCs w:val="24"/>
                </w:rPr>
                <w:t xml:space="preserve"> ersetzt?</w:t>
              </w:r>
              <w:r w:rsidR="00230E2B">
                <w:rPr>
                  <w:rStyle w:val="Hyperlink"/>
                  <w:szCs w:val="24"/>
                </w:rPr>
                <w:tab/>
                <w:t>62</w:t>
              </w:r>
            </w:hyperlink>
          </w:p>
        </w:tc>
      </w:tr>
      <w:tr w:rsidR="00230E2B" w:rsidRPr="005833DD" w:rsidTr="001F3CDA">
        <w:tc>
          <w:tcPr>
            <w:tcW w:w="5000" w:type="pct"/>
          </w:tcPr>
          <w:p w:rsidR="00230E2B" w:rsidRDefault="00230E2B" w:rsidP="00230E2B">
            <w:pPr>
              <w:pStyle w:val="LTVerzDerFragenden"/>
            </w:pPr>
            <w:r>
              <w:t>Knoblach, Paul (BÜNDNIS 90/DIE GRÜNEN)</w:t>
            </w:r>
          </w:p>
        </w:tc>
      </w:tr>
      <w:tr w:rsidR="00230E2B" w:rsidRPr="005833DD" w:rsidTr="001F3CDA">
        <w:tc>
          <w:tcPr>
            <w:tcW w:w="5000" w:type="pct"/>
          </w:tcPr>
          <w:p w:rsidR="00230E2B" w:rsidRDefault="00B80E69" w:rsidP="00230E2B">
            <w:pPr>
              <w:pStyle w:val="LTVerzDerFragendenFrage"/>
            </w:pPr>
            <w:hyperlink w:anchor="Frage_Nr_49" w:tooltip="Frage Nr 49" w:history="1">
              <w:r w:rsidR="00230E2B">
                <w:rPr>
                  <w:rStyle w:val="Hyperlink"/>
                  <w:szCs w:val="24"/>
                </w:rPr>
                <w:t>Vereinheitlichung Fleischhygienegebühren</w:t>
              </w:r>
              <w:r w:rsidR="00230E2B">
                <w:rPr>
                  <w:rStyle w:val="Hyperlink"/>
                  <w:szCs w:val="24"/>
                </w:rPr>
                <w:tab/>
                <w:t>49</w:t>
              </w:r>
            </w:hyperlink>
          </w:p>
        </w:tc>
      </w:tr>
      <w:tr w:rsidR="00230E2B" w:rsidRPr="005833DD" w:rsidTr="001F3CDA">
        <w:tc>
          <w:tcPr>
            <w:tcW w:w="5000" w:type="pct"/>
          </w:tcPr>
          <w:p w:rsidR="00230E2B" w:rsidRDefault="00230E2B" w:rsidP="00230E2B">
            <w:pPr>
              <w:pStyle w:val="LTVerzDerFragenden"/>
            </w:pPr>
            <w:r>
              <w:t>Krahl, Andreas (BÜNDNIS 90/DIE GRÜNEN)</w:t>
            </w:r>
          </w:p>
        </w:tc>
      </w:tr>
      <w:tr w:rsidR="00230E2B" w:rsidRPr="005833DD" w:rsidTr="001F3CDA">
        <w:tc>
          <w:tcPr>
            <w:tcW w:w="5000" w:type="pct"/>
          </w:tcPr>
          <w:p w:rsidR="00230E2B" w:rsidRDefault="00B80E69" w:rsidP="00230E2B">
            <w:pPr>
              <w:pStyle w:val="LTVerzDerFragendenFrage"/>
            </w:pPr>
            <w:hyperlink w:anchor="Frage_Nr_63" w:tooltip="Frage Nr 63" w:history="1">
              <w:r w:rsidR="00230E2B">
                <w:rPr>
                  <w:rStyle w:val="Hyperlink"/>
                  <w:szCs w:val="24"/>
                </w:rPr>
                <w:t xml:space="preserve">Meisterbonus und Meisterpreis </w:t>
              </w:r>
              <w:r w:rsidR="006047D8">
                <w:rPr>
                  <w:rStyle w:val="Hyperlink"/>
                  <w:szCs w:val="24"/>
                </w:rPr>
                <w:t>der Bayerischen Staatsregierung</w:t>
              </w:r>
              <w:r w:rsidR="006047D8">
                <w:rPr>
                  <w:rStyle w:val="Hyperlink"/>
                  <w:szCs w:val="24"/>
                </w:rPr>
                <w:br/>
              </w:r>
              <w:r w:rsidR="00230E2B">
                <w:rPr>
                  <w:rStyle w:val="Hyperlink"/>
                  <w:szCs w:val="24"/>
                </w:rPr>
                <w:t>für Weiterbildungen in Pflegeberufen</w:t>
              </w:r>
              <w:r w:rsidR="00230E2B">
                <w:rPr>
                  <w:rStyle w:val="Hyperlink"/>
                  <w:szCs w:val="24"/>
                </w:rPr>
                <w:tab/>
                <w:t>63</w:t>
              </w:r>
            </w:hyperlink>
          </w:p>
        </w:tc>
      </w:tr>
      <w:tr w:rsidR="00230E2B" w:rsidRPr="005833DD" w:rsidTr="001F3CDA">
        <w:tc>
          <w:tcPr>
            <w:tcW w:w="5000" w:type="pct"/>
          </w:tcPr>
          <w:p w:rsidR="00230E2B" w:rsidRDefault="00230E2B" w:rsidP="00230E2B">
            <w:pPr>
              <w:pStyle w:val="LTVerzDerFragenden"/>
            </w:pPr>
            <w:r>
              <w:t>Kurz, Susanne (BÜNDNIS 90/DIE GRÜNEN)</w:t>
            </w:r>
          </w:p>
        </w:tc>
      </w:tr>
      <w:tr w:rsidR="00230E2B" w:rsidRPr="005833DD" w:rsidTr="001F3CDA">
        <w:tc>
          <w:tcPr>
            <w:tcW w:w="5000" w:type="pct"/>
          </w:tcPr>
          <w:p w:rsidR="00230E2B" w:rsidRDefault="00B80E69" w:rsidP="00230E2B">
            <w:pPr>
              <w:pStyle w:val="LTVerzDerFragendenFrage"/>
            </w:pPr>
            <w:hyperlink w:anchor="Frage_Nr_42" w:tooltip="Frage Nr 42" w:history="1">
              <w:r w:rsidR="00230E2B">
                <w:rPr>
                  <w:rStyle w:val="Hyperlink"/>
                  <w:szCs w:val="24"/>
                </w:rPr>
                <w:t xml:space="preserve">Steuerliche Unklarheiten bei </w:t>
              </w:r>
              <w:r w:rsidR="00490BF0">
                <w:rPr>
                  <w:rStyle w:val="Hyperlink"/>
                  <w:szCs w:val="24"/>
                </w:rPr>
                <w:t>„</w:t>
              </w:r>
              <w:r w:rsidR="00473C10">
                <w:rPr>
                  <w:rStyle w:val="Hyperlink"/>
                  <w:szCs w:val="24"/>
                </w:rPr>
                <w:t xml:space="preserve">NEUSTART </w:t>
              </w:r>
              <w:r w:rsidR="00230E2B">
                <w:rPr>
                  <w:rStyle w:val="Hyperlink"/>
                  <w:szCs w:val="24"/>
                </w:rPr>
                <w:t>Kultur-Stipendium</w:t>
              </w:r>
              <w:r w:rsidR="00490BF0">
                <w:rPr>
                  <w:rStyle w:val="Hyperlink"/>
                  <w:szCs w:val="24"/>
                </w:rPr>
                <w:t>“</w:t>
              </w:r>
              <w:r w:rsidR="00230E2B">
                <w:rPr>
                  <w:rStyle w:val="Hyperlink"/>
                  <w:szCs w:val="24"/>
                </w:rPr>
                <w:tab/>
                <w:t>42</w:t>
              </w:r>
            </w:hyperlink>
          </w:p>
        </w:tc>
      </w:tr>
      <w:tr w:rsidR="00230E2B" w:rsidRPr="005833DD" w:rsidTr="001F3CDA">
        <w:tc>
          <w:tcPr>
            <w:tcW w:w="5000" w:type="pct"/>
          </w:tcPr>
          <w:p w:rsidR="00230E2B" w:rsidRDefault="00230E2B" w:rsidP="00230E2B">
            <w:pPr>
              <w:pStyle w:val="LTVerzDerFragenden"/>
            </w:pPr>
            <w:r>
              <w:t>Körber, Sebastian (FDP)</w:t>
            </w:r>
          </w:p>
        </w:tc>
      </w:tr>
      <w:tr w:rsidR="00230E2B" w:rsidRPr="005833DD" w:rsidTr="001F3CDA">
        <w:tc>
          <w:tcPr>
            <w:tcW w:w="5000" w:type="pct"/>
          </w:tcPr>
          <w:p w:rsidR="00230E2B" w:rsidRDefault="00B80E69" w:rsidP="00230E2B">
            <w:pPr>
              <w:pStyle w:val="LTVerzDerFragendenFrage"/>
            </w:pPr>
            <w:hyperlink w:anchor="Frage_Nr_17" w:tooltip="Frage Nr 17" w:history="1">
              <w:r w:rsidR="00230E2B">
                <w:rPr>
                  <w:rStyle w:val="Hyperlink"/>
                  <w:szCs w:val="24"/>
                </w:rPr>
                <w:t xml:space="preserve">Erkenntnisse aus der Evaluation der </w:t>
              </w:r>
              <w:r w:rsidR="006047D8">
                <w:rPr>
                  <w:rStyle w:val="Hyperlink"/>
                  <w:szCs w:val="24"/>
                </w:rPr>
                <w:t>Bayerischen Bauordnung</w:t>
              </w:r>
              <w:r w:rsidR="006047D8">
                <w:rPr>
                  <w:rStyle w:val="Hyperlink"/>
                  <w:szCs w:val="24"/>
                </w:rPr>
                <w:br/>
                <w:t>(</w:t>
              </w:r>
              <w:r w:rsidR="00230E2B">
                <w:rPr>
                  <w:rStyle w:val="Hyperlink"/>
                  <w:szCs w:val="24"/>
                </w:rPr>
                <w:t>BayBO</w:t>
              </w:r>
              <w:r w:rsidR="006047D8">
                <w:rPr>
                  <w:rStyle w:val="Hyperlink"/>
                  <w:szCs w:val="24"/>
                </w:rPr>
                <w:t>)</w:t>
              </w:r>
              <w:r w:rsidR="00230E2B">
                <w:rPr>
                  <w:rStyle w:val="Hyperlink"/>
                  <w:szCs w:val="24"/>
                </w:rPr>
                <w:t>-Novelle</w:t>
              </w:r>
              <w:r w:rsidR="00230E2B">
                <w:rPr>
                  <w:rStyle w:val="Hyperlink"/>
                  <w:szCs w:val="24"/>
                </w:rPr>
                <w:tab/>
                <w:t>17</w:t>
              </w:r>
            </w:hyperlink>
          </w:p>
        </w:tc>
      </w:tr>
      <w:tr w:rsidR="00230E2B" w:rsidRPr="005833DD" w:rsidTr="001F3CDA">
        <w:tc>
          <w:tcPr>
            <w:tcW w:w="5000" w:type="pct"/>
          </w:tcPr>
          <w:p w:rsidR="00230E2B" w:rsidRDefault="00230E2B" w:rsidP="00230E2B">
            <w:pPr>
              <w:pStyle w:val="LTVerzDerFragenden"/>
            </w:pPr>
            <w:r>
              <w:t>Lettenbauer, Eva (BÜNDNIS 90/DIE GRÜNEN)</w:t>
            </w:r>
          </w:p>
        </w:tc>
      </w:tr>
      <w:tr w:rsidR="00230E2B" w:rsidRPr="005833DD" w:rsidTr="001F3CDA">
        <w:tc>
          <w:tcPr>
            <w:tcW w:w="5000" w:type="pct"/>
          </w:tcPr>
          <w:p w:rsidR="00230E2B" w:rsidRDefault="00B80E69" w:rsidP="00230E2B">
            <w:pPr>
              <w:pStyle w:val="LTVerzDerFragendenFrage"/>
            </w:pPr>
            <w:hyperlink w:anchor="Frage_Nr_55" w:tooltip="Frage Nr 55" w:history="1">
              <w:r w:rsidR="00230E2B">
                <w:rPr>
                  <w:rStyle w:val="Hyperlink"/>
                  <w:szCs w:val="24"/>
                </w:rPr>
                <w:t>Ausbau des Erziehungsberatungsförderprogramms</w:t>
              </w:r>
              <w:r w:rsidR="00230E2B">
                <w:rPr>
                  <w:rStyle w:val="Hyperlink"/>
                  <w:szCs w:val="24"/>
                </w:rPr>
                <w:tab/>
                <w:t>55</w:t>
              </w:r>
            </w:hyperlink>
          </w:p>
        </w:tc>
      </w:tr>
      <w:tr w:rsidR="00230E2B" w:rsidRPr="005833DD" w:rsidTr="001F3CDA">
        <w:tc>
          <w:tcPr>
            <w:tcW w:w="5000" w:type="pct"/>
          </w:tcPr>
          <w:p w:rsidR="00230E2B" w:rsidRDefault="00230E2B" w:rsidP="00230E2B">
            <w:pPr>
              <w:pStyle w:val="LTVerzDerFragenden"/>
            </w:pPr>
            <w:r>
              <w:t>Magerl, Roland (AfD)</w:t>
            </w:r>
          </w:p>
        </w:tc>
      </w:tr>
      <w:tr w:rsidR="00230E2B" w:rsidRPr="005833DD" w:rsidTr="001F3CDA">
        <w:tc>
          <w:tcPr>
            <w:tcW w:w="5000" w:type="pct"/>
          </w:tcPr>
          <w:p w:rsidR="00230E2B" w:rsidRDefault="00B80E69" w:rsidP="00230E2B">
            <w:pPr>
              <w:pStyle w:val="LTVerzDerFragendenFrage"/>
            </w:pPr>
            <w:hyperlink w:anchor="Frage_Nr_64" w:tooltip="Frage Nr 64" w:history="1">
              <w:r w:rsidR="00230E2B">
                <w:rPr>
                  <w:rStyle w:val="Hyperlink"/>
                  <w:szCs w:val="24"/>
                </w:rPr>
                <w:t xml:space="preserve">Auswirkung der PCR-Test-Entscheidung der </w:t>
              </w:r>
              <w:r w:rsidR="006047D8">
                <w:rPr>
                  <w:rStyle w:val="Hyperlink"/>
                  <w:szCs w:val="24"/>
                </w:rPr>
                <w:t>Centers for Disease</w:t>
              </w:r>
              <w:r w:rsidR="006047D8">
                <w:rPr>
                  <w:rStyle w:val="Hyperlink"/>
                  <w:szCs w:val="24"/>
                </w:rPr>
                <w:br/>
                <w:t>Control and Prevention (</w:t>
              </w:r>
              <w:r w:rsidR="00230E2B">
                <w:rPr>
                  <w:rStyle w:val="Hyperlink"/>
                  <w:szCs w:val="24"/>
                </w:rPr>
                <w:t>CDC</w:t>
              </w:r>
              <w:r w:rsidR="006047D8">
                <w:rPr>
                  <w:rStyle w:val="Hyperlink"/>
                  <w:szCs w:val="24"/>
                </w:rPr>
                <w:t>)</w:t>
              </w:r>
              <w:r w:rsidR="00230E2B">
                <w:rPr>
                  <w:rStyle w:val="Hyperlink"/>
                  <w:szCs w:val="24"/>
                </w:rPr>
                <w:t xml:space="preserve"> auf Bayern</w:t>
              </w:r>
              <w:r w:rsidR="00230E2B">
                <w:rPr>
                  <w:rStyle w:val="Hyperlink"/>
                  <w:szCs w:val="24"/>
                </w:rPr>
                <w:tab/>
                <w:t>64</w:t>
              </w:r>
            </w:hyperlink>
          </w:p>
        </w:tc>
      </w:tr>
      <w:tr w:rsidR="00230E2B" w:rsidRPr="005833DD" w:rsidTr="001F3CDA">
        <w:tc>
          <w:tcPr>
            <w:tcW w:w="5000" w:type="pct"/>
          </w:tcPr>
          <w:p w:rsidR="00230E2B" w:rsidRDefault="00230E2B" w:rsidP="00230E2B">
            <w:pPr>
              <w:pStyle w:val="LTVerzDerFragenden"/>
            </w:pPr>
            <w:r>
              <w:t>Maier, Christoph (AfD)</w:t>
            </w:r>
          </w:p>
        </w:tc>
      </w:tr>
      <w:tr w:rsidR="00230E2B" w:rsidRPr="005833DD" w:rsidTr="001F3CDA">
        <w:tc>
          <w:tcPr>
            <w:tcW w:w="5000" w:type="pct"/>
          </w:tcPr>
          <w:p w:rsidR="00230E2B" w:rsidRDefault="00B80E69" w:rsidP="00230E2B">
            <w:pPr>
              <w:pStyle w:val="LTVerzDerFragendenFrage"/>
            </w:pPr>
            <w:hyperlink w:anchor="Frage_Nr_65" w:tooltip="Frage Nr 65" w:history="1">
              <w:r w:rsidR="00230E2B">
                <w:rPr>
                  <w:rStyle w:val="Hyperlink"/>
                  <w:szCs w:val="24"/>
                </w:rPr>
                <w:t>Corona und der Klinikverbund Allgäu</w:t>
              </w:r>
              <w:r w:rsidR="00230E2B">
                <w:rPr>
                  <w:rStyle w:val="Hyperlink"/>
                  <w:szCs w:val="24"/>
                </w:rPr>
                <w:tab/>
                <w:t>65</w:t>
              </w:r>
            </w:hyperlink>
          </w:p>
        </w:tc>
      </w:tr>
      <w:tr w:rsidR="00230E2B" w:rsidRPr="005833DD" w:rsidTr="001F3CDA">
        <w:tc>
          <w:tcPr>
            <w:tcW w:w="5000" w:type="pct"/>
          </w:tcPr>
          <w:p w:rsidR="00230E2B" w:rsidRDefault="00230E2B" w:rsidP="00230E2B">
            <w:pPr>
              <w:pStyle w:val="LTVerzDerFragenden"/>
            </w:pPr>
            <w:r>
              <w:t>Mannes, Gerd (AfD)</w:t>
            </w:r>
          </w:p>
        </w:tc>
      </w:tr>
      <w:tr w:rsidR="00230E2B" w:rsidRPr="005833DD" w:rsidTr="001F3CDA">
        <w:tc>
          <w:tcPr>
            <w:tcW w:w="5000" w:type="pct"/>
          </w:tcPr>
          <w:p w:rsidR="00230E2B" w:rsidRDefault="00B80E69" w:rsidP="00230E2B">
            <w:pPr>
              <w:pStyle w:val="LTVerzDerFragendenFrage"/>
            </w:pPr>
            <w:hyperlink w:anchor="Frage_Nr_45" w:tooltip="Frage Nr 45" w:history="1">
              <w:r w:rsidR="00230E2B">
                <w:rPr>
                  <w:rStyle w:val="Hyperlink"/>
                  <w:szCs w:val="24"/>
                </w:rPr>
                <w:t>Rückzahlung von geleisteten Corona-Hilfen</w:t>
              </w:r>
              <w:r w:rsidR="00230E2B">
                <w:rPr>
                  <w:rStyle w:val="Hyperlink"/>
                  <w:szCs w:val="24"/>
                </w:rPr>
                <w:tab/>
                <w:t>45</w:t>
              </w:r>
            </w:hyperlink>
          </w:p>
        </w:tc>
      </w:tr>
      <w:tr w:rsidR="00230E2B" w:rsidRPr="005833DD" w:rsidTr="001F3CDA">
        <w:tc>
          <w:tcPr>
            <w:tcW w:w="5000" w:type="pct"/>
          </w:tcPr>
          <w:p w:rsidR="00230E2B" w:rsidRDefault="00230E2B" w:rsidP="00230E2B">
            <w:pPr>
              <w:pStyle w:val="LTVerzDerFragenden"/>
            </w:pPr>
            <w:r>
              <w:t>Markwort, Helmut (FDP)</w:t>
            </w:r>
          </w:p>
        </w:tc>
      </w:tr>
      <w:tr w:rsidR="00230E2B" w:rsidRPr="005833DD" w:rsidTr="001F3CDA">
        <w:tc>
          <w:tcPr>
            <w:tcW w:w="5000" w:type="pct"/>
          </w:tcPr>
          <w:p w:rsidR="00230E2B" w:rsidRDefault="00B80E69" w:rsidP="00230E2B">
            <w:pPr>
              <w:pStyle w:val="LTVerzDerFragendenFrage"/>
            </w:pPr>
            <w:hyperlink w:anchor="Frage_Nr_31" w:tooltip="Frage Nr 31" w:history="1">
              <w:r w:rsidR="00230E2B">
                <w:rPr>
                  <w:rStyle w:val="Hyperlink"/>
                  <w:szCs w:val="24"/>
                </w:rPr>
                <w:t>Leistungen des Freistaat</w:t>
              </w:r>
              <w:r w:rsidR="00473C10">
                <w:rPr>
                  <w:rStyle w:val="Hyperlink"/>
                  <w:szCs w:val="24"/>
                </w:rPr>
                <w:t>e</w:t>
              </w:r>
              <w:r w:rsidR="00230E2B">
                <w:rPr>
                  <w:rStyle w:val="Hyperlink"/>
                  <w:szCs w:val="24"/>
                </w:rPr>
                <w:t>s für die Kirchen in Bayern durch das</w:t>
              </w:r>
              <w:r w:rsidR="00C765F5">
                <w:rPr>
                  <w:rStyle w:val="Hyperlink"/>
                  <w:szCs w:val="24"/>
                </w:rPr>
                <w:br/>
              </w:r>
              <w:r w:rsidR="00230E2B">
                <w:rPr>
                  <w:rStyle w:val="Hyperlink"/>
                  <w:szCs w:val="24"/>
                </w:rPr>
                <w:t>Landesamt für Schule</w:t>
              </w:r>
              <w:r w:rsidR="00230E2B">
                <w:rPr>
                  <w:rStyle w:val="Hyperlink"/>
                  <w:szCs w:val="24"/>
                </w:rPr>
                <w:tab/>
                <w:t>31</w:t>
              </w:r>
            </w:hyperlink>
          </w:p>
        </w:tc>
      </w:tr>
      <w:tr w:rsidR="00230E2B" w:rsidRPr="005833DD" w:rsidTr="001F3CDA">
        <w:tc>
          <w:tcPr>
            <w:tcW w:w="5000" w:type="pct"/>
          </w:tcPr>
          <w:p w:rsidR="00230E2B" w:rsidRDefault="00230E2B" w:rsidP="00230E2B">
            <w:pPr>
              <w:pStyle w:val="LTVerzDerFragenden"/>
            </w:pPr>
            <w:r>
              <w:t>Mistol, Jürgen (BÜNDNIS 90/DIE GRÜNEN)</w:t>
            </w:r>
          </w:p>
        </w:tc>
      </w:tr>
      <w:tr w:rsidR="00230E2B" w:rsidRPr="005833DD" w:rsidTr="001F3CDA">
        <w:tc>
          <w:tcPr>
            <w:tcW w:w="5000" w:type="pct"/>
          </w:tcPr>
          <w:p w:rsidR="00230E2B" w:rsidRDefault="00B80E69" w:rsidP="00230E2B">
            <w:pPr>
              <w:pStyle w:val="LTVerzDerFragendenFrage"/>
            </w:pPr>
            <w:hyperlink w:anchor="Frage_Nr_25" w:tooltip="Frage Nr 25" w:history="1">
              <w:r w:rsidR="00230E2B">
                <w:rPr>
                  <w:rStyle w:val="Hyperlink"/>
                  <w:szCs w:val="24"/>
                </w:rPr>
                <w:t>Barrierefreiheit als Kriterium in Mietspiegeln</w:t>
              </w:r>
              <w:r w:rsidR="00230E2B">
                <w:rPr>
                  <w:rStyle w:val="Hyperlink"/>
                  <w:szCs w:val="24"/>
                </w:rPr>
                <w:tab/>
                <w:t>25</w:t>
              </w:r>
            </w:hyperlink>
          </w:p>
        </w:tc>
      </w:tr>
      <w:tr w:rsidR="00230E2B" w:rsidRPr="005833DD" w:rsidTr="001F3CDA">
        <w:tc>
          <w:tcPr>
            <w:tcW w:w="5000" w:type="pct"/>
          </w:tcPr>
          <w:p w:rsidR="00230E2B" w:rsidRDefault="00230E2B" w:rsidP="00230E2B">
            <w:pPr>
              <w:pStyle w:val="LTVerzDerFragenden"/>
            </w:pPr>
            <w:r>
              <w:t>Monatzeder, Hep (BÜNDNIS 90/DIE GRÜNEN)</w:t>
            </w:r>
          </w:p>
        </w:tc>
      </w:tr>
      <w:tr w:rsidR="00230E2B" w:rsidRPr="005833DD" w:rsidTr="001F3CDA">
        <w:tc>
          <w:tcPr>
            <w:tcW w:w="5000" w:type="pct"/>
          </w:tcPr>
          <w:p w:rsidR="00230E2B" w:rsidRDefault="00B80E69" w:rsidP="00230E2B">
            <w:pPr>
              <w:pStyle w:val="LTVerzDerFragendenFrage"/>
            </w:pPr>
            <w:hyperlink w:anchor="Frage_Nr_66" w:tooltip="Frage Nr 66" w:history="1">
              <w:r w:rsidR="00230E2B">
                <w:rPr>
                  <w:rStyle w:val="Hyperlink"/>
                  <w:szCs w:val="24"/>
                </w:rPr>
                <w:t>Nuvaxovid-Impfstoff</w:t>
              </w:r>
              <w:r w:rsidR="00230E2B">
                <w:rPr>
                  <w:rStyle w:val="Hyperlink"/>
                  <w:szCs w:val="24"/>
                </w:rPr>
                <w:tab/>
                <w:t>66</w:t>
              </w:r>
            </w:hyperlink>
          </w:p>
        </w:tc>
      </w:tr>
      <w:tr w:rsidR="00230E2B" w:rsidRPr="005833DD" w:rsidTr="001F3CDA">
        <w:tc>
          <w:tcPr>
            <w:tcW w:w="5000" w:type="pct"/>
          </w:tcPr>
          <w:p w:rsidR="00230E2B" w:rsidRDefault="00230E2B" w:rsidP="00230E2B">
            <w:pPr>
              <w:pStyle w:val="LTVerzDerFragenden"/>
            </w:pPr>
            <w:r>
              <w:t>Muthmann, Alexander (FDP)</w:t>
            </w:r>
          </w:p>
        </w:tc>
      </w:tr>
      <w:tr w:rsidR="00230E2B" w:rsidRPr="005833DD" w:rsidTr="001F3CDA">
        <w:tc>
          <w:tcPr>
            <w:tcW w:w="5000" w:type="pct"/>
          </w:tcPr>
          <w:p w:rsidR="00230E2B" w:rsidRDefault="00B80E69" w:rsidP="00230E2B">
            <w:pPr>
              <w:pStyle w:val="LTVerzDerFragendenFrage"/>
            </w:pPr>
            <w:hyperlink w:anchor="Frage_Nr_8" w:tooltip="Frage Nr 8" w:history="1">
              <w:r w:rsidR="00490BF0">
                <w:rPr>
                  <w:rStyle w:val="Hyperlink"/>
                  <w:szCs w:val="24"/>
                </w:rPr>
                <w:t>„</w:t>
              </w:r>
              <w:r w:rsidR="00230E2B">
                <w:rPr>
                  <w:rStyle w:val="Hyperlink"/>
                  <w:szCs w:val="24"/>
                </w:rPr>
                <w:t>Spaziergänge</w:t>
              </w:r>
              <w:r w:rsidR="00490BF0">
                <w:rPr>
                  <w:rStyle w:val="Hyperlink"/>
                  <w:szCs w:val="24"/>
                </w:rPr>
                <w:t>“</w:t>
              </w:r>
              <w:r w:rsidR="00230E2B">
                <w:rPr>
                  <w:rStyle w:val="Hyperlink"/>
                  <w:szCs w:val="24"/>
                </w:rPr>
                <w:t xml:space="preserve"> in Niederbayern</w:t>
              </w:r>
              <w:r w:rsidR="00230E2B">
                <w:rPr>
                  <w:rStyle w:val="Hyperlink"/>
                  <w:szCs w:val="24"/>
                </w:rPr>
                <w:tab/>
                <w:t>8</w:t>
              </w:r>
            </w:hyperlink>
          </w:p>
        </w:tc>
      </w:tr>
      <w:tr w:rsidR="00230E2B" w:rsidRPr="005833DD" w:rsidTr="001F3CDA">
        <w:tc>
          <w:tcPr>
            <w:tcW w:w="5000" w:type="pct"/>
          </w:tcPr>
          <w:p w:rsidR="00230E2B" w:rsidRDefault="00230E2B" w:rsidP="00230E2B">
            <w:pPr>
              <w:pStyle w:val="LTVerzDerFragenden"/>
            </w:pPr>
            <w:r>
              <w:t>Müller, Ruth (SPD)</w:t>
            </w:r>
          </w:p>
        </w:tc>
      </w:tr>
      <w:tr w:rsidR="00230E2B" w:rsidRPr="005833DD" w:rsidTr="001F3CDA">
        <w:tc>
          <w:tcPr>
            <w:tcW w:w="5000" w:type="pct"/>
          </w:tcPr>
          <w:p w:rsidR="00230E2B" w:rsidRDefault="00B80E69" w:rsidP="00230E2B">
            <w:pPr>
              <w:pStyle w:val="LTVerzDerFragendenFrage"/>
            </w:pPr>
            <w:hyperlink w:anchor="Frage_Nr_56" w:tooltip="Frage Nr 56" w:history="1">
              <w:r w:rsidR="00230E2B">
                <w:rPr>
                  <w:rStyle w:val="Hyperlink"/>
                  <w:szCs w:val="24"/>
                </w:rPr>
                <w:t>Risiko-Analyse bei von Gewalt betroffenen Frauen</w:t>
              </w:r>
              <w:r w:rsidR="00230E2B">
                <w:rPr>
                  <w:rStyle w:val="Hyperlink"/>
                  <w:szCs w:val="24"/>
                </w:rPr>
                <w:tab/>
                <w:t>56</w:t>
              </w:r>
            </w:hyperlink>
          </w:p>
        </w:tc>
      </w:tr>
      <w:tr w:rsidR="00230E2B" w:rsidRPr="005833DD" w:rsidTr="001F3CDA">
        <w:tc>
          <w:tcPr>
            <w:tcW w:w="5000" w:type="pct"/>
          </w:tcPr>
          <w:p w:rsidR="00230E2B" w:rsidRDefault="00230E2B" w:rsidP="00230E2B">
            <w:pPr>
              <w:pStyle w:val="LTVerzDerFragenden"/>
            </w:pPr>
            <w:r>
              <w:t>Osgyan, Verena (BÜNDNIS 90/DIE GRÜNEN)</w:t>
            </w:r>
          </w:p>
        </w:tc>
      </w:tr>
      <w:tr w:rsidR="00230E2B" w:rsidRPr="005833DD" w:rsidTr="001F3CDA">
        <w:tc>
          <w:tcPr>
            <w:tcW w:w="5000" w:type="pct"/>
          </w:tcPr>
          <w:p w:rsidR="00230E2B" w:rsidRDefault="00B80E69" w:rsidP="00230E2B">
            <w:pPr>
              <w:pStyle w:val="LTVerzDerFragendenFrage"/>
            </w:pPr>
            <w:hyperlink w:anchor="Frage_Nr_38" w:tooltip="Frage Nr 38" w:history="1">
              <w:r w:rsidR="00230E2B">
                <w:rPr>
                  <w:rStyle w:val="Hyperlink"/>
                  <w:szCs w:val="24"/>
                </w:rPr>
                <w:t>Freiversuchsregelungen an den bayerischen Hochschulen</w:t>
              </w:r>
              <w:r w:rsidR="00230E2B">
                <w:rPr>
                  <w:rStyle w:val="Hyperlink"/>
                  <w:szCs w:val="24"/>
                </w:rPr>
                <w:tab/>
                <w:t>38</w:t>
              </w:r>
            </w:hyperlink>
          </w:p>
        </w:tc>
      </w:tr>
      <w:tr w:rsidR="00230E2B" w:rsidRPr="005833DD" w:rsidTr="001F3CDA">
        <w:tc>
          <w:tcPr>
            <w:tcW w:w="5000" w:type="pct"/>
          </w:tcPr>
          <w:p w:rsidR="00230E2B" w:rsidRDefault="00230E2B" w:rsidP="00230E2B">
            <w:pPr>
              <w:pStyle w:val="LTVerzDerFragenden"/>
            </w:pPr>
            <w:r>
              <w:t>Pargent, Tim (BÜNDNIS 90/DIE GRÜNEN)</w:t>
            </w:r>
          </w:p>
        </w:tc>
      </w:tr>
      <w:tr w:rsidR="00230E2B" w:rsidRPr="005833DD" w:rsidTr="001F3CDA">
        <w:tc>
          <w:tcPr>
            <w:tcW w:w="5000" w:type="pct"/>
          </w:tcPr>
          <w:p w:rsidR="00230E2B" w:rsidRDefault="00B80E69" w:rsidP="00230E2B">
            <w:pPr>
              <w:pStyle w:val="LTVerzDerFragendenFrage"/>
            </w:pPr>
            <w:hyperlink w:anchor="Frage_Nr_18" w:tooltip="Frage Nr 18" w:history="1">
              <w:r w:rsidR="00230E2B">
                <w:rPr>
                  <w:rStyle w:val="Hyperlink"/>
                  <w:szCs w:val="24"/>
                </w:rPr>
                <w:t>Fortschritt BayernHeim-Projekt in Bayreuth</w:t>
              </w:r>
              <w:r w:rsidR="00230E2B">
                <w:rPr>
                  <w:rStyle w:val="Hyperlink"/>
                  <w:szCs w:val="24"/>
                </w:rPr>
                <w:tab/>
                <w:t>18</w:t>
              </w:r>
            </w:hyperlink>
          </w:p>
        </w:tc>
      </w:tr>
      <w:tr w:rsidR="00230E2B" w:rsidRPr="005833DD" w:rsidTr="001F3CDA">
        <w:tc>
          <w:tcPr>
            <w:tcW w:w="5000" w:type="pct"/>
          </w:tcPr>
          <w:p w:rsidR="00230E2B" w:rsidRDefault="00230E2B" w:rsidP="00230E2B">
            <w:pPr>
              <w:pStyle w:val="LTVerzDerFragenden"/>
            </w:pPr>
            <w:r>
              <w:t>Rauscher, Doris (SPD)</w:t>
            </w:r>
          </w:p>
        </w:tc>
      </w:tr>
      <w:tr w:rsidR="00230E2B" w:rsidRPr="005833DD" w:rsidTr="001F3CDA">
        <w:tc>
          <w:tcPr>
            <w:tcW w:w="5000" w:type="pct"/>
          </w:tcPr>
          <w:p w:rsidR="00230E2B" w:rsidRDefault="00B80E69" w:rsidP="00230E2B">
            <w:pPr>
              <w:pStyle w:val="LTVerzDerFragendenFrage"/>
            </w:pPr>
            <w:hyperlink w:anchor="Frage_Nr_32" w:tooltip="Frage Nr 32" w:history="1">
              <w:r w:rsidR="00C765F5">
                <w:rPr>
                  <w:rStyle w:val="Hyperlink"/>
                  <w:szCs w:val="24"/>
                </w:rPr>
                <w:t>Ausbildungsangebot für Erzieher</w:t>
              </w:r>
              <w:r w:rsidR="00230E2B">
                <w:rPr>
                  <w:rStyle w:val="Hyperlink"/>
                  <w:szCs w:val="24"/>
                </w:rPr>
                <w:t xml:space="preserve">innen </w:t>
              </w:r>
              <w:r w:rsidR="00C765F5">
                <w:rPr>
                  <w:rStyle w:val="Hyperlink"/>
                  <w:szCs w:val="24"/>
                </w:rPr>
                <w:t>bzw. Erziehern und</w:t>
              </w:r>
              <w:r w:rsidR="00C765F5">
                <w:rPr>
                  <w:rStyle w:val="Hyperlink"/>
                  <w:szCs w:val="24"/>
                </w:rPr>
                <w:br/>
                <w:t>Kinderpfleger</w:t>
              </w:r>
              <w:r w:rsidR="00230E2B">
                <w:rPr>
                  <w:rStyle w:val="Hyperlink"/>
                  <w:szCs w:val="24"/>
                </w:rPr>
                <w:t xml:space="preserve">innen </w:t>
              </w:r>
              <w:r w:rsidR="00C765F5">
                <w:rPr>
                  <w:rStyle w:val="Hyperlink"/>
                  <w:szCs w:val="24"/>
                </w:rPr>
                <w:t xml:space="preserve">bzw. Kinderpflegern </w:t>
              </w:r>
              <w:r w:rsidR="00230E2B">
                <w:rPr>
                  <w:rStyle w:val="Hyperlink"/>
                  <w:szCs w:val="24"/>
                </w:rPr>
                <w:t>im Landkreis Ebersberg</w:t>
              </w:r>
              <w:r w:rsidR="00230E2B">
                <w:rPr>
                  <w:rStyle w:val="Hyperlink"/>
                  <w:szCs w:val="24"/>
                </w:rPr>
                <w:tab/>
                <w:t>32</w:t>
              </w:r>
            </w:hyperlink>
          </w:p>
        </w:tc>
      </w:tr>
      <w:tr w:rsidR="00230E2B" w:rsidRPr="005833DD" w:rsidTr="001F3CDA">
        <w:tc>
          <w:tcPr>
            <w:tcW w:w="5000" w:type="pct"/>
          </w:tcPr>
          <w:p w:rsidR="00230E2B" w:rsidRDefault="00230E2B" w:rsidP="00230E2B">
            <w:pPr>
              <w:pStyle w:val="LTVerzDerFragenden"/>
            </w:pPr>
            <w:r>
              <w:t>Rinderspacher, Markus (SPD)</w:t>
            </w:r>
          </w:p>
        </w:tc>
      </w:tr>
      <w:tr w:rsidR="00230E2B" w:rsidRPr="005833DD" w:rsidTr="001F3CDA">
        <w:tc>
          <w:tcPr>
            <w:tcW w:w="5000" w:type="pct"/>
          </w:tcPr>
          <w:p w:rsidR="00230E2B" w:rsidRDefault="00B80E69" w:rsidP="00230E2B">
            <w:pPr>
              <w:pStyle w:val="LTVerzDerFragendenFrage"/>
            </w:pPr>
            <w:hyperlink w:anchor="Frage_Nr_19" w:tooltip="Frage Nr 19" w:history="1">
              <w:r w:rsidR="00230E2B">
                <w:rPr>
                  <w:rStyle w:val="Hyperlink"/>
                  <w:szCs w:val="24"/>
                </w:rPr>
                <w:t>Weichenstörungen S-Bahn München 2020 und 2021</w:t>
              </w:r>
              <w:r w:rsidR="00230E2B">
                <w:rPr>
                  <w:rStyle w:val="Hyperlink"/>
                  <w:szCs w:val="24"/>
                </w:rPr>
                <w:tab/>
                <w:t>19</w:t>
              </w:r>
            </w:hyperlink>
          </w:p>
        </w:tc>
      </w:tr>
      <w:tr w:rsidR="00230E2B" w:rsidRPr="005833DD" w:rsidTr="001F3CDA">
        <w:tc>
          <w:tcPr>
            <w:tcW w:w="5000" w:type="pct"/>
          </w:tcPr>
          <w:p w:rsidR="00230E2B" w:rsidRDefault="00230E2B" w:rsidP="00230E2B">
            <w:pPr>
              <w:pStyle w:val="LTVerzDerFragenden"/>
            </w:pPr>
            <w:r>
              <w:t>Sandt, Julika (FDP)</w:t>
            </w:r>
          </w:p>
        </w:tc>
      </w:tr>
      <w:tr w:rsidR="00230E2B" w:rsidRPr="005833DD" w:rsidTr="001F3CDA">
        <w:tc>
          <w:tcPr>
            <w:tcW w:w="5000" w:type="pct"/>
          </w:tcPr>
          <w:p w:rsidR="00230E2B" w:rsidRDefault="00B80E69" w:rsidP="00230E2B">
            <w:pPr>
              <w:pStyle w:val="LTVerzDerFragendenFrage"/>
            </w:pPr>
            <w:hyperlink w:anchor="Frage_Nr_57" w:tooltip="Frage Nr 57" w:history="1">
              <w:r w:rsidR="00230E2B">
                <w:rPr>
                  <w:rStyle w:val="Hyperlink"/>
                  <w:szCs w:val="24"/>
                </w:rPr>
                <w:t>Prävention von weiblicher Genitalverstümmelung in Bayern</w:t>
              </w:r>
              <w:r w:rsidR="00230E2B">
                <w:rPr>
                  <w:rStyle w:val="Hyperlink"/>
                  <w:szCs w:val="24"/>
                </w:rPr>
                <w:tab/>
                <w:t>57</w:t>
              </w:r>
            </w:hyperlink>
          </w:p>
        </w:tc>
      </w:tr>
      <w:tr w:rsidR="00230E2B" w:rsidRPr="005833DD" w:rsidTr="001F3CDA">
        <w:tc>
          <w:tcPr>
            <w:tcW w:w="5000" w:type="pct"/>
          </w:tcPr>
          <w:p w:rsidR="00230E2B" w:rsidRDefault="00230E2B" w:rsidP="00230E2B">
            <w:pPr>
              <w:pStyle w:val="LTVerzDerFragenden"/>
            </w:pPr>
            <w:r>
              <w:t>Schiffers, Jan (AfD)</w:t>
            </w:r>
          </w:p>
        </w:tc>
      </w:tr>
      <w:tr w:rsidR="00230E2B" w:rsidRPr="005833DD" w:rsidTr="001F3CDA">
        <w:tc>
          <w:tcPr>
            <w:tcW w:w="5000" w:type="pct"/>
          </w:tcPr>
          <w:p w:rsidR="00230E2B" w:rsidRDefault="00B80E69" w:rsidP="00230E2B">
            <w:pPr>
              <w:pStyle w:val="LTVerzDerFragendenFrage"/>
            </w:pPr>
            <w:hyperlink w:anchor="Frage_Nr_9" w:tooltip="Frage Nr 9" w:history="1">
              <w:r w:rsidR="00230E2B">
                <w:rPr>
                  <w:rStyle w:val="Hyperlink"/>
                  <w:szCs w:val="24"/>
                </w:rPr>
                <w:t xml:space="preserve">Polizeieinsatz zum Zweck der Durchsuchung </w:t>
              </w:r>
              <w:r w:rsidR="00C765F5">
                <w:rPr>
                  <w:rStyle w:val="Hyperlink"/>
                  <w:szCs w:val="24"/>
                </w:rPr>
                <w:t>Objekt</w:t>
              </w:r>
              <w:r w:rsidR="00C765F5">
                <w:rPr>
                  <w:rStyle w:val="Hyperlink"/>
                  <w:szCs w:val="24"/>
                </w:rPr>
                <w:br/>
              </w:r>
              <w:r w:rsidR="00230E2B">
                <w:rPr>
                  <w:rStyle w:val="Hyperlink"/>
                  <w:szCs w:val="24"/>
                </w:rPr>
                <w:t>Königsmühle, Erlangen-Eltersdorf</w:t>
              </w:r>
              <w:r w:rsidR="00230E2B">
                <w:rPr>
                  <w:rStyle w:val="Hyperlink"/>
                  <w:szCs w:val="24"/>
                </w:rPr>
                <w:tab/>
                <w:t>9</w:t>
              </w:r>
            </w:hyperlink>
          </w:p>
        </w:tc>
      </w:tr>
      <w:tr w:rsidR="00230E2B" w:rsidRPr="005833DD" w:rsidTr="001F3CDA">
        <w:tc>
          <w:tcPr>
            <w:tcW w:w="5000" w:type="pct"/>
          </w:tcPr>
          <w:p w:rsidR="00230E2B" w:rsidRDefault="00230E2B" w:rsidP="00230E2B">
            <w:pPr>
              <w:pStyle w:val="LTVerzDerFragenden"/>
            </w:pPr>
            <w:r>
              <w:t>Schuberl, Toni (BÜNDNIS 90/DIE GRÜNEN)</w:t>
            </w:r>
          </w:p>
        </w:tc>
      </w:tr>
      <w:tr w:rsidR="00230E2B" w:rsidRPr="005833DD" w:rsidTr="001F3CDA">
        <w:tc>
          <w:tcPr>
            <w:tcW w:w="5000" w:type="pct"/>
          </w:tcPr>
          <w:p w:rsidR="00230E2B" w:rsidRDefault="00B80E69" w:rsidP="00230E2B">
            <w:pPr>
              <w:pStyle w:val="LTVerzDerFragendenFrage"/>
            </w:pPr>
            <w:hyperlink w:anchor="Frage_Nr_39" w:tooltip="Frage Nr 39" w:history="1">
              <w:r w:rsidR="00230E2B">
                <w:rPr>
                  <w:rStyle w:val="Hyperlink"/>
                  <w:szCs w:val="24"/>
                </w:rPr>
                <w:t>2G-Zugang zu Hochschulen</w:t>
              </w:r>
              <w:r w:rsidR="00230E2B">
                <w:rPr>
                  <w:rStyle w:val="Hyperlink"/>
                  <w:szCs w:val="24"/>
                </w:rPr>
                <w:tab/>
                <w:t>39</w:t>
              </w:r>
            </w:hyperlink>
          </w:p>
        </w:tc>
      </w:tr>
      <w:tr w:rsidR="00230E2B" w:rsidRPr="005833DD" w:rsidTr="001F3CDA">
        <w:tc>
          <w:tcPr>
            <w:tcW w:w="5000" w:type="pct"/>
          </w:tcPr>
          <w:p w:rsidR="00230E2B" w:rsidRDefault="00230E2B" w:rsidP="00230E2B">
            <w:pPr>
              <w:pStyle w:val="LTVerzDerFragenden"/>
            </w:pPr>
            <w:r>
              <w:t>Schuhknecht, Stephanie (BÜNDNIS 90/DIE GRÜNEN)</w:t>
            </w:r>
          </w:p>
        </w:tc>
      </w:tr>
      <w:tr w:rsidR="00230E2B" w:rsidRPr="005833DD" w:rsidTr="001F3CDA">
        <w:tc>
          <w:tcPr>
            <w:tcW w:w="5000" w:type="pct"/>
          </w:tcPr>
          <w:p w:rsidR="00230E2B" w:rsidRDefault="00B80E69" w:rsidP="00230E2B">
            <w:pPr>
              <w:pStyle w:val="LTVerzDerFragendenFrage"/>
            </w:pPr>
            <w:hyperlink w:anchor="Frage_Nr_67" w:tooltip="Frage Nr 67" w:history="1">
              <w:r w:rsidR="00230E2B">
                <w:rPr>
                  <w:rStyle w:val="Hyperlink"/>
                  <w:szCs w:val="24"/>
                </w:rPr>
                <w:t>Wirksamkeit von Antigenschnel</w:t>
              </w:r>
              <w:r w:rsidR="00C765F5">
                <w:rPr>
                  <w:rStyle w:val="Hyperlink"/>
                  <w:szCs w:val="24"/>
                </w:rPr>
                <w:t>ltest bei Omikron und Umsetzung</w:t>
              </w:r>
              <w:r w:rsidR="00C765F5">
                <w:rPr>
                  <w:rStyle w:val="Hyperlink"/>
                  <w:szCs w:val="24"/>
                </w:rPr>
                <w:br/>
              </w:r>
              <w:r w:rsidR="00230E2B">
                <w:rPr>
                  <w:rStyle w:val="Hyperlink"/>
                  <w:szCs w:val="24"/>
                </w:rPr>
                <w:t>in weiterführenden Schulen</w:t>
              </w:r>
              <w:r w:rsidR="00230E2B">
                <w:rPr>
                  <w:rStyle w:val="Hyperlink"/>
                  <w:szCs w:val="24"/>
                </w:rPr>
                <w:tab/>
                <w:t>67</w:t>
              </w:r>
            </w:hyperlink>
          </w:p>
        </w:tc>
      </w:tr>
      <w:tr w:rsidR="00230E2B" w:rsidRPr="005833DD" w:rsidTr="001F3CDA">
        <w:tc>
          <w:tcPr>
            <w:tcW w:w="5000" w:type="pct"/>
          </w:tcPr>
          <w:p w:rsidR="00230E2B" w:rsidRDefault="00230E2B" w:rsidP="00230E2B">
            <w:pPr>
              <w:pStyle w:val="LTVerzDerFragenden"/>
            </w:pPr>
            <w:r>
              <w:t>Schulze, Katharina (BÜNDNIS 90/DIE GRÜNEN)</w:t>
            </w:r>
          </w:p>
        </w:tc>
      </w:tr>
      <w:tr w:rsidR="00230E2B" w:rsidRPr="005833DD" w:rsidTr="001F3CDA">
        <w:tc>
          <w:tcPr>
            <w:tcW w:w="5000" w:type="pct"/>
          </w:tcPr>
          <w:p w:rsidR="00230E2B" w:rsidRDefault="00B80E69" w:rsidP="00230E2B">
            <w:pPr>
              <w:pStyle w:val="LTVerzDerFragendenFrage"/>
            </w:pPr>
            <w:hyperlink w:anchor="Frage_Nr_10" w:tooltip="Frage Nr 10" w:history="1">
              <w:r w:rsidR="00230E2B">
                <w:rPr>
                  <w:rStyle w:val="Hyperlink"/>
                  <w:szCs w:val="24"/>
                </w:rPr>
                <w:t>Mögliche Sicherheitslücke Feuerwehralarmierung</w:t>
              </w:r>
              <w:r w:rsidR="00230E2B">
                <w:rPr>
                  <w:rStyle w:val="Hyperlink"/>
                  <w:szCs w:val="24"/>
                </w:rPr>
                <w:tab/>
                <w:t>10</w:t>
              </w:r>
            </w:hyperlink>
          </w:p>
        </w:tc>
      </w:tr>
      <w:tr w:rsidR="00230E2B" w:rsidRPr="005833DD" w:rsidTr="001F3CDA">
        <w:tc>
          <w:tcPr>
            <w:tcW w:w="5000" w:type="pct"/>
          </w:tcPr>
          <w:p w:rsidR="00230E2B" w:rsidRDefault="00230E2B" w:rsidP="00230E2B">
            <w:pPr>
              <w:pStyle w:val="LTVerzDerFragenden"/>
            </w:pPr>
            <w:r>
              <w:t>Schuster, Stefan (SPD)</w:t>
            </w:r>
          </w:p>
        </w:tc>
      </w:tr>
      <w:tr w:rsidR="00230E2B" w:rsidRPr="005833DD" w:rsidTr="001F3CDA">
        <w:tc>
          <w:tcPr>
            <w:tcW w:w="5000" w:type="pct"/>
          </w:tcPr>
          <w:p w:rsidR="00230E2B" w:rsidRDefault="00B80E69" w:rsidP="00230E2B">
            <w:pPr>
              <w:pStyle w:val="LTVerzDerFragendenFrage"/>
            </w:pPr>
            <w:hyperlink w:anchor="Frage_Nr_40" w:tooltip="Frage Nr 40" w:history="1">
              <w:r w:rsidR="00230E2B">
                <w:rPr>
                  <w:rStyle w:val="Hyperlink"/>
                  <w:szCs w:val="24"/>
                </w:rPr>
                <w:t>Bodendenkmäler</w:t>
              </w:r>
              <w:r w:rsidR="00230E2B">
                <w:rPr>
                  <w:rStyle w:val="Hyperlink"/>
                  <w:szCs w:val="24"/>
                </w:rPr>
                <w:tab/>
                <w:t>40</w:t>
              </w:r>
            </w:hyperlink>
          </w:p>
        </w:tc>
      </w:tr>
      <w:tr w:rsidR="00230E2B" w:rsidRPr="005833DD" w:rsidTr="001F3CDA">
        <w:tc>
          <w:tcPr>
            <w:tcW w:w="5000" w:type="pct"/>
          </w:tcPr>
          <w:p w:rsidR="00230E2B" w:rsidRDefault="00230E2B" w:rsidP="00230E2B">
            <w:pPr>
              <w:pStyle w:val="LTVerzDerFragenden"/>
            </w:pPr>
            <w:r>
              <w:t>Schwamberger, Anna (BÜNDNIS 90/DIE GRÜNEN)</w:t>
            </w:r>
          </w:p>
        </w:tc>
      </w:tr>
      <w:tr w:rsidR="00230E2B" w:rsidRPr="005833DD" w:rsidTr="001F3CDA">
        <w:tc>
          <w:tcPr>
            <w:tcW w:w="5000" w:type="pct"/>
          </w:tcPr>
          <w:p w:rsidR="00230E2B" w:rsidRDefault="00B80E69" w:rsidP="00230E2B">
            <w:pPr>
              <w:pStyle w:val="LTVerzDerFragendenFrage"/>
            </w:pPr>
            <w:hyperlink w:anchor="Frage_Nr_33" w:tooltip="Frage Nr 33" w:history="1">
              <w:r w:rsidR="00230E2B">
                <w:rPr>
                  <w:rStyle w:val="Hyperlink"/>
                  <w:szCs w:val="24"/>
                </w:rPr>
                <w:t xml:space="preserve">Umgang mit Verein </w:t>
              </w:r>
              <w:r w:rsidR="00490BF0">
                <w:rPr>
                  <w:rStyle w:val="Hyperlink"/>
                  <w:szCs w:val="24"/>
                </w:rPr>
                <w:t>„</w:t>
              </w:r>
              <w:r w:rsidR="00230E2B">
                <w:rPr>
                  <w:rStyle w:val="Hyperlink"/>
                  <w:szCs w:val="24"/>
                </w:rPr>
                <w:t>Wissen schafft Freiheit</w:t>
              </w:r>
              <w:r w:rsidR="00490BF0">
                <w:rPr>
                  <w:rStyle w:val="Hyperlink"/>
                  <w:szCs w:val="24"/>
                </w:rPr>
                <w:t>“</w:t>
              </w:r>
              <w:r w:rsidR="00230E2B">
                <w:rPr>
                  <w:rStyle w:val="Hyperlink"/>
                  <w:szCs w:val="24"/>
                </w:rPr>
                <w:tab/>
                <w:t>33</w:t>
              </w:r>
            </w:hyperlink>
          </w:p>
        </w:tc>
      </w:tr>
      <w:tr w:rsidR="00230E2B" w:rsidRPr="005833DD" w:rsidTr="001F3CDA">
        <w:tc>
          <w:tcPr>
            <w:tcW w:w="5000" w:type="pct"/>
          </w:tcPr>
          <w:p w:rsidR="00230E2B" w:rsidRDefault="00230E2B" w:rsidP="00230E2B">
            <w:pPr>
              <w:pStyle w:val="LTVerzDerFragenden"/>
            </w:pPr>
            <w:r>
              <w:t>Sengl, Gisela (BÜNDNIS 90/DIE GRÜNEN)</w:t>
            </w:r>
          </w:p>
        </w:tc>
      </w:tr>
      <w:tr w:rsidR="00230E2B" w:rsidRPr="005833DD" w:rsidTr="001F3CDA">
        <w:tc>
          <w:tcPr>
            <w:tcW w:w="5000" w:type="pct"/>
          </w:tcPr>
          <w:p w:rsidR="00230E2B" w:rsidRDefault="00B80E69" w:rsidP="00230E2B">
            <w:pPr>
              <w:pStyle w:val="LTVerzDerFragendenFrage"/>
            </w:pPr>
            <w:hyperlink w:anchor="Frage_Nr_53" w:tooltip="Frage Nr 53" w:history="1">
              <w:r w:rsidR="00230E2B">
                <w:rPr>
                  <w:rStyle w:val="Hyperlink"/>
                  <w:szCs w:val="24"/>
                </w:rPr>
                <w:t>Photovoltaik-Freiflächenanlagen</w:t>
              </w:r>
              <w:r w:rsidR="00230E2B">
                <w:rPr>
                  <w:rStyle w:val="Hyperlink"/>
                  <w:szCs w:val="24"/>
                </w:rPr>
                <w:tab/>
                <w:t>53</w:t>
              </w:r>
            </w:hyperlink>
          </w:p>
        </w:tc>
      </w:tr>
      <w:tr w:rsidR="00230E2B" w:rsidRPr="005833DD" w:rsidTr="001F3CDA">
        <w:tc>
          <w:tcPr>
            <w:tcW w:w="5000" w:type="pct"/>
          </w:tcPr>
          <w:p w:rsidR="00230E2B" w:rsidRDefault="00230E2B" w:rsidP="00230E2B">
            <w:pPr>
              <w:pStyle w:val="LTVerzDerFragenden"/>
            </w:pPr>
            <w:r>
              <w:t>Siekmann, Florian (BÜNDNIS 90/DIE GRÜNEN)</w:t>
            </w:r>
          </w:p>
        </w:tc>
      </w:tr>
      <w:tr w:rsidR="00230E2B" w:rsidRPr="005833DD" w:rsidTr="001F3CDA">
        <w:tc>
          <w:tcPr>
            <w:tcW w:w="5000" w:type="pct"/>
          </w:tcPr>
          <w:p w:rsidR="00230E2B" w:rsidRDefault="00B80E69" w:rsidP="00230E2B">
            <w:pPr>
              <w:pStyle w:val="LTVerzDerFragendenFrage"/>
            </w:pPr>
            <w:hyperlink w:anchor="Frage_Nr_11" w:tooltip="Frage Nr 11" w:history="1">
              <w:r w:rsidR="00230E2B">
                <w:rPr>
                  <w:rStyle w:val="Hyperlink"/>
                  <w:szCs w:val="24"/>
                </w:rPr>
                <w:t>Beschaffung im CSU Fanshop II</w:t>
              </w:r>
              <w:r w:rsidR="00230E2B">
                <w:rPr>
                  <w:rStyle w:val="Hyperlink"/>
                  <w:szCs w:val="24"/>
                </w:rPr>
                <w:tab/>
                <w:t>11</w:t>
              </w:r>
            </w:hyperlink>
          </w:p>
        </w:tc>
      </w:tr>
      <w:tr w:rsidR="00230E2B" w:rsidRPr="005833DD" w:rsidTr="001F3CDA">
        <w:tc>
          <w:tcPr>
            <w:tcW w:w="5000" w:type="pct"/>
          </w:tcPr>
          <w:p w:rsidR="00230E2B" w:rsidRDefault="00230E2B" w:rsidP="00230E2B">
            <w:pPr>
              <w:pStyle w:val="LTVerzDerFragenden"/>
            </w:pPr>
            <w:r>
              <w:t>Skutella, Christoph (FDP)</w:t>
            </w:r>
          </w:p>
        </w:tc>
      </w:tr>
      <w:tr w:rsidR="00230E2B" w:rsidRPr="005833DD" w:rsidTr="001F3CDA">
        <w:tc>
          <w:tcPr>
            <w:tcW w:w="5000" w:type="pct"/>
          </w:tcPr>
          <w:p w:rsidR="00230E2B" w:rsidRDefault="00B80E69" w:rsidP="00230E2B">
            <w:pPr>
              <w:pStyle w:val="LTVerzDerFragendenFrage"/>
            </w:pPr>
            <w:hyperlink w:anchor="Frage_Nr_46" w:tooltip="Frage Nr 46" w:history="1">
              <w:r w:rsidR="00230E2B">
                <w:rPr>
                  <w:rStyle w:val="Hyperlink"/>
                  <w:szCs w:val="24"/>
                </w:rPr>
                <w:t>Methanlecks der bayerischen Erdgasinfrastruktur</w:t>
              </w:r>
              <w:r w:rsidR="00230E2B">
                <w:rPr>
                  <w:rStyle w:val="Hyperlink"/>
                  <w:szCs w:val="24"/>
                </w:rPr>
                <w:tab/>
                <w:t>46</w:t>
              </w:r>
            </w:hyperlink>
          </w:p>
        </w:tc>
      </w:tr>
      <w:tr w:rsidR="00230E2B" w:rsidRPr="005833DD" w:rsidTr="001F3CDA">
        <w:tc>
          <w:tcPr>
            <w:tcW w:w="5000" w:type="pct"/>
          </w:tcPr>
          <w:p w:rsidR="00230E2B" w:rsidRDefault="00230E2B" w:rsidP="00230E2B">
            <w:pPr>
              <w:pStyle w:val="LTVerzDerFragenden"/>
            </w:pPr>
            <w:r>
              <w:t>Sowa, Ursula (BÜNDNIS 90/DIE GRÜNEN)</w:t>
            </w:r>
          </w:p>
        </w:tc>
      </w:tr>
      <w:tr w:rsidR="00230E2B" w:rsidRPr="005833DD" w:rsidTr="001F3CDA">
        <w:tc>
          <w:tcPr>
            <w:tcW w:w="5000" w:type="pct"/>
          </w:tcPr>
          <w:p w:rsidR="00230E2B" w:rsidRDefault="00B80E69" w:rsidP="00230E2B">
            <w:pPr>
              <w:pStyle w:val="LTVerzDerFragendenFrage"/>
            </w:pPr>
            <w:hyperlink w:anchor="Frage_Nr_26" w:tooltip="Frage Nr 26" w:history="1">
              <w:r w:rsidR="00230E2B">
                <w:rPr>
                  <w:rStyle w:val="Hyperlink"/>
                  <w:szCs w:val="24"/>
                </w:rPr>
                <w:t>Abschiebegefängnis Hof II</w:t>
              </w:r>
              <w:r w:rsidR="00230E2B">
                <w:rPr>
                  <w:rStyle w:val="Hyperlink"/>
                  <w:szCs w:val="24"/>
                </w:rPr>
                <w:tab/>
                <w:t>26</w:t>
              </w:r>
            </w:hyperlink>
          </w:p>
        </w:tc>
      </w:tr>
      <w:tr w:rsidR="00230E2B" w:rsidRPr="005833DD" w:rsidTr="001F3CDA">
        <w:tc>
          <w:tcPr>
            <w:tcW w:w="5000" w:type="pct"/>
          </w:tcPr>
          <w:p w:rsidR="00230E2B" w:rsidRDefault="00230E2B" w:rsidP="00230E2B">
            <w:pPr>
              <w:pStyle w:val="LTVerzDerFragenden"/>
            </w:pPr>
            <w:r>
              <w:t>Dr. Spitzer, Dominik (FDP)</w:t>
            </w:r>
          </w:p>
        </w:tc>
      </w:tr>
      <w:tr w:rsidR="00230E2B" w:rsidRPr="005833DD" w:rsidTr="001F3CDA">
        <w:tc>
          <w:tcPr>
            <w:tcW w:w="5000" w:type="pct"/>
          </w:tcPr>
          <w:p w:rsidR="00230E2B" w:rsidRDefault="00B80E69" w:rsidP="00230E2B">
            <w:pPr>
              <w:pStyle w:val="LTVerzDerFragendenFrage"/>
            </w:pPr>
            <w:hyperlink w:anchor="Frage_Nr_68" w:tooltip="Frage Nr 68" w:history="1">
              <w:r w:rsidR="00230E2B">
                <w:rPr>
                  <w:rStyle w:val="Hyperlink"/>
                  <w:szCs w:val="24"/>
                </w:rPr>
                <w:t>Einrichtung eines Berufsregisters durch die Vereinigung der Pflegenden</w:t>
              </w:r>
              <w:r w:rsidR="00230E2B">
                <w:rPr>
                  <w:rStyle w:val="Hyperlink"/>
                  <w:szCs w:val="24"/>
                </w:rPr>
                <w:tab/>
                <w:t>68</w:t>
              </w:r>
            </w:hyperlink>
          </w:p>
        </w:tc>
      </w:tr>
      <w:tr w:rsidR="00230E2B" w:rsidRPr="005833DD" w:rsidTr="001F3CDA">
        <w:tc>
          <w:tcPr>
            <w:tcW w:w="5000" w:type="pct"/>
          </w:tcPr>
          <w:p w:rsidR="00230E2B" w:rsidRDefault="00230E2B" w:rsidP="00230E2B">
            <w:pPr>
              <w:pStyle w:val="LTVerzDerFragenden"/>
            </w:pPr>
            <w:r>
              <w:t>Stachowitz, Diana (SPD)</w:t>
            </w:r>
          </w:p>
        </w:tc>
      </w:tr>
      <w:tr w:rsidR="00230E2B" w:rsidRPr="005833DD" w:rsidTr="001F3CDA">
        <w:tc>
          <w:tcPr>
            <w:tcW w:w="5000" w:type="pct"/>
          </w:tcPr>
          <w:p w:rsidR="00230E2B" w:rsidRDefault="00B80E69" w:rsidP="00230E2B">
            <w:pPr>
              <w:pStyle w:val="LTVerzDerFragendenFrage"/>
            </w:pPr>
            <w:hyperlink w:anchor="Frage_Nr_34" w:tooltip="Frage Nr 34" w:history="1">
              <w:r w:rsidR="00230E2B">
                <w:rPr>
                  <w:rStyle w:val="Hyperlink"/>
                  <w:szCs w:val="24"/>
                </w:rPr>
                <w:t>Benennung der Mitglied</w:t>
              </w:r>
              <w:r w:rsidR="007965B5">
                <w:rPr>
                  <w:rStyle w:val="Hyperlink"/>
                  <w:szCs w:val="24"/>
                </w:rPr>
                <w:t>er der Aufklärungskommission im</w:t>
              </w:r>
              <w:r w:rsidR="007965B5">
                <w:rPr>
                  <w:rStyle w:val="Hyperlink"/>
                  <w:szCs w:val="24"/>
                </w:rPr>
                <w:br/>
              </w:r>
              <w:r w:rsidR="00230E2B">
                <w:rPr>
                  <w:rStyle w:val="Hyperlink"/>
                  <w:szCs w:val="24"/>
                </w:rPr>
                <w:t>Erzbistum München und Freising</w:t>
              </w:r>
              <w:r w:rsidR="00230E2B">
                <w:rPr>
                  <w:rStyle w:val="Hyperlink"/>
                  <w:szCs w:val="24"/>
                </w:rPr>
                <w:tab/>
                <w:t>34</w:t>
              </w:r>
            </w:hyperlink>
          </w:p>
        </w:tc>
      </w:tr>
      <w:tr w:rsidR="00230E2B" w:rsidRPr="005833DD" w:rsidTr="001F3CDA">
        <w:tc>
          <w:tcPr>
            <w:tcW w:w="5000" w:type="pct"/>
          </w:tcPr>
          <w:p w:rsidR="00230E2B" w:rsidRDefault="00230E2B" w:rsidP="00230E2B">
            <w:pPr>
              <w:pStyle w:val="LTVerzDerFragenden"/>
            </w:pPr>
            <w:r>
              <w:t>Steinberger, Rosi (BÜNDNIS 90/DIE GRÜNEN)</w:t>
            </w:r>
          </w:p>
        </w:tc>
      </w:tr>
      <w:tr w:rsidR="00230E2B" w:rsidRPr="005833DD" w:rsidTr="001F3CDA">
        <w:tc>
          <w:tcPr>
            <w:tcW w:w="5000" w:type="pct"/>
          </w:tcPr>
          <w:p w:rsidR="00230E2B" w:rsidRDefault="00B80E69" w:rsidP="00230E2B">
            <w:pPr>
              <w:pStyle w:val="LTVerzDerFragendenFrage"/>
            </w:pPr>
            <w:hyperlink w:anchor="Frage_Nr_50" w:tooltip="Frage Nr 50" w:history="1">
              <w:r w:rsidR="00230E2B">
                <w:rPr>
                  <w:rStyle w:val="Hyperlink"/>
                  <w:szCs w:val="24"/>
                </w:rPr>
                <w:t>Plastikreduzierung</w:t>
              </w:r>
              <w:r w:rsidR="00230E2B">
                <w:rPr>
                  <w:rStyle w:val="Hyperlink"/>
                  <w:szCs w:val="24"/>
                </w:rPr>
                <w:tab/>
                <w:t>50</w:t>
              </w:r>
            </w:hyperlink>
          </w:p>
        </w:tc>
      </w:tr>
      <w:tr w:rsidR="00230E2B" w:rsidRPr="005833DD" w:rsidTr="001F3CDA">
        <w:tc>
          <w:tcPr>
            <w:tcW w:w="5000" w:type="pct"/>
          </w:tcPr>
          <w:p w:rsidR="00230E2B" w:rsidRDefault="00230E2B" w:rsidP="00230E2B">
            <w:pPr>
              <w:pStyle w:val="LTVerzDerFragenden"/>
            </w:pPr>
            <w:r>
              <w:t>Dr. Strohmayr, Simone (SPD)</w:t>
            </w:r>
          </w:p>
        </w:tc>
      </w:tr>
      <w:tr w:rsidR="00230E2B" w:rsidRPr="005833DD" w:rsidTr="001F3CDA">
        <w:tc>
          <w:tcPr>
            <w:tcW w:w="5000" w:type="pct"/>
          </w:tcPr>
          <w:p w:rsidR="00230E2B" w:rsidRDefault="00B80E69" w:rsidP="00230E2B">
            <w:pPr>
              <w:pStyle w:val="LTVerzDerFragendenFrage"/>
            </w:pPr>
            <w:hyperlink w:anchor="Frage_Nr_35" w:tooltip="Frage Nr 35" w:history="1">
              <w:r w:rsidR="00230E2B">
                <w:rPr>
                  <w:rStyle w:val="Hyperlink"/>
                  <w:szCs w:val="24"/>
                </w:rPr>
                <w:t>Schulpsychologie in Bayern</w:t>
              </w:r>
              <w:r w:rsidR="00230E2B">
                <w:rPr>
                  <w:rStyle w:val="Hyperlink"/>
                  <w:szCs w:val="24"/>
                </w:rPr>
                <w:tab/>
                <w:t>35</w:t>
              </w:r>
            </w:hyperlink>
          </w:p>
        </w:tc>
      </w:tr>
      <w:tr w:rsidR="00230E2B" w:rsidRPr="005833DD" w:rsidTr="001F3CDA">
        <w:tc>
          <w:tcPr>
            <w:tcW w:w="5000" w:type="pct"/>
          </w:tcPr>
          <w:p w:rsidR="00230E2B" w:rsidRDefault="00230E2B" w:rsidP="00230E2B">
            <w:pPr>
              <w:pStyle w:val="LTVerzDerFragenden"/>
            </w:pPr>
            <w:r>
              <w:t>Stümpfig, Martin (BÜNDNIS 90/DIE GRÜNEN)</w:t>
            </w:r>
          </w:p>
        </w:tc>
      </w:tr>
      <w:tr w:rsidR="00230E2B" w:rsidRPr="005833DD" w:rsidTr="001F3CDA">
        <w:tc>
          <w:tcPr>
            <w:tcW w:w="5000" w:type="pct"/>
          </w:tcPr>
          <w:p w:rsidR="00230E2B" w:rsidRDefault="00B80E69" w:rsidP="007965B5">
            <w:pPr>
              <w:pStyle w:val="LTVerzDerFragendenFrage"/>
            </w:pPr>
            <w:hyperlink w:anchor="Frage_Nr_51" w:tooltip="Frage Nr 51" w:history="1">
              <w:r w:rsidR="00230E2B">
                <w:rPr>
                  <w:rStyle w:val="Hyperlink"/>
                  <w:szCs w:val="24"/>
                </w:rPr>
                <w:t xml:space="preserve">Vermeidung von </w:t>
              </w:r>
              <w:r w:rsidR="007965B5">
                <w:rPr>
                  <w:rStyle w:val="Hyperlink"/>
                  <w:szCs w:val="24"/>
                </w:rPr>
                <w:t>Treibhausgas-Emissionen im bayerischen</w:t>
              </w:r>
              <w:r w:rsidR="007965B5">
                <w:rPr>
                  <w:rStyle w:val="Hyperlink"/>
                  <w:szCs w:val="24"/>
                </w:rPr>
                <w:br/>
              </w:r>
              <w:r w:rsidR="00230E2B">
                <w:rPr>
                  <w:rStyle w:val="Hyperlink"/>
                  <w:szCs w:val="24"/>
                </w:rPr>
                <w:t>Klimaschutzgesetz</w:t>
              </w:r>
              <w:r w:rsidR="00230E2B">
                <w:rPr>
                  <w:rStyle w:val="Hyperlink"/>
                  <w:szCs w:val="24"/>
                </w:rPr>
                <w:tab/>
                <w:t>51</w:t>
              </w:r>
            </w:hyperlink>
          </w:p>
        </w:tc>
      </w:tr>
      <w:tr w:rsidR="00230E2B" w:rsidRPr="005833DD" w:rsidTr="001F3CDA">
        <w:tc>
          <w:tcPr>
            <w:tcW w:w="5000" w:type="pct"/>
          </w:tcPr>
          <w:p w:rsidR="00230E2B" w:rsidRDefault="007965B5" w:rsidP="00230E2B">
            <w:pPr>
              <w:pStyle w:val="LTVerzDerFragenden"/>
            </w:pPr>
            <w:r>
              <w:t>Ta</w:t>
            </w:r>
            <w:r>
              <w:rPr>
                <w:rFonts w:cs="Arial"/>
              </w:rPr>
              <w:t>ş</w:t>
            </w:r>
            <w:r w:rsidR="00230E2B">
              <w:t>delen, Arif (SPD)</w:t>
            </w:r>
          </w:p>
        </w:tc>
      </w:tr>
      <w:tr w:rsidR="00230E2B" w:rsidRPr="005833DD" w:rsidTr="001F3CDA">
        <w:tc>
          <w:tcPr>
            <w:tcW w:w="5000" w:type="pct"/>
          </w:tcPr>
          <w:p w:rsidR="00230E2B" w:rsidRDefault="00B80E69" w:rsidP="00230E2B">
            <w:pPr>
              <w:pStyle w:val="LTVerzDerFragendenFrage"/>
            </w:pPr>
            <w:hyperlink w:anchor="Frage_Nr_69" w:tooltip="Frage Nr 69" w:history="1">
              <w:r w:rsidR="00230E2B">
                <w:rPr>
                  <w:rStyle w:val="Hyperlink"/>
                  <w:szCs w:val="24"/>
                </w:rPr>
                <w:t>Hospitalisierungen mit Corona als Haupt- oder Nebendiagnose</w:t>
              </w:r>
              <w:r w:rsidR="00230E2B">
                <w:rPr>
                  <w:rStyle w:val="Hyperlink"/>
                  <w:szCs w:val="24"/>
                </w:rPr>
                <w:tab/>
                <w:t>69</w:t>
              </w:r>
            </w:hyperlink>
          </w:p>
        </w:tc>
      </w:tr>
      <w:tr w:rsidR="00230E2B" w:rsidRPr="005833DD" w:rsidTr="001F3CDA">
        <w:tc>
          <w:tcPr>
            <w:tcW w:w="5000" w:type="pct"/>
          </w:tcPr>
          <w:p w:rsidR="00230E2B" w:rsidRDefault="00230E2B" w:rsidP="00230E2B">
            <w:pPr>
              <w:pStyle w:val="LTVerzDerFragenden"/>
            </w:pPr>
            <w:r>
              <w:t>Triebel, Gabriele (BÜNDNIS 90/DIE GRÜNEN)</w:t>
            </w:r>
          </w:p>
        </w:tc>
      </w:tr>
      <w:tr w:rsidR="00230E2B" w:rsidRPr="005833DD" w:rsidTr="001F3CDA">
        <w:tc>
          <w:tcPr>
            <w:tcW w:w="5000" w:type="pct"/>
          </w:tcPr>
          <w:p w:rsidR="00230E2B" w:rsidRDefault="00B80E69" w:rsidP="00230E2B">
            <w:pPr>
              <w:pStyle w:val="LTVerzDerFragendenFrage"/>
            </w:pPr>
            <w:hyperlink w:anchor="Frage_Nr_36" w:tooltip="Frage Nr 36" w:history="1">
              <w:r w:rsidR="00230E2B">
                <w:rPr>
                  <w:rStyle w:val="Hyperlink"/>
                  <w:szCs w:val="24"/>
                </w:rPr>
                <w:t>PCR-Pooltests für 5. und 6. Klassen</w:t>
              </w:r>
              <w:r w:rsidR="00230E2B">
                <w:rPr>
                  <w:rStyle w:val="Hyperlink"/>
                  <w:szCs w:val="24"/>
                </w:rPr>
                <w:tab/>
                <w:t>36</w:t>
              </w:r>
            </w:hyperlink>
          </w:p>
        </w:tc>
      </w:tr>
      <w:tr w:rsidR="00230E2B" w:rsidRPr="005833DD" w:rsidTr="001F3CDA">
        <w:tc>
          <w:tcPr>
            <w:tcW w:w="5000" w:type="pct"/>
          </w:tcPr>
          <w:p w:rsidR="00230E2B" w:rsidRDefault="00230E2B" w:rsidP="00230E2B">
            <w:pPr>
              <w:pStyle w:val="LTVerzDerFragenden"/>
            </w:pPr>
            <w:r>
              <w:t>Urban, Hans (BÜNDNIS 90/DIE GRÜNEN)</w:t>
            </w:r>
          </w:p>
        </w:tc>
      </w:tr>
      <w:tr w:rsidR="00230E2B" w:rsidRPr="005833DD" w:rsidTr="001F3CDA">
        <w:tc>
          <w:tcPr>
            <w:tcW w:w="5000" w:type="pct"/>
          </w:tcPr>
          <w:p w:rsidR="00230E2B" w:rsidRDefault="00B80E69" w:rsidP="00230E2B">
            <w:pPr>
              <w:pStyle w:val="LTVerzDerFragendenFrage"/>
            </w:pPr>
            <w:hyperlink w:anchor="Frage_Nr_54" w:tooltip="Frage Nr 54" w:history="1">
              <w:r w:rsidR="00230E2B">
                <w:rPr>
                  <w:rStyle w:val="Hyperlink"/>
                  <w:szCs w:val="24"/>
                </w:rPr>
                <w:t>Sachb</w:t>
              </w:r>
              <w:r w:rsidR="007965B5">
                <w:rPr>
                  <w:rStyle w:val="Hyperlink"/>
                  <w:szCs w:val="24"/>
                </w:rPr>
                <w:t>earbeiter</w:t>
              </w:r>
              <w:r w:rsidR="00230E2B">
                <w:rPr>
                  <w:rStyle w:val="Hyperlink"/>
                  <w:szCs w:val="24"/>
                </w:rPr>
                <w:t xml:space="preserve">innen </w:t>
              </w:r>
              <w:r w:rsidR="007965B5">
                <w:rPr>
                  <w:rStyle w:val="Hyperlink"/>
                  <w:szCs w:val="24"/>
                </w:rPr>
                <w:t>bzw. Sachbearbeiter für Qualitätssicherung</w:t>
              </w:r>
              <w:r w:rsidR="007965B5">
                <w:rPr>
                  <w:rStyle w:val="Hyperlink"/>
                  <w:szCs w:val="24"/>
                </w:rPr>
                <w:br/>
              </w:r>
              <w:r w:rsidR="00230E2B">
                <w:rPr>
                  <w:rStyle w:val="Hyperlink"/>
                  <w:szCs w:val="24"/>
                </w:rPr>
                <w:t>und phytosanitäre Kontrollen 2022</w:t>
              </w:r>
              <w:r w:rsidR="00230E2B">
                <w:rPr>
                  <w:rStyle w:val="Hyperlink"/>
                  <w:szCs w:val="24"/>
                </w:rPr>
                <w:tab/>
                <w:t>54</w:t>
              </w:r>
            </w:hyperlink>
          </w:p>
        </w:tc>
      </w:tr>
      <w:tr w:rsidR="00230E2B" w:rsidRPr="005833DD" w:rsidTr="001F3CDA">
        <w:tc>
          <w:tcPr>
            <w:tcW w:w="5000" w:type="pct"/>
          </w:tcPr>
          <w:p w:rsidR="00230E2B" w:rsidRDefault="00230E2B" w:rsidP="00230E2B">
            <w:pPr>
              <w:pStyle w:val="LTVerzDerFragenden"/>
            </w:pPr>
            <w:r>
              <w:t>Waldmann, Ruth (SPD)</w:t>
            </w:r>
          </w:p>
        </w:tc>
      </w:tr>
      <w:tr w:rsidR="00230E2B" w:rsidRPr="005833DD" w:rsidTr="001F3CDA">
        <w:tc>
          <w:tcPr>
            <w:tcW w:w="5000" w:type="pct"/>
          </w:tcPr>
          <w:p w:rsidR="00230E2B" w:rsidRDefault="00B80E69" w:rsidP="00230E2B">
            <w:pPr>
              <w:pStyle w:val="LTVerzDerFragendenFrage"/>
            </w:pPr>
            <w:hyperlink w:anchor="Frage_Nr_70" w:tooltip="Frage Nr 70" w:history="1">
              <w:r w:rsidR="00230E2B">
                <w:rPr>
                  <w:rStyle w:val="Hyperlink"/>
                  <w:szCs w:val="24"/>
                </w:rPr>
                <w:t>Quarantäne-Regeln für Schulen</w:t>
              </w:r>
              <w:r w:rsidR="00230E2B">
                <w:rPr>
                  <w:rStyle w:val="Hyperlink"/>
                  <w:szCs w:val="24"/>
                </w:rPr>
                <w:tab/>
                <w:t>70</w:t>
              </w:r>
            </w:hyperlink>
          </w:p>
        </w:tc>
      </w:tr>
      <w:tr w:rsidR="00230E2B" w:rsidRPr="005833DD" w:rsidTr="001F3CDA">
        <w:tc>
          <w:tcPr>
            <w:tcW w:w="5000" w:type="pct"/>
          </w:tcPr>
          <w:p w:rsidR="00230E2B" w:rsidRDefault="00230E2B" w:rsidP="00230E2B">
            <w:pPr>
              <w:pStyle w:val="LTVerzDerFragenden"/>
            </w:pPr>
            <w:r>
              <w:t>Dr. Weigand, Sabine (BÜNDNIS 90/DIE GRÜNEN)</w:t>
            </w:r>
          </w:p>
        </w:tc>
      </w:tr>
      <w:tr w:rsidR="00230E2B" w:rsidRPr="005833DD" w:rsidTr="001F3CDA">
        <w:tc>
          <w:tcPr>
            <w:tcW w:w="5000" w:type="pct"/>
          </w:tcPr>
          <w:p w:rsidR="00230E2B" w:rsidRDefault="00B80E69" w:rsidP="00230E2B">
            <w:pPr>
              <w:pStyle w:val="LTVerzDerFragendenFrage"/>
            </w:pPr>
            <w:hyperlink w:anchor="Frage_Nr_20" w:tooltip="Frage Nr 20" w:history="1">
              <w:r w:rsidR="00230E2B">
                <w:rPr>
                  <w:rStyle w:val="Hyperlink"/>
                  <w:szCs w:val="24"/>
                </w:rPr>
                <w:t xml:space="preserve">Denkmalschutz im KZ-Steinbruch </w:t>
              </w:r>
              <w:r w:rsidR="00490BF0">
                <w:rPr>
                  <w:rStyle w:val="Hyperlink"/>
                  <w:szCs w:val="24"/>
                </w:rPr>
                <w:t>„</w:t>
              </w:r>
              <w:r w:rsidR="00230E2B">
                <w:rPr>
                  <w:rStyle w:val="Hyperlink"/>
                  <w:szCs w:val="24"/>
                </w:rPr>
                <w:t>Wurmstein</w:t>
              </w:r>
              <w:r w:rsidR="00490BF0">
                <w:rPr>
                  <w:rStyle w:val="Hyperlink"/>
                  <w:szCs w:val="24"/>
                </w:rPr>
                <w:t>“</w:t>
              </w:r>
              <w:r w:rsidR="00230E2B">
                <w:rPr>
                  <w:rStyle w:val="Hyperlink"/>
                  <w:szCs w:val="24"/>
                </w:rPr>
                <w:t xml:space="preserve"> in Flossenbürg</w:t>
              </w:r>
              <w:r w:rsidR="00230E2B">
                <w:rPr>
                  <w:rStyle w:val="Hyperlink"/>
                  <w:szCs w:val="24"/>
                </w:rPr>
                <w:tab/>
                <w:t>20</w:t>
              </w:r>
            </w:hyperlink>
          </w:p>
        </w:tc>
      </w:tr>
      <w:tr w:rsidR="00230E2B" w:rsidRPr="005833DD" w:rsidTr="001F3CDA">
        <w:tc>
          <w:tcPr>
            <w:tcW w:w="5000" w:type="pct"/>
          </w:tcPr>
          <w:p w:rsidR="00230E2B" w:rsidRDefault="00230E2B" w:rsidP="00230E2B">
            <w:pPr>
              <w:pStyle w:val="LTVerzDerFragenden"/>
            </w:pPr>
            <w:r>
              <w:t>Wild, Margit (SPD)</w:t>
            </w:r>
          </w:p>
        </w:tc>
      </w:tr>
      <w:tr w:rsidR="00230E2B" w:rsidRPr="005833DD" w:rsidTr="001F3CDA">
        <w:tc>
          <w:tcPr>
            <w:tcW w:w="5000" w:type="pct"/>
          </w:tcPr>
          <w:p w:rsidR="00230E2B" w:rsidRDefault="00B80E69" w:rsidP="00230E2B">
            <w:pPr>
              <w:pStyle w:val="LTVerzDerFragendenFrage"/>
            </w:pPr>
            <w:hyperlink w:anchor="Frage_Nr_27" w:tooltip="Frage Nr 27" w:history="1">
              <w:r w:rsidR="00230E2B">
                <w:rPr>
                  <w:rStyle w:val="Hyperlink"/>
                  <w:szCs w:val="24"/>
                </w:rPr>
                <w:t>Staatsanwaltschaftliche Ermittlungen gegen kirchliche Verantwortungsträger</w:t>
              </w:r>
              <w:r w:rsidR="00230E2B">
                <w:rPr>
                  <w:rStyle w:val="Hyperlink"/>
                  <w:szCs w:val="24"/>
                </w:rPr>
                <w:tab/>
                <w:t>27</w:t>
              </w:r>
            </w:hyperlink>
          </w:p>
        </w:tc>
      </w:tr>
      <w:tr w:rsidR="00230E2B" w:rsidRPr="005833DD" w:rsidTr="001F3CDA">
        <w:tc>
          <w:tcPr>
            <w:tcW w:w="5000" w:type="pct"/>
          </w:tcPr>
          <w:p w:rsidR="00230E2B" w:rsidRDefault="00230E2B" w:rsidP="00230E2B">
            <w:pPr>
              <w:pStyle w:val="LTVerzDerFragenden"/>
            </w:pPr>
            <w:r>
              <w:t>Winhart, Andreas (AfD)</w:t>
            </w:r>
          </w:p>
        </w:tc>
      </w:tr>
      <w:tr w:rsidR="00230E2B" w:rsidRPr="005833DD" w:rsidTr="001F3CDA">
        <w:tc>
          <w:tcPr>
            <w:tcW w:w="5000" w:type="pct"/>
          </w:tcPr>
          <w:p w:rsidR="00230E2B" w:rsidRDefault="00B80E69" w:rsidP="00230E2B">
            <w:pPr>
              <w:pStyle w:val="LTVerzDerFragendenFrage"/>
            </w:pPr>
            <w:hyperlink w:anchor="Frage_Nr_71" w:tooltip="Frage Nr 71" w:history="1">
              <w:r w:rsidR="00230E2B">
                <w:rPr>
                  <w:rStyle w:val="Hyperlink"/>
                  <w:szCs w:val="24"/>
                </w:rPr>
                <w:t>Fälschung der Coronazahlen durch die Staatsregierung</w:t>
              </w:r>
              <w:r w:rsidR="00473C10">
                <w:rPr>
                  <w:rStyle w:val="Hyperlink"/>
                  <w:szCs w:val="24"/>
                </w:rPr>
                <w:t>?</w:t>
              </w:r>
              <w:r w:rsidR="00230E2B">
                <w:rPr>
                  <w:rStyle w:val="Hyperlink"/>
                  <w:szCs w:val="24"/>
                </w:rPr>
                <w:tab/>
                <w:t>71</w:t>
              </w:r>
            </w:hyperlink>
          </w:p>
        </w:tc>
      </w:tr>
      <w:tr w:rsidR="00230E2B" w:rsidRPr="005833DD" w:rsidTr="001F3CDA">
        <w:tc>
          <w:tcPr>
            <w:tcW w:w="5000" w:type="pct"/>
          </w:tcPr>
          <w:p w:rsidR="00230E2B" w:rsidRDefault="00230E2B" w:rsidP="00230E2B">
            <w:pPr>
              <w:pStyle w:val="LTVerzDerFragenden"/>
            </w:pPr>
            <w:r>
              <w:t>Zwanziger, Christian (BÜNDNIS 90/DIE GRÜNEN)</w:t>
            </w:r>
          </w:p>
        </w:tc>
      </w:tr>
      <w:tr w:rsidR="00230E2B" w:rsidRPr="005833DD" w:rsidTr="001F3CDA">
        <w:tc>
          <w:tcPr>
            <w:tcW w:w="5000" w:type="pct"/>
          </w:tcPr>
          <w:p w:rsidR="00230E2B" w:rsidRDefault="00B80E69" w:rsidP="00230E2B">
            <w:pPr>
              <w:pStyle w:val="LTVerzDerFragendenFrage"/>
            </w:pPr>
            <w:hyperlink w:anchor="Frage_Nr_21" w:tooltip="Frage Nr 21" w:history="1">
              <w:r w:rsidR="00230E2B">
                <w:rPr>
                  <w:rStyle w:val="Hyperlink"/>
                  <w:szCs w:val="24"/>
                </w:rPr>
                <w:t xml:space="preserve">365-Euro-Ticket &amp; ÖPNV im </w:t>
              </w:r>
              <w:r w:rsidR="007965B5">
                <w:rPr>
                  <w:rStyle w:val="Hyperlink"/>
                  <w:szCs w:val="24"/>
                </w:rPr>
                <w:t>Verkehrsverbund Großraum Nürnberg (</w:t>
              </w:r>
              <w:r w:rsidR="00230E2B">
                <w:rPr>
                  <w:rStyle w:val="Hyperlink"/>
                  <w:szCs w:val="24"/>
                </w:rPr>
                <w:t>VGN</w:t>
              </w:r>
              <w:r w:rsidR="007965B5">
                <w:rPr>
                  <w:rStyle w:val="Hyperlink"/>
                  <w:szCs w:val="24"/>
                </w:rPr>
                <w:t>)</w:t>
              </w:r>
              <w:r w:rsidR="00230E2B">
                <w:rPr>
                  <w:rStyle w:val="Hyperlink"/>
                  <w:szCs w:val="24"/>
                </w:rPr>
                <w:tab/>
                <w:t>21</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230E2B" w:rsidP="00230E2B">
      <w:pPr>
        <w:pStyle w:val="LTUeberschrRessort"/>
      </w:pPr>
      <w:bookmarkStart w:id="2" w:name="FragenNachGeschBereichen"/>
      <w:bookmarkEnd w:id="2"/>
      <w:r>
        <w:lastRenderedPageBreak/>
        <w:t>Geschäftsbereich der Staatskanzlei</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1"/>
        <w:gridCol w:w="5785"/>
      </w:tblGrid>
      <w:tr w:rsidR="00230E2B" w:rsidTr="007B0B33">
        <w:tc>
          <w:tcPr>
            <w:tcW w:w="2050" w:type="dxa"/>
          </w:tcPr>
          <w:p w:rsidR="00230E2B" w:rsidRDefault="00230E2B" w:rsidP="00230E2B">
            <w:pPr>
              <w:pStyle w:val="LTAnfrageInitiator"/>
            </w:pPr>
            <w:r>
              <w:t>Abgeordneter</w:t>
            </w:r>
            <w:r>
              <w:rPr>
                <w:b/>
              </w:rPr>
              <w:br/>
              <w:t>Dr. Wolfgang</w:t>
            </w:r>
            <w:r>
              <w:rPr>
                <w:b/>
              </w:rPr>
              <w:br/>
              <w:t>Heubisch</w:t>
            </w:r>
            <w:r>
              <w:rPr>
                <w:b/>
              </w:rPr>
              <w:br/>
            </w:r>
            <w:r>
              <w:t>(FDP)</w:t>
            </w:r>
            <w:bookmarkStart w:id="3" w:name="Frage_Nr_1"/>
            <w:bookmarkEnd w:id="3"/>
          </w:p>
        </w:tc>
        <w:tc>
          <w:tcPr>
            <w:tcW w:w="7200" w:type="dxa"/>
          </w:tcPr>
          <w:p w:rsidR="00230E2B" w:rsidRDefault="00A615E7" w:rsidP="00230E2B">
            <w:pPr>
              <w:pStyle w:val="LTAnfrageText"/>
            </w:pPr>
            <w:r w:rsidRPr="00A615E7">
              <w:rPr>
                <w:szCs w:val="24"/>
              </w:rPr>
              <w:t>Ich frage die Staatsregierung, wie oft Ministerpräsident Dr. Markus Söder seit Beginn der Coronapandemie bayerische Kultureinrichtungen besucht hat (bitte unter Nennung der jeweiligen Kultureinrichtung, des genauen Datums und des Anlasses), mit welchen Personen der Kunst- und Kulturszene in Bayern er seitdem konkret im Gespräch stand (bitte unter Nennung der Einrichtungen, des genauen Datums sowie der Dauer des Gesprächs) und welche Erkenntnisse die Staatsregierung durch die Gespräche des Ministerpräsidenten mit den Kulturschaffenden dazu bewogen haben, die Maßnahmen für Kulturveranstaltungen in der Vergangenheit anders zu akzentuieren als bei anderen Veranstaltungsformaten (wie beispielsweise im Bereich des Profisports oder im Bereich der körpernahen Dienstleistungen).</w:t>
            </w:r>
          </w:p>
        </w:tc>
      </w:tr>
    </w:tbl>
    <w:p w:rsidR="00230E2B" w:rsidRDefault="00230E2B" w:rsidP="00230E2B">
      <w:pPr>
        <w:pStyle w:val="LTUeberschrAntwortRessort"/>
      </w:pPr>
      <w:r>
        <w:t>Antwort der Staatskanzlei</w:t>
      </w:r>
    </w:p>
    <w:p w:rsidR="00230E2B" w:rsidRDefault="00230E2B" w:rsidP="00230E2B">
      <w:pPr>
        <w:pStyle w:val="LTAntwortRessortText"/>
      </w:pPr>
      <w:r>
        <w:t>Die Förderung der Kultur ist für die Staatsregierung ein sehr wichtiges Anliegen.</w:t>
      </w:r>
      <w:r w:rsidR="00E00D06">
        <w:t xml:space="preserve"> </w:t>
      </w:r>
      <w:r>
        <w:t>Das gilt sowohl in normalen Zeiten wie auch während der Pandemie. Aufgabenbedingt</w:t>
      </w:r>
      <w:r w:rsidR="00E00D06">
        <w:t xml:space="preserve"> </w:t>
      </w:r>
      <w:r>
        <w:t>pflegen Mitglieder der Staatsregierung vielfältige Kontakte zu Vertreterinnen</w:t>
      </w:r>
      <w:r w:rsidR="00E00D06">
        <w:t xml:space="preserve"> </w:t>
      </w:r>
      <w:r>
        <w:t>und Vertretern der Kunst- und Kulturszene. Regelmäßig finden in diesem Rahmen</w:t>
      </w:r>
      <w:r w:rsidR="00E00D06">
        <w:t xml:space="preserve"> </w:t>
      </w:r>
      <w:r>
        <w:t>Gespräche mit Kulturschaffenden, aber auch Besuche von Kultur- und Kunsteinrichtungen</w:t>
      </w:r>
      <w:r w:rsidR="00E00D06">
        <w:t xml:space="preserve"> </w:t>
      </w:r>
      <w:r w:rsidR="00EE1BA9">
        <w:t>–</w:t>
      </w:r>
      <w:r>
        <w:t xml:space="preserve"> auch und</w:t>
      </w:r>
      <w:r w:rsidR="00EE1BA9">
        <w:t xml:space="preserve"> gerade zu besonderen Anlässen –</w:t>
      </w:r>
      <w:r>
        <w:t xml:space="preserve"> statt. Eine rechtliche</w:t>
      </w:r>
      <w:r w:rsidR="00E00D06">
        <w:t xml:space="preserve"> </w:t>
      </w:r>
      <w:r>
        <w:t>Pflicht zur Erfassung und Dokumentation entsprechender Daten besteht nicht.</w:t>
      </w:r>
    </w:p>
    <w:p w:rsidR="00230E2B" w:rsidRDefault="00230E2B" w:rsidP="00230E2B">
      <w:pPr>
        <w:pStyle w:val="LTAntwortRessortText"/>
      </w:pPr>
      <w:r>
        <w:t>Beispielhaft können als Termine genannt werden, die innerhalb der vergangenen</w:t>
      </w:r>
      <w:r w:rsidR="00E00D06">
        <w:t xml:space="preserve"> </w:t>
      </w:r>
      <w:r>
        <w:t>zwei Jahre stattgefunden haben: Am 30. Juni 2021 besuchte Herr Ministerpräsident</w:t>
      </w:r>
      <w:r w:rsidR="00CB2C78">
        <w:t xml:space="preserve"> Dr. Markus Söder</w:t>
      </w:r>
      <w:r w:rsidR="00E00D06">
        <w:t xml:space="preserve"> </w:t>
      </w:r>
      <w:r>
        <w:t>das Open-Air-Konzert der Münchner Symphoniker gemeinsam mit der Band</w:t>
      </w:r>
      <w:r w:rsidR="00E00D06">
        <w:t xml:space="preserve"> </w:t>
      </w:r>
      <w:r>
        <w:t>Dreiviertelblut auf dem Königsplatz und eröffnete damit den Bayerischen Kultursommer.</w:t>
      </w:r>
      <w:r w:rsidR="00E00D06">
        <w:t xml:space="preserve"> </w:t>
      </w:r>
      <w:r>
        <w:t xml:space="preserve">Am 25. Juli 2021 besuchte Herr Ministerpräsident </w:t>
      </w:r>
      <w:r w:rsidR="00CB2C78">
        <w:t xml:space="preserve">Dr. Markus Söder </w:t>
      </w:r>
      <w:r>
        <w:t>die Eröffnungsvorstellung</w:t>
      </w:r>
      <w:r w:rsidR="00E00D06">
        <w:t xml:space="preserve"> </w:t>
      </w:r>
      <w:r>
        <w:t>der Richard-Wagner-Festspiele im Bayreuther Festspielhau</w:t>
      </w:r>
      <w:r w:rsidR="00CB2C78">
        <w:t>s</w:t>
      </w:r>
      <w:r>
        <w:t xml:space="preserve"> Am 16. Oktober</w:t>
      </w:r>
      <w:r w:rsidR="00E00D06">
        <w:t xml:space="preserve"> </w:t>
      </w:r>
      <w:r>
        <w:t xml:space="preserve">2021 besuchte Herr Ministerpräsident </w:t>
      </w:r>
      <w:r w:rsidR="00CB2C78">
        <w:t xml:space="preserve">Dr. Markus Söder </w:t>
      </w:r>
      <w:r>
        <w:t xml:space="preserve">die Uraufführung des Musicals </w:t>
      </w:r>
      <w:r w:rsidR="00490BF0">
        <w:t>„</w:t>
      </w:r>
      <w:r>
        <w:t>Zeppelin</w:t>
      </w:r>
      <w:r w:rsidR="00490BF0">
        <w:t>“</w:t>
      </w:r>
      <w:r>
        <w:t xml:space="preserve"> im</w:t>
      </w:r>
      <w:r w:rsidR="00E00D06">
        <w:t xml:space="preserve"> </w:t>
      </w:r>
      <w:r>
        <w:t>Festspielhaus Neuschwanstein in Füssen.</w:t>
      </w:r>
    </w:p>
    <w:p w:rsidR="00230E2B" w:rsidRDefault="00230E2B" w:rsidP="00230E2B">
      <w:pPr>
        <w:pStyle w:val="LTAntwortRessortText"/>
      </w:pPr>
      <w:r>
        <w:t xml:space="preserve">Daneben führte Herr Ministerpräsident </w:t>
      </w:r>
      <w:r w:rsidR="00097C79">
        <w:t xml:space="preserve">Dr. Markus Söder </w:t>
      </w:r>
      <w:r>
        <w:t>in den vergangenen zwei Jahren zahlreiche</w:t>
      </w:r>
      <w:r w:rsidR="00E00D06">
        <w:t xml:space="preserve"> </w:t>
      </w:r>
      <w:r>
        <w:t>Gespräche mit Kunst- und Kulturschaffenden sowie Vertreterinnen und Vertretern</w:t>
      </w:r>
      <w:r w:rsidR="00E00D06">
        <w:t xml:space="preserve"> </w:t>
      </w:r>
      <w:r>
        <w:t>der Kunst- und Kulturszene. So fand unter anderem ein mehrfacher Austausch mit</w:t>
      </w:r>
      <w:r w:rsidR="00E00D06">
        <w:t xml:space="preserve"> </w:t>
      </w:r>
      <w:r>
        <w:t>Intendanten, Konzert- und Kulturveranstaltern, Fachverbänden und Vertretungen,</w:t>
      </w:r>
      <w:r w:rsidR="00E00D06">
        <w:t xml:space="preserve"> </w:t>
      </w:r>
      <w:r>
        <w:t>Kabarettisten, Musikern, Schauspielern, sowie weiteren Vertreterinnen und Vertretern</w:t>
      </w:r>
      <w:r w:rsidR="00E00D06">
        <w:t xml:space="preserve"> </w:t>
      </w:r>
      <w:r>
        <w:t>der (freien) Kunst- und Kulturszene statt. Die Erkenntnisse, Ideen und Anregungen</w:t>
      </w:r>
      <w:r w:rsidR="00E00D06">
        <w:t xml:space="preserve"> </w:t>
      </w:r>
      <w:r>
        <w:t>aus diesen Gesprächen sowie weiteren Besuchen der Kultureinrichtungen</w:t>
      </w:r>
      <w:r w:rsidR="00E00D06">
        <w:t xml:space="preserve"> </w:t>
      </w:r>
      <w:r>
        <w:t>flossen in die ergriffenen Maßnahmen und erlassenen Regelungen der Staatregierung</w:t>
      </w:r>
      <w:r w:rsidR="00E00D06">
        <w:t xml:space="preserve"> </w:t>
      </w:r>
      <w:r>
        <w:t xml:space="preserve">im Rahmen der </w:t>
      </w:r>
      <w:r w:rsidR="005508E8">
        <w:t>Coronapandemie</w:t>
      </w:r>
      <w:r>
        <w:t xml:space="preserve"> ein.</w:t>
      </w:r>
    </w:p>
    <w:p w:rsidR="00230E2B" w:rsidRDefault="00230E2B" w:rsidP="00230E2B">
      <w:pPr>
        <w:pStyle w:val="LTAntwortRessortText"/>
      </w:pPr>
      <w:r>
        <w:lastRenderedPageBreak/>
        <w:t xml:space="preserve">Neben Herrn Ministerpräsident </w:t>
      </w:r>
      <w:r w:rsidR="00097C79">
        <w:t xml:space="preserve">Dr. Markus Söder </w:t>
      </w:r>
      <w:r>
        <w:t>führten auch zahlreiche Mitglieder der Staatsregierung</w:t>
      </w:r>
      <w:r w:rsidR="00E00D06">
        <w:t xml:space="preserve"> </w:t>
      </w:r>
      <w:r>
        <w:t>intensive Gespräche mit Vertreterinnen und Vertretern der Kunst- und Kulturszene.</w:t>
      </w:r>
      <w:r w:rsidR="00E00D06">
        <w:t xml:space="preserve"> </w:t>
      </w:r>
      <w:r>
        <w:t xml:space="preserve">Insbesondere Herr Staatsminister </w:t>
      </w:r>
      <w:r w:rsidR="00F27634">
        <w:t xml:space="preserve">für Wissenschaft und Kunst </w:t>
      </w:r>
      <w:r>
        <w:t>Bernd Sibler stand und steht in ständigem</w:t>
      </w:r>
      <w:r w:rsidR="00E00D06">
        <w:t xml:space="preserve"> </w:t>
      </w:r>
      <w:r>
        <w:t>Austausch mit Kunst- und Kulturschaffenden.</w:t>
      </w:r>
    </w:p>
    <w:p w:rsidR="00230E2B" w:rsidRDefault="00230E2B">
      <w:bookmarkStart w:id="4" w:name="Frage_Nr_1_Ende"/>
      <w:bookmarkEnd w:id="4"/>
      <w:r>
        <w:br w:type="page"/>
      </w:r>
    </w:p>
    <w:p w:rsidR="00230E2B" w:rsidRDefault="00230E2B" w:rsidP="00230E2B">
      <w:pPr>
        <w:pStyle w:val="LTUeberschrRessort"/>
      </w:pPr>
      <w:r>
        <w:lastRenderedPageBreak/>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230E2B" w:rsidTr="007B0B33">
        <w:tc>
          <w:tcPr>
            <w:tcW w:w="2050" w:type="dxa"/>
          </w:tcPr>
          <w:p w:rsidR="00230E2B" w:rsidRDefault="00230E2B" w:rsidP="00230E2B">
            <w:pPr>
              <w:pStyle w:val="LTAnfrageInitiator"/>
            </w:pPr>
            <w:r>
              <w:t>Abgeordneter</w:t>
            </w:r>
            <w:r>
              <w:rPr>
                <w:b/>
              </w:rPr>
              <w:br/>
              <w:t>Benjamin</w:t>
            </w:r>
            <w:r>
              <w:rPr>
                <w:b/>
              </w:rPr>
              <w:br/>
              <w:t>Adjei</w:t>
            </w:r>
            <w:r>
              <w:rPr>
                <w:b/>
              </w:rPr>
              <w:br/>
            </w:r>
            <w:r>
              <w:t>(BÜNDNIS 90/DIE GRÜNEN)</w:t>
            </w:r>
            <w:bookmarkStart w:id="5" w:name="Frage_Nr_2"/>
            <w:bookmarkEnd w:id="5"/>
          </w:p>
        </w:tc>
        <w:tc>
          <w:tcPr>
            <w:tcW w:w="7200" w:type="dxa"/>
          </w:tcPr>
          <w:p w:rsidR="00230E2B" w:rsidRDefault="00B05D0D" w:rsidP="00230E2B">
            <w:pPr>
              <w:pStyle w:val="LTAnfrageText"/>
            </w:pPr>
            <w:r w:rsidRPr="00B05D0D">
              <w:rPr>
                <w:szCs w:val="24"/>
              </w:rPr>
              <w:t>Ich frage die Staatsregierung, wurde bereits über die Vergabe einer „Plattform für verfahrensübergreifende Recherche und Analyse (VeRA)“ durch das Staatsministerium des Innern, für Sport und Integration entschieden (bitte Ergebnis des Verfahrens angeben), wurde die Entscheidung zwischenzeitlich vertagt (bitte Grund für die Vertagung angeben) und sind mehrere Anbieter in die engere Auswahl gekommen (bitte begründen, falls nur ein Anbieter in der engeren Auswahl war)?</w:t>
            </w:r>
          </w:p>
        </w:tc>
      </w:tr>
    </w:tbl>
    <w:p w:rsidR="00230E2B" w:rsidRDefault="00230E2B" w:rsidP="00230E2B">
      <w:pPr>
        <w:pStyle w:val="LTUeberschrAntwortRessort"/>
      </w:pPr>
      <w:r>
        <w:t>Antwort des Staatsministeriums des Innern, für Sport und Integration</w:t>
      </w:r>
    </w:p>
    <w:p w:rsidR="00230E2B" w:rsidRDefault="00230E2B" w:rsidP="00230E2B">
      <w:pPr>
        <w:pStyle w:val="LTAntwortRessortText"/>
      </w:pPr>
      <w:r>
        <w:t>Das Vergabeverfahren im Projekt VeRA (Verfahrensübergr</w:t>
      </w:r>
      <w:r w:rsidR="00D51302">
        <w:t>eifenden Recherche- und Analyse</w:t>
      </w:r>
      <w:r>
        <w:t>plattform) ist noch nicht abgeschlossen. Insofern wurde auch n</w:t>
      </w:r>
      <w:r w:rsidR="00D51302">
        <w:t>och nicht über eine Vergabe ent</w:t>
      </w:r>
      <w:r>
        <w:t>schieden. Im Rahmen der Verhandlungsrunden sind mehrere Anbieter in die engere Auswahl gekommen.</w:t>
      </w:r>
    </w:p>
    <w:p w:rsidR="00230E2B" w:rsidRDefault="00230E2B">
      <w:bookmarkStart w:id="6" w:name="Frage_Nr_2_Ende"/>
      <w:bookmarkEnd w:id="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2"/>
        <w:gridCol w:w="5734"/>
      </w:tblGrid>
      <w:tr w:rsidR="00230E2B" w:rsidTr="007B0B33">
        <w:tc>
          <w:tcPr>
            <w:tcW w:w="2050" w:type="dxa"/>
          </w:tcPr>
          <w:p w:rsidR="00230E2B" w:rsidRDefault="00230E2B" w:rsidP="00230E2B">
            <w:pPr>
              <w:pStyle w:val="LTAnfrageInitiator"/>
            </w:pPr>
            <w:r>
              <w:lastRenderedPageBreak/>
              <w:t>Abgeordneter</w:t>
            </w:r>
            <w:r w:rsidR="002860B5">
              <w:rPr>
                <w:b/>
              </w:rPr>
              <w:br/>
              <w:t>Cemal</w:t>
            </w:r>
            <w:r w:rsidR="002860B5">
              <w:rPr>
                <w:b/>
              </w:rPr>
              <w:br/>
              <w:t>Bozo</w:t>
            </w:r>
            <w:r w:rsidR="002860B5">
              <w:rPr>
                <w:rFonts w:cs="Arial"/>
                <w:b/>
              </w:rPr>
              <w:t>ǧ</w:t>
            </w:r>
            <w:r>
              <w:rPr>
                <w:b/>
              </w:rPr>
              <w:t>lu</w:t>
            </w:r>
            <w:r>
              <w:rPr>
                <w:b/>
              </w:rPr>
              <w:br/>
            </w:r>
            <w:r>
              <w:t>(BÜNDNIS 90/DIE GRÜNEN)</w:t>
            </w:r>
            <w:bookmarkStart w:id="7" w:name="Frage_Nr_3"/>
            <w:bookmarkEnd w:id="7"/>
          </w:p>
        </w:tc>
        <w:tc>
          <w:tcPr>
            <w:tcW w:w="7200" w:type="dxa"/>
          </w:tcPr>
          <w:p w:rsidR="00230E2B" w:rsidRDefault="00BF187D" w:rsidP="00F27634">
            <w:pPr>
              <w:pStyle w:val="LTAnfrageText"/>
            </w:pPr>
            <w:r w:rsidRPr="00BF187D">
              <w:rPr>
                <w:szCs w:val="24"/>
              </w:rPr>
              <w:t xml:space="preserve">Rückblickend auf die (geplanten) Anschläge im oberbayerischen Waldkraiburg im Jahr 2020, frage ich die Staatsregierung, welche Erkenntnisse ihr mittlerweile darüber vorliegen, wie und von </w:t>
            </w:r>
            <w:r w:rsidR="00F27634">
              <w:rPr>
                <w:szCs w:val="24"/>
              </w:rPr>
              <w:t xml:space="preserve">wo der mittlerweile verurteilte </w:t>
            </w:r>
            <w:r w:rsidR="00F27634" w:rsidRPr="00F27634">
              <w:rPr>
                <w:szCs w:val="24"/>
                <w:highlight w:val="black"/>
              </w:rPr>
              <w:t>---------------</w:t>
            </w:r>
            <w:r>
              <w:rPr>
                <w:szCs w:val="24"/>
              </w:rPr>
              <w:t xml:space="preserve"> d</w:t>
            </w:r>
            <w:r w:rsidRPr="00BF187D">
              <w:rPr>
                <w:szCs w:val="24"/>
              </w:rPr>
              <w:t>ie Sprengsätze bzw. die zum Bau benötigten Materialien genau beschaffen konnte</w:t>
            </w:r>
            <w:r w:rsidR="00F27634">
              <w:rPr>
                <w:szCs w:val="24"/>
              </w:rPr>
              <w:t xml:space="preserve"> </w:t>
            </w:r>
            <w:r w:rsidRPr="00BF187D">
              <w:rPr>
                <w:szCs w:val="24"/>
              </w:rPr>
              <w:t>(bitte auch auf Finanzierung der Sprengsätze eingehen sowie auf die Quelle seines Wissens über Kauf und Bau von Sprengsätzen)?</w:t>
            </w:r>
          </w:p>
        </w:tc>
      </w:tr>
    </w:tbl>
    <w:p w:rsidR="00230E2B" w:rsidRDefault="00230E2B" w:rsidP="00230E2B">
      <w:pPr>
        <w:pStyle w:val="LTUeberschrAntwortRessort"/>
      </w:pPr>
      <w:r>
        <w:t>Antwort des Staatsministeriums des Innern, für Sport und Integration</w:t>
      </w:r>
    </w:p>
    <w:p w:rsidR="00230E2B" w:rsidRDefault="00230E2B" w:rsidP="00230E2B">
      <w:pPr>
        <w:pStyle w:val="LTAntwortRessortText"/>
      </w:pPr>
      <w:r>
        <w:t>Die Anfrage zum Plenum betrifft auch Sachverhaltskomplexe, die Gegenstand der Ermittlungen des Generalbundesanwalts beim Bundesgerichtshof (GBA) sind.</w:t>
      </w:r>
    </w:p>
    <w:p w:rsidR="00230E2B" w:rsidRDefault="00230E2B" w:rsidP="00230E2B">
      <w:pPr>
        <w:pStyle w:val="LTAntwortRessortText"/>
      </w:pPr>
      <w:r>
        <w:t>Der GBA ist eine Bundesbehörde, die der Aufsicht und Leitung der Bundesministerin der Justiz und für Verbraucherschutz unterliegt (§ 147 Nr. 1 des Gerichtsverfassungsgesetzes (GVG)). Im Rahmen der dem GBA gesetzlich zugewiesenen Strafverfolgungszuständigkeit (vgl. § 142a GVG i.</w:t>
      </w:r>
      <w:r w:rsidR="00C44B54">
        <w:t> </w:t>
      </w:r>
      <w:r>
        <w:t>V.</w:t>
      </w:r>
      <w:r w:rsidR="00C44B54">
        <w:t> </w:t>
      </w:r>
      <w:r>
        <w:t>m. § 120 GVG) wird dieser als Justizbehörde des Bundes tätig (vgl. § 120 Ab</w:t>
      </w:r>
      <w:r w:rsidR="00C44B54">
        <w:t>s.</w:t>
      </w:r>
      <w:r>
        <w:t xml:space="preserve"> 6 GVG) und unterliegt demnach grundsätzlich nicht der Kontrolle eines Landesparlament</w:t>
      </w:r>
      <w:r w:rsidR="00C44B54">
        <w:t>s Der parla</w:t>
      </w:r>
      <w:r>
        <w:t>mentarische Informationsanspruch des Landtags kann sich dah</w:t>
      </w:r>
      <w:r w:rsidR="00C44B54">
        <w:t>er nicht auf Tätigkeiten des Ge</w:t>
      </w:r>
      <w:r>
        <w:t>neralbundesanwalts beziehen.</w:t>
      </w:r>
    </w:p>
    <w:p w:rsidR="00230E2B" w:rsidRDefault="00230E2B" w:rsidP="00230E2B">
      <w:pPr>
        <w:pStyle w:val="LTAntwortRessortText"/>
      </w:pPr>
      <w:r>
        <w:t>Soweit Erkenntnisse aus den vom Generalbundesanwalt geführ</w:t>
      </w:r>
      <w:r w:rsidR="00C44B54">
        <w:t>ten Ermittlungen mitgeteilt wer</w:t>
      </w:r>
      <w:r>
        <w:t>den müssten oder die Antworten eng mit dem Gegenstand seiner Ermittlungen verknüpft wären, kann die Staatsregierung keine Auskunft erteilen. Dies gilt unabhängig</w:t>
      </w:r>
      <w:r w:rsidR="00C44B54">
        <w:t xml:space="preserve"> davon, ob die Ermittlun</w:t>
      </w:r>
      <w:r>
        <w:t xml:space="preserve">gen bis zur Übernahme der Strafverfolgung zunächst in Landeszuständigkeit geführt wurden und auch für Erkenntnisse Polizeibehörden und beispielsweise des </w:t>
      </w:r>
      <w:r w:rsidR="00C44B54">
        <w:t>Landes</w:t>
      </w:r>
      <w:r>
        <w:t>amtes für Verfassungsschutz. Insbesondere dann, wenn für eine zutreffende und vollständige Beantwortung auf Erkenntnisse des Generalbundesanwalts zurückgegriffen werden müsste, wie dies hier der Fall ist, kann die Staatsregierung keine Auskunft erteilen</w:t>
      </w:r>
      <w:r w:rsidR="00C44B54">
        <w:t>.</w:t>
      </w:r>
    </w:p>
    <w:p w:rsidR="00230E2B" w:rsidRDefault="00230E2B">
      <w:bookmarkStart w:id="8" w:name="Frage_Nr_3_Ende"/>
      <w:bookmarkEnd w:id="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230E2B" w:rsidTr="007B0B33">
        <w:tc>
          <w:tcPr>
            <w:tcW w:w="2050" w:type="dxa"/>
          </w:tcPr>
          <w:p w:rsidR="00230E2B" w:rsidRDefault="00230E2B" w:rsidP="00230E2B">
            <w:pPr>
              <w:pStyle w:val="LTAnfrageInitiator"/>
            </w:pPr>
            <w:r>
              <w:lastRenderedPageBreak/>
              <w:t>Abgeordnete</w:t>
            </w:r>
            <w:r>
              <w:rPr>
                <w:b/>
              </w:rPr>
              <w:br/>
              <w:t>Gülseren</w:t>
            </w:r>
            <w:r>
              <w:rPr>
                <w:b/>
              </w:rPr>
              <w:br/>
              <w:t>Demirel</w:t>
            </w:r>
            <w:r>
              <w:rPr>
                <w:b/>
              </w:rPr>
              <w:br/>
            </w:r>
            <w:r>
              <w:t>(BÜNDNIS 90/DIE GRÜNEN)</w:t>
            </w:r>
            <w:bookmarkStart w:id="9" w:name="Frage_Nr_4"/>
            <w:bookmarkEnd w:id="9"/>
          </w:p>
        </w:tc>
        <w:tc>
          <w:tcPr>
            <w:tcW w:w="7200" w:type="dxa"/>
          </w:tcPr>
          <w:p w:rsidR="00230E2B" w:rsidRDefault="0012007F" w:rsidP="00230E2B">
            <w:pPr>
              <w:pStyle w:val="LTAnfrageText"/>
            </w:pPr>
            <w:r w:rsidRPr="0012007F">
              <w:rPr>
                <w:szCs w:val="24"/>
              </w:rPr>
              <w:t>Ich frage die Staatsregierung, ob es zutrifft , dass die Ausländerbehörden in Bayern vermehrt Grenzübertrittsbescheinigungen (bitte nennen Sie uns die Zahlen der gesamten Bescheinigungen aus dem Monat August 2021, November 2021, Januar 2022) ausstellen, mit dem Ziel, Geflüchtete zum jetzigen Zeitpunkt noch abschieben zu können oder ihnen mit der Abschiebung drohen zu können, warum gab es bisher keine Anweisung der Staatsregierung, dass die Praxis an den Willen des Bundes angepasst wird und auch die Geflüchteten in Bayern vom neuen Chancen-Aufenthaltsrecht oder anderen Bleiberechtsregelungen profitieren können und warum wurde den bayerischen Ausländerbehörden seitens des Staatsministeriums des Innern, für Sport und Integration nicht nahegelegt, Abschiebungen des begünstigten Personenkreises im Hinblick auf das anstehende Gesetzgebungsverfahren auszusetzen wie es in Rheinland-Pfalz bereits der Fall ist?</w:t>
            </w:r>
            <w:r w:rsidRPr="0012007F">
              <w:rPr>
                <w:rStyle w:val="Funotenzeichen"/>
                <w:szCs w:val="24"/>
              </w:rPr>
              <w:footnoteReference w:id="1"/>
            </w:r>
          </w:p>
        </w:tc>
      </w:tr>
    </w:tbl>
    <w:p w:rsidR="00230E2B" w:rsidRDefault="00230E2B" w:rsidP="00230E2B">
      <w:pPr>
        <w:pStyle w:val="LTUeberschrAntwortRessort"/>
      </w:pPr>
      <w:r>
        <w:t>Antwort des Staatsministeriums des Innern, für Sport und Integration</w:t>
      </w:r>
    </w:p>
    <w:p w:rsidR="00230E2B" w:rsidRDefault="00230E2B" w:rsidP="00230E2B">
      <w:pPr>
        <w:pStyle w:val="LTAntwortRessortText"/>
      </w:pPr>
      <w:r>
        <w:t>Dem Staatsministerium des Innern, für Sport und Integration als oberster Ausländerbehörde im Freistaat liegen unter keinem Gesichtspunkt Anhaltspunkte für</w:t>
      </w:r>
      <w:r w:rsidR="00034333">
        <w:t xml:space="preserve"> die Behauptung der Fragestelle</w:t>
      </w:r>
      <w:r>
        <w:t xml:space="preserve">rin vor, wonach bayerische Ausländerbehörden vermehrt Grenzübertrittsbescheinigungen (GüB) ausstellen </w:t>
      </w:r>
      <w:r w:rsidR="00490BF0">
        <w:t>„</w:t>
      </w:r>
      <w:r>
        <w:t>mit dem Ziel, Geflüchtete zum jetzigen Zeitpunkt noch abschieben zu können oder ihnen mit der Abschiebung drohen zu können.</w:t>
      </w:r>
      <w:r w:rsidR="00490BF0">
        <w:t>“</w:t>
      </w:r>
      <w:r>
        <w:t xml:space="preserve"> Dies bestät</w:t>
      </w:r>
      <w:r w:rsidR="00034333">
        <w:t>igt auch eine statistische Annä</w:t>
      </w:r>
      <w:r>
        <w:t>herung an die Zahl der ausgestellten GüB. Zwar werden GüB im Ausländerzentralregister (AZR) oder in anderen Datenbanken nicht zentral erfasst, sodass keine statistisch auswertbaren Daten im Sinne der Fragestellung vorliegen oder mit vertr</w:t>
      </w:r>
      <w:r w:rsidR="00034333">
        <w:t>etbarem Verwaltungsaufwand erho</w:t>
      </w:r>
      <w:r>
        <w:t>ben werden können. Um sich der Zahl der potenziellen Inhaber einer solchen Bescheinigung zu nähern, bietet es sich allerdings an, die Zahl der vollziehbar ausreisepflichtigen Ausländer, die nicht im Besitz einer Duldung sind, als Anhaltspunkt heranzuziehen, da im Regelfall lediglich diesem Personenkreis eine GüB ausgestellt wurde. Nach</w:t>
      </w:r>
      <w:r w:rsidR="00034333">
        <w:t xml:space="preserve"> den verfügbaren Zahlen im AZR – die Zahlen für Januar </w:t>
      </w:r>
      <w:r>
        <w:t>2022 und Augus</w:t>
      </w:r>
      <w:r w:rsidR="00034333">
        <w:t>t 2021 liegen (noch) nicht vor –</w:t>
      </w:r>
      <w:r>
        <w:t xml:space="preserve"> lag die Zahl der vollziehbar ausreisepflichtigen Ausländer, die nicht im Besitz einer Duldung waren, in Bayern zum</w:t>
      </w:r>
      <w:r w:rsidR="00E82F12">
        <w:t xml:space="preserve"> </w:t>
      </w:r>
      <w:r w:rsidR="00034333">
        <w:t>31.07.2021 bei 8 246, zum 30.11.2021 bei 8 204 und zum 31.12.2021 bei 8 295. Eine signifi</w:t>
      </w:r>
      <w:r>
        <w:t>kante Veränderung dieser Zahl liegt somit nicht vor.</w:t>
      </w:r>
    </w:p>
    <w:p w:rsidR="00230E2B" w:rsidRDefault="00230E2B" w:rsidP="00230E2B">
      <w:pPr>
        <w:pStyle w:val="LTAntwortRessortText"/>
      </w:pPr>
      <w:r>
        <w:t xml:space="preserve">Das Handeln der Staatsverwaltung erfolgt auf der Grundlage der geltenden Rechtslage. Dieser </w:t>
      </w:r>
      <w:r w:rsidR="00490BF0">
        <w:t>„</w:t>
      </w:r>
      <w:r>
        <w:t>Vorrang des Gesetzes</w:t>
      </w:r>
      <w:r w:rsidR="00490BF0">
        <w:t>“</w:t>
      </w:r>
      <w:r>
        <w:t xml:space="preserve">, wonach das Handeln der Exekutive </w:t>
      </w:r>
      <w:r w:rsidR="00034333">
        <w:t>nicht gegen geltendes Recht ver</w:t>
      </w:r>
      <w:r>
        <w:t>stoßen darf, ist tragender rechtstaatlicher Grundsatz, dem gerade im derzeitigen angespannten Meinungsklima eine besondere Bedeutung zukommt. Eine Änderung der gelt</w:t>
      </w:r>
      <w:r w:rsidR="00034333">
        <w:t>enden Rechtsnor</w:t>
      </w:r>
      <w:r>
        <w:t>men im Aufenthaltsgesetz obliegt dem Bundesgesetzgeber,</w:t>
      </w:r>
      <w:r w:rsidR="00034333">
        <w:t xml:space="preserve"> insbesondere Bundestag und Bun</w:t>
      </w:r>
      <w:r>
        <w:t>desrat, bloße Absichtserklärung von Parteien in einem Koalitionsvertrag lassen die Rechtslage unberührt. Dies gilt umso mehr, als die im Bereich des Migr</w:t>
      </w:r>
      <w:r w:rsidR="00034333">
        <w:t>ationsrechts durch die neue Bun</w:t>
      </w:r>
      <w:r>
        <w:t xml:space="preserve">desregierung beabsichtigten Änderungen, die miteinander in Zusammenhang stehen, in ihrer Gesamtheit und auch im Einzelnen vage und wenig präzise sind, so </w:t>
      </w:r>
      <w:r w:rsidR="00034333">
        <w:t>dass es zum jetzigen Zeit</w:t>
      </w:r>
      <w:r>
        <w:t xml:space="preserve">punkt nicht möglich ist, die genaue Ausformung der in </w:t>
      </w:r>
      <w:r>
        <w:lastRenderedPageBreak/>
        <w:t>Bez</w:t>
      </w:r>
      <w:r w:rsidR="00034333">
        <w:t>ug genommenen beabsichtigten Re</w:t>
      </w:r>
      <w:r>
        <w:t xml:space="preserve">gelung abzuschätzen und schon daran eine seriöse </w:t>
      </w:r>
      <w:r w:rsidR="00490BF0">
        <w:t>„</w:t>
      </w:r>
      <w:r>
        <w:t>Vorwegnahme</w:t>
      </w:r>
      <w:r w:rsidR="00490BF0">
        <w:t>“</w:t>
      </w:r>
      <w:r>
        <w:t xml:space="preserve"> scheitert.</w:t>
      </w:r>
    </w:p>
    <w:p w:rsidR="00230E2B" w:rsidRDefault="00230E2B" w:rsidP="00230E2B">
      <w:pPr>
        <w:pStyle w:val="LTAntwortRessortText"/>
      </w:pPr>
      <w:r>
        <w:t xml:space="preserve">Asylbewerber, die nach gründlicher Prüfung ihrer Anträge durch die zuständigen Behörden und Gerichte keinen Anspruch haben, in Deutschland zu bleiben, </w:t>
      </w:r>
      <w:r w:rsidR="00034333">
        <w:t>müssen unser Land wieder verlas</w:t>
      </w:r>
      <w:r>
        <w:t xml:space="preserve">sen. An diese rechtsstaatlich zustande gekommenen Entscheidungen des </w:t>
      </w:r>
      <w:r w:rsidR="00034333">
        <w:t>Bundesamts für Migration und Flüchtlinge (</w:t>
      </w:r>
      <w:r>
        <w:t>BAMF</w:t>
      </w:r>
      <w:r w:rsidR="00034333">
        <w:t>) und der unab</w:t>
      </w:r>
      <w:r>
        <w:t>hängigen Verwaltungsgerichte sind die bayerischen Ausländerbehörden gebunden und letztlich gemäß § 58 Ab</w:t>
      </w:r>
      <w:r w:rsidR="00034333">
        <w:t>s.</w:t>
      </w:r>
      <w:r>
        <w:t xml:space="preserve"> 1 </w:t>
      </w:r>
      <w:r w:rsidR="00034333">
        <w:t>des Aufenthaltsgesetz (</w:t>
      </w:r>
      <w:r>
        <w:t>AufenthG</w:t>
      </w:r>
      <w:r w:rsidR="00034333">
        <w:t>)</w:t>
      </w:r>
      <w:r>
        <w:t xml:space="preserve"> verpflichtet, den Aufenthalt vollziehbar ausreisepflichtiger Ausländer, die ihrer Ausreisepflicht nicht fristgemäß freiwillig nachkommen durch Abschiebung zu beenden; wann ein Ausländer vollziehbar ausreisepflichtig</w:t>
      </w:r>
      <w:r w:rsidR="00034333">
        <w:t xml:space="preserve"> ist, bestimmt sich nach den je</w:t>
      </w:r>
      <w:r>
        <w:t>weils geltenden Regelungen insbesondere des Aufenthaltsgesetze</w:t>
      </w:r>
      <w:r w:rsidR="00034333">
        <w:t>s</w:t>
      </w:r>
      <w:r>
        <w:t xml:space="preserve"> Für eine durch die oberste Ausländerbehörde vorgeschriebene Rückpriorisierung anst</w:t>
      </w:r>
      <w:r w:rsidR="00034333">
        <w:t>ehender und rechtmäßiger Aufent</w:t>
      </w:r>
      <w:r>
        <w:t xml:space="preserve">haltsbeendigungen besteht daher keine Grundlage. Die bayerischen Ausländerbehörden lassen hierbei jedoch den Einzelfall nicht aus dem Blick und haben ein besonderes Augenmerk auf Menschen, deren Identität zweifelsfrei geklärt ist, die bereits gut </w:t>
      </w:r>
      <w:r w:rsidR="00034333">
        <w:t>integriert sind und keine Straf</w:t>
      </w:r>
      <w:r>
        <w:t>taten in unserem Land begangen haben. Gerade vor jeder Abschiebung wird jeder Fall nach Maßgabe des geltenden Ausländerrechts nochmals anhand al</w:t>
      </w:r>
      <w:r w:rsidR="00034333">
        <w:t>ler der zuständigen Ausländerbe</w:t>
      </w:r>
      <w:r>
        <w:t>hörde bekannten Informationen einzeln und akribisch auf den Prüfstand gestellt</w:t>
      </w:r>
      <w:r w:rsidR="00034333">
        <w:t>.</w:t>
      </w:r>
    </w:p>
    <w:p w:rsidR="00230E2B" w:rsidRDefault="00230E2B">
      <w:bookmarkStart w:id="10" w:name="Frage_Nr_4_Ende"/>
      <w:bookmarkEnd w:id="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230E2B" w:rsidTr="007B0B33">
        <w:tc>
          <w:tcPr>
            <w:tcW w:w="2050" w:type="dxa"/>
          </w:tcPr>
          <w:p w:rsidR="00230E2B" w:rsidRDefault="00230E2B" w:rsidP="00230E2B">
            <w:pPr>
              <w:pStyle w:val="LTAnfrageInitiator"/>
            </w:pPr>
            <w:r>
              <w:lastRenderedPageBreak/>
              <w:t>Abgeordnete</w:t>
            </w:r>
            <w:r>
              <w:rPr>
                <w:b/>
              </w:rPr>
              <w:br/>
              <w:t>Barbara</w:t>
            </w:r>
            <w:r>
              <w:rPr>
                <w:b/>
              </w:rPr>
              <w:br/>
              <w:t>Fuchs</w:t>
            </w:r>
            <w:r>
              <w:rPr>
                <w:b/>
              </w:rPr>
              <w:br/>
            </w:r>
            <w:r>
              <w:t>(BÜNDNIS 90/DIE GRÜNEN)</w:t>
            </w:r>
            <w:bookmarkStart w:id="11" w:name="Frage_Nr_5"/>
            <w:bookmarkEnd w:id="11"/>
          </w:p>
        </w:tc>
        <w:tc>
          <w:tcPr>
            <w:tcW w:w="7200" w:type="dxa"/>
          </w:tcPr>
          <w:p w:rsidR="00230E2B" w:rsidRPr="0012007F" w:rsidRDefault="0012007F" w:rsidP="00230E2B">
            <w:pPr>
              <w:pStyle w:val="LTAnfrageText"/>
            </w:pPr>
            <w:r w:rsidRPr="0012007F">
              <w:rPr>
                <w:szCs w:val="24"/>
              </w:rPr>
              <w:t>Ich frage die Staatsregierung, vor dem Hintergrund von Diskussionen zur Zusammenlegung der Dienstpläne der Notarzt-Standorte in Uffenheim und Bad Windsheim im Landkreis Neustadt a. d. Aisch-Bad Windsheim, ab welchem Grad der Nichtbesetzung eines Notarzt-Standortes wird eine Zusammenlegung von Standorten in Betracht gezogen, wie ist dies mit dem Bayerischen Rettungsdienstgesetz sowie der Verordnung zur Ausführung des Bayerischen Rettungsdienstgesetzes vereinbar und welche Folgen der Zusammenlegung der Notarzt-Standorte in Uffenheim und Bad Windsheim sieht die Staatsregierung hinsichtlich der notärztlichen Versorgung im westlichen Landkreis Neustadt a. d. Aisch-Bad Windsheim?</w:t>
            </w:r>
          </w:p>
        </w:tc>
      </w:tr>
    </w:tbl>
    <w:p w:rsidR="00230E2B" w:rsidRDefault="00230E2B" w:rsidP="00230E2B">
      <w:pPr>
        <w:pStyle w:val="LTUeberschrAntwortRessort"/>
      </w:pPr>
      <w:r>
        <w:t>Antwort des Staatsministeriums des Innern, für Sport und Integration</w:t>
      </w:r>
    </w:p>
    <w:p w:rsidR="00230E2B" w:rsidRDefault="00230E2B" w:rsidP="00230E2B">
      <w:pPr>
        <w:pStyle w:val="LTAntwortRessortText"/>
      </w:pPr>
      <w:r>
        <w:t>Nach den Vorgaben des Bayerischen Rettungsdienstgese</w:t>
      </w:r>
      <w:r w:rsidR="0082784C">
        <w:t>tzes (BayRDG) legt der Zweckver</w:t>
      </w:r>
      <w:r>
        <w:t xml:space="preserve">band für Rettungsdienst und Feuerwehralarmierung (ZRF) die für die </w:t>
      </w:r>
      <w:r w:rsidR="0082784C">
        <w:t>Sicherstellung des Ret</w:t>
      </w:r>
      <w:r>
        <w:t>tungsdienstes in seinem Rettungsdienstbereich notwendige Ve</w:t>
      </w:r>
      <w:r w:rsidR="0082784C">
        <w:t>rsorgungsstruktur fest. Er über</w:t>
      </w:r>
      <w:r>
        <w:t>prüft regelmäßig die Versorgungsstruktur sowie deren Notwen</w:t>
      </w:r>
      <w:r w:rsidR="0082784C">
        <w:t>digkeit, entscheidet über erfor</w:t>
      </w:r>
      <w:r>
        <w:t>derliche Änderungen unverzüglich nach Bekanntwerden der Tatsachen, die eine Änderung des rettungsdienstlichen Bedarfs begründen können und setzt seine Entscheidungen unverzüglich um.</w:t>
      </w:r>
    </w:p>
    <w:p w:rsidR="00230E2B" w:rsidRDefault="00230E2B" w:rsidP="00230E2B">
      <w:pPr>
        <w:pStyle w:val="LTAntwortRessortText"/>
      </w:pPr>
      <w:r>
        <w:t>Die Festlegung von Notarztstandorten sowie die Entscheidungen über deren Dienstbereiche werden nach Art. 5 Ab</w:t>
      </w:r>
      <w:r w:rsidR="0082784C">
        <w:t>s.</w:t>
      </w:r>
      <w:r>
        <w:t xml:space="preserve"> 2 Satz 2 BayRDG vom jeweiligen örtlichen ZRF im Einvernehmen mit der Kassenärztlichen Vereinigung Bayerns getroffen. Einen Schwellenwert, ab dem ein ZRF nach den vorgennannten Grundätzen zum Handeln aufgefordert wäre, gibt es nicht. Erst recht existiert kein festgelegter </w:t>
      </w:r>
      <w:r w:rsidR="00490BF0">
        <w:t>„</w:t>
      </w:r>
      <w:r>
        <w:t>Grad einer Nichtbesetzung eines Notarztstandortes</w:t>
      </w:r>
      <w:r w:rsidR="00490BF0">
        <w:t>“</w:t>
      </w:r>
      <w:r w:rsidR="0082784C">
        <w:t>, ab wel</w:t>
      </w:r>
      <w:r>
        <w:t>chem die Zusammenlegung von Notarztstandorten in Betracht zu ziehen wäre. Entscheidend sind stets die konkreten Gegebenheiten vor Ort.</w:t>
      </w:r>
    </w:p>
    <w:p w:rsidR="00230E2B" w:rsidRDefault="00230E2B" w:rsidP="00230E2B">
      <w:pPr>
        <w:pStyle w:val="LTAntwortRessortText"/>
      </w:pPr>
      <w:r>
        <w:t>Eine Zusammenlegung der Notarztstandorte Bad Windsheim und Uffenheim ist bislang nicht beschlossen. Abgesehen davon, dass eine Zusammenlegung der Notarztstandorte nur dergestalt</w:t>
      </w:r>
      <w:r w:rsidR="00C05BD0">
        <w:t xml:space="preserve"> </w:t>
      </w:r>
      <w:r>
        <w:t>erfolgen dürfte, dass die Patientenversorgung weiterhin gewährleistet ist, verfügt Bayern über ein sehr engmaschiges Netz von derzei</w:t>
      </w:r>
      <w:r w:rsidR="0082784C">
        <w:t>t 229 </w:t>
      </w:r>
      <w:r>
        <w:t xml:space="preserve">Notarztstandorten, sodass im Bedarfsfall stets auch auf Notärzte benachbarter Standorte zurückgegriffen werden </w:t>
      </w:r>
      <w:r w:rsidR="0082784C">
        <w:t>kann. Notfalls steht für die Zu</w:t>
      </w:r>
      <w:r>
        <w:t xml:space="preserve">bringung eines Notarztes zu einem Notfallort auch das hervorragend ausgebaute Netz der Luftrettung zur Verfügung. Im Übrigen gilt es zu beachten, dass </w:t>
      </w:r>
      <w:r w:rsidR="0082784C">
        <w:t>die Eintreffzeit des Rettungswa</w:t>
      </w:r>
      <w:r>
        <w:t>gens beim Notfallpatienten unverändert bleibt, sodass sich an einer zeitnahen Erstversorgung des Patienten durch qualifiziertes medizinisches Fachpersonal nichts ändern würde. Die</w:t>
      </w:r>
      <w:r w:rsidR="0082784C">
        <w:t xml:space="preserve"> not</w:t>
      </w:r>
      <w:r>
        <w:t>ärztliche Versorgung im Landkreis Neustadt a.</w:t>
      </w:r>
      <w:r w:rsidR="0082784C">
        <w:t> </w:t>
      </w:r>
      <w:r>
        <w:t xml:space="preserve">d.Aisch-Bad </w:t>
      </w:r>
      <w:r w:rsidR="0082784C">
        <w:t>Windsheim ist und bleibt gewähr</w:t>
      </w:r>
      <w:r>
        <w:t>leistet.</w:t>
      </w:r>
    </w:p>
    <w:p w:rsidR="00230E2B" w:rsidRDefault="00230E2B">
      <w:bookmarkStart w:id="12" w:name="Frage_Nr_5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1"/>
        <w:gridCol w:w="5735"/>
      </w:tblGrid>
      <w:tr w:rsidR="00230E2B" w:rsidTr="007B0B33">
        <w:tc>
          <w:tcPr>
            <w:tcW w:w="2050" w:type="dxa"/>
          </w:tcPr>
          <w:p w:rsidR="00230E2B" w:rsidRDefault="00230E2B" w:rsidP="00230E2B">
            <w:pPr>
              <w:pStyle w:val="LTAnfrageInitiator"/>
            </w:pPr>
            <w:r>
              <w:lastRenderedPageBreak/>
              <w:t>Abgeordneter</w:t>
            </w:r>
            <w:r>
              <w:rPr>
                <w:b/>
              </w:rPr>
              <w:br/>
              <w:t>Thomas</w:t>
            </w:r>
            <w:r>
              <w:rPr>
                <w:b/>
              </w:rPr>
              <w:br/>
              <w:t>Gehring</w:t>
            </w:r>
            <w:r>
              <w:rPr>
                <w:b/>
              </w:rPr>
              <w:br/>
            </w:r>
            <w:r>
              <w:t>(BÜNDNIS 90/DIE GRÜNEN)</w:t>
            </w:r>
            <w:bookmarkStart w:id="13" w:name="Frage_Nr_6"/>
            <w:bookmarkEnd w:id="13"/>
          </w:p>
        </w:tc>
        <w:tc>
          <w:tcPr>
            <w:tcW w:w="7200" w:type="dxa"/>
          </w:tcPr>
          <w:p w:rsidR="00230E2B" w:rsidRDefault="0012007F" w:rsidP="00230E2B">
            <w:pPr>
              <w:pStyle w:val="LTAnfrageText"/>
            </w:pPr>
            <w:r w:rsidRPr="0012007F">
              <w:rPr>
                <w:szCs w:val="24"/>
              </w:rPr>
              <w:t>Ich frage die Staatsregierung, nach welchen Kriterien wird über einen Antrag auf Tonnagebeschränkung bei Staatsstraßen entschieden (bitte auch mit Hinweis auf bereits bestehende Tonnagebeschränkungen in Bayern), wie sieht sie gewährleistet, dass die Genehmigungspraxis das Bedürfnis der Anwohnerinnen nach Sicherheit, Lärm- und Gesundheitsschutz ausreichend berücksichtigt und wie werden Verkehre zur Vermeidung von Autobahngebühren unterbunden?</w:t>
            </w:r>
          </w:p>
        </w:tc>
      </w:tr>
    </w:tbl>
    <w:p w:rsidR="00230E2B" w:rsidRDefault="00230E2B" w:rsidP="00230E2B">
      <w:pPr>
        <w:pStyle w:val="LTUeberschrAntwortRessort"/>
      </w:pPr>
      <w:r>
        <w:t>Antwort des Staatsministeriums des Innern, für Sport und Integration</w:t>
      </w:r>
    </w:p>
    <w:p w:rsidR="00230E2B" w:rsidRDefault="00230E2B" w:rsidP="00230E2B">
      <w:pPr>
        <w:pStyle w:val="LTAntwortRessortText"/>
      </w:pPr>
      <w:r>
        <w:t xml:space="preserve">Verkehrszeichen und Verkehrseinrichtungen sind nach den bundeseinheitlichen Vorgaben nur dort anzuordnen, wo dies auf Grund der besonderen Umstände zwingend erforderlich ist. Insbesondere Beschränkungen und Verbote des fließenden Verkehrs, und damit auch </w:t>
      </w:r>
      <w:r w:rsidR="00D00E3F">
        <w:t>Tonnagebe</w:t>
      </w:r>
      <w:r>
        <w:t>schränkungen, dürfen nur angeordnet werden, wenn auf Gru</w:t>
      </w:r>
      <w:r w:rsidR="00D00E3F">
        <w:t>nd der besonderen örtlichen Ver</w:t>
      </w:r>
      <w:r>
        <w:t>hältnisse eine Gefahrenlage besteht, die das allgemeine Risiko einer Beeinträchtigung der in § 45 Straßenverkehrsordnung (StVO) genannten Rechtsgüter erheblich übersteigt (§ 45 Ab</w:t>
      </w:r>
      <w:r w:rsidR="00D00E3F">
        <w:t>s. 9 Satz </w:t>
      </w:r>
      <w:r>
        <w:t>1 und 3 StVO). In § 45 StVO genannte Rechtsgüter sind</w:t>
      </w:r>
      <w:r w:rsidR="00D00E3F">
        <w:t xml:space="preserve"> insbesondere Gründe der Sicher</w:t>
      </w:r>
      <w:r>
        <w:t xml:space="preserve">heit oder Ordnung des Verkehrs oder auch der Schutz der </w:t>
      </w:r>
      <w:r w:rsidR="00D00E3F">
        <w:t>Wohnbevölkerung vor Lärm und Ab</w:t>
      </w:r>
      <w:r>
        <w:t>gasen (§ 45 Ab</w:t>
      </w:r>
      <w:r w:rsidR="00D00E3F">
        <w:t>s.</w:t>
      </w:r>
      <w:r>
        <w:t xml:space="preserve"> 1 Satz 1 und Satz 2 Nr. 3 StVO).</w:t>
      </w:r>
    </w:p>
    <w:p w:rsidR="00230E2B" w:rsidRDefault="00230E2B" w:rsidP="00230E2B">
      <w:pPr>
        <w:pStyle w:val="LTAntwortRessortText"/>
      </w:pPr>
      <w:r>
        <w:t>Für Beschränkungen oder Verbote des fließenden Verkehrs aus Gründen der Sicherheit oder Ordnung des Verkehrs oder zum Schutz der Wohnbevölkerung vor Lärm und Abgasen ist zur Beseitigung oder Abmilderung von erheblichen Auswirkungen veränderter Verkehrs</w:t>
      </w:r>
      <w:r w:rsidR="00F000DF">
        <w:t>verhält</w:t>
      </w:r>
      <w:r>
        <w:t>nisse, die durch die Erhebung der Maut nach dem Bundesfernstraßenmautgesetz hervorgerufen worden sind, keine besondere Gefahrenlage erforderlich (§ 45 Ab</w:t>
      </w:r>
      <w:r w:rsidR="00F000DF">
        <w:t>s.</w:t>
      </w:r>
      <w:r>
        <w:t xml:space="preserve"> 9 Satz 5 StVO).</w:t>
      </w:r>
    </w:p>
    <w:p w:rsidR="00230E2B" w:rsidRDefault="00230E2B" w:rsidP="00230E2B">
      <w:pPr>
        <w:pStyle w:val="LTAntwortRessortText"/>
      </w:pPr>
      <w:r>
        <w:t>Die zuständige Straßenverkehrsbehörde entscheidet über straßenverkehrsrechtliche Maßnahmen in pflichtgemäßer Ermessensausübung unter Einbezieh</w:t>
      </w:r>
      <w:r w:rsidR="00F000DF">
        <w:t>ung insbesondere der Verkehrsbe</w:t>
      </w:r>
      <w:r>
        <w:t>deutung von Staatsstraßen (Art. 3 Ab</w:t>
      </w:r>
      <w:r w:rsidR="00F000DF">
        <w:t>s.</w:t>
      </w:r>
      <w:r>
        <w:t xml:space="preserve"> 1 Nr. 1 Bayerisches Straßen- und Wegegesetz (BayStrWG)), des Gemeingebrauchs an Staatsstraßen für jedermann (Art. 6, 14 BayStrWG),</w:t>
      </w:r>
      <w:r w:rsidR="00945EE7">
        <w:t xml:space="preserve"> </w:t>
      </w:r>
      <w:r>
        <w:t xml:space="preserve">der Interessen und Belange der Verkehrsteilnehmerinnen und </w:t>
      </w:r>
      <w:r w:rsidR="00F000DF">
        <w:t>Verkehrsteilnehmer und der Inte</w:t>
      </w:r>
      <w:r>
        <w:t>ressen und Belange der Anwohnerinnen und Anwohner.</w:t>
      </w:r>
    </w:p>
    <w:p w:rsidR="00230E2B" w:rsidRDefault="00230E2B" w:rsidP="00230E2B">
      <w:pPr>
        <w:pStyle w:val="LTAntwortRessortText"/>
      </w:pPr>
      <w:r>
        <w:t>Ordnet die Straßenverkehrsbehörde ein Verkehrszeichen an, trägt sie die materielle Beweislast dafür, dass die Voraussetzungen hierfür erfüllt sind. Es oblieg</w:t>
      </w:r>
      <w:r w:rsidR="00F000DF">
        <w:t>t ihr daher, die zugrundeliegen</w:t>
      </w:r>
      <w:r>
        <w:t>den Umstände zu ermitteln, zu dokumentieren und aktenkundig zu machen (VGH Mün</w:t>
      </w:r>
      <w:r w:rsidR="00F000DF">
        <w:t>chen, Beschluss vom 28.12.2020 –</w:t>
      </w:r>
      <w:r>
        <w:t xml:space="preserve"> 11 ZB 20.2176).</w:t>
      </w:r>
    </w:p>
    <w:p w:rsidR="00945EE7" w:rsidRDefault="00230E2B" w:rsidP="00230E2B">
      <w:pPr>
        <w:pStyle w:val="LTAntwortRessortText"/>
      </w:pPr>
      <w:r>
        <w:t>Bei Sperrungen sind erforderlichenfalls zumutbare Umleitungen im Rahmen des Möglichen festzulegen (Nr. II der Allgemeinen Verwaltung</w:t>
      </w:r>
      <w:r w:rsidR="00F000DF">
        <w:t>svorschrift zur Straßenverkehrs-</w:t>
      </w:r>
      <w:r>
        <w:t>Ordnung (VwV-StVO) zu § 45 Ab</w:t>
      </w:r>
      <w:r w:rsidR="00F000DF">
        <w:t>s.</w:t>
      </w:r>
      <w:r>
        <w:t xml:space="preserve"> </w:t>
      </w:r>
      <w:r w:rsidR="00945EE7">
        <w:t>1 bis 1e StVO; Rn. 2).</w:t>
      </w:r>
    </w:p>
    <w:p w:rsidR="00230E2B" w:rsidRDefault="00230E2B" w:rsidP="00230E2B">
      <w:pPr>
        <w:pStyle w:val="LTAntwortRessortText"/>
      </w:pPr>
      <w:r>
        <w:t xml:space="preserve">Über Tonnagebeschränkungen auf Staatsstraßen entscheiden die unteren </w:t>
      </w:r>
      <w:r w:rsidR="00F000DF">
        <w:t>Straßenverkehrsbe</w:t>
      </w:r>
      <w:r>
        <w:t>hörden. Dies sind die Landratsämter, kreisfreien Gemeinden und Große Kreisstädte. Bestehende Tonnagebeschränkungen konnten in der für die Beantwortung zur Verfügung stehenden Zeit nicht ermittelt werden.</w:t>
      </w:r>
    </w:p>
    <w:p w:rsidR="00230E2B" w:rsidRDefault="00230E2B">
      <w:bookmarkStart w:id="14" w:name="Frage_Nr_6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5"/>
        <w:gridCol w:w="5761"/>
      </w:tblGrid>
      <w:tr w:rsidR="00230E2B" w:rsidTr="007B0B33">
        <w:tc>
          <w:tcPr>
            <w:tcW w:w="2050" w:type="dxa"/>
          </w:tcPr>
          <w:p w:rsidR="00230E2B" w:rsidRDefault="00230E2B" w:rsidP="00230E2B">
            <w:pPr>
              <w:pStyle w:val="LTAnfrageInitiator"/>
            </w:pPr>
            <w:r>
              <w:lastRenderedPageBreak/>
              <w:t>Abgeordnete</w:t>
            </w:r>
            <w:r>
              <w:rPr>
                <w:b/>
              </w:rPr>
              <w:br/>
              <w:t>Alexandra</w:t>
            </w:r>
            <w:r>
              <w:rPr>
                <w:b/>
              </w:rPr>
              <w:br/>
              <w:t>Hiersemann</w:t>
            </w:r>
            <w:r>
              <w:rPr>
                <w:b/>
              </w:rPr>
              <w:br/>
            </w:r>
            <w:r>
              <w:t>(SPD)</w:t>
            </w:r>
            <w:bookmarkStart w:id="15" w:name="Frage_Nr_7"/>
            <w:bookmarkEnd w:id="15"/>
          </w:p>
        </w:tc>
        <w:tc>
          <w:tcPr>
            <w:tcW w:w="7200" w:type="dxa"/>
          </w:tcPr>
          <w:p w:rsidR="00230E2B" w:rsidRPr="00A615E7" w:rsidRDefault="00A615E7" w:rsidP="00230E2B">
            <w:pPr>
              <w:pStyle w:val="LTAnfrageText"/>
            </w:pPr>
            <w:r w:rsidRPr="00A615E7">
              <w:rPr>
                <w:szCs w:val="24"/>
              </w:rPr>
              <w:t>Vor dem Hintergrund, dass von der Bundesregierung für die laufende Legislaturperiode im Bund ein „Paradigmenwechsel“ in der Migrationspolitik angestrebt wird und diesbezüglich eine Änderung des Aufenthaltsgesetzes erfolgen wird, die das Bleiberecht für gut integrierte Jugendliche (§25a Aufenthaltsgesetz – AufenthG) sowie für gut integrierte Geduldete (§25b AufenthG) erleichtern soll und im Rahmen eines sog. Chancen-Aufenthaltsrechts Menschen, die am 1. Januar 2022 seit fünf Jahren in Deutschland leben, nicht straffällig geworden sind und sich zur freiheitlichen demokratischen Grundordnung bekennen, eine einjährige Aufenthaltserlaubnis auf Probe erhalten sollen (vgl. Koalitionsvertrag 2021, Seite 138), frage ich die Staatsregierung, ob und mit welchem Inhalt die bayerischen Ausländerbehörden entsprechend anderen Bundesländern vom Staatsministerium des Innern, für Sport und Integration angehalten wurden oder zeitnah angehalten werden, Fälle, die absehbar unter diese angekündigten Regelungen fallen, zurück zu priorisieren und mithilfe einer sog. Vorgriffsregelung zu verhindern, dass es zu Abschiebungen von Betroffenen kommt, die voraussichtlich die Voraussetzungen der geplanten neuen Regelungen erfüllen?</w:t>
            </w:r>
          </w:p>
        </w:tc>
      </w:tr>
    </w:tbl>
    <w:p w:rsidR="00230E2B" w:rsidRDefault="00230E2B" w:rsidP="00230E2B">
      <w:pPr>
        <w:pStyle w:val="LTUeberschrAntwortRessort"/>
      </w:pPr>
      <w:r>
        <w:t>Antwort des Staatsministeriums des Innern, für Sport und Integration</w:t>
      </w:r>
    </w:p>
    <w:p w:rsidR="00230E2B" w:rsidRDefault="00230E2B" w:rsidP="00230E2B">
      <w:pPr>
        <w:pStyle w:val="LTAntwortRessortText"/>
      </w:pPr>
      <w:r>
        <w:t xml:space="preserve">Das Handeln der Staatsverwaltung erfolgt auf der Grundlage der geltenden Rechtslage. Dieser </w:t>
      </w:r>
      <w:r w:rsidR="00490BF0">
        <w:t>„</w:t>
      </w:r>
      <w:r>
        <w:t>Vorrang des Gesetzes</w:t>
      </w:r>
      <w:r w:rsidR="00490BF0">
        <w:t>“</w:t>
      </w:r>
      <w:r>
        <w:t xml:space="preserve">, wonach das Handeln der Exekutive </w:t>
      </w:r>
      <w:r w:rsidR="00804B7A">
        <w:t>nicht gegen geltendes Recht ver</w:t>
      </w:r>
      <w:r>
        <w:t>stoßen darf, ist tragender rechtstaatlicher Grundsatz, dem gerade im derzeitigen angespannten Meinungsklima eine besondere Bedeutung zukommt. Eine Ä</w:t>
      </w:r>
      <w:r w:rsidR="00804B7A">
        <w:t>nderung der geltenden Rechtsnor</w:t>
      </w:r>
      <w:r>
        <w:t>men im Aufenthaltsgesetz obliegt dem Bundesgesetzgeber,</w:t>
      </w:r>
      <w:r w:rsidR="00804B7A">
        <w:t xml:space="preserve"> insbesondere Bundestag und Bun</w:t>
      </w:r>
      <w:r>
        <w:t>desrat, bloße Absichtserklärung von Parteien in einem Koalitionsvertrag lassen die Rechtslage unberührt. Dies gilt umso mehr, als die im Bereich des Migrati</w:t>
      </w:r>
      <w:r w:rsidR="00804B7A">
        <w:t>onsrechts durch die neue Bundes</w:t>
      </w:r>
      <w:r>
        <w:t>regierung beabsichtigten Änderungen, die miteinander in Z</w:t>
      </w:r>
      <w:r w:rsidR="00804B7A">
        <w:t>usammenhang stehen, in ihrer Ge</w:t>
      </w:r>
      <w:r>
        <w:t xml:space="preserve">samtheit und auch im Einzelnen vage und wenig präzise sind, so dass es zum jetzigen Zeitpunkt nicht möglich ist, die genaue Ausformung der in Bezug genommenen beabsichtigten Regelung abzuschätzen und schon daran eine seriöse </w:t>
      </w:r>
      <w:r w:rsidR="00490BF0">
        <w:t>„</w:t>
      </w:r>
      <w:r>
        <w:t>Vorwegnahme</w:t>
      </w:r>
      <w:r w:rsidR="00490BF0">
        <w:t>“</w:t>
      </w:r>
      <w:r>
        <w:t xml:space="preserve"> scheitert.</w:t>
      </w:r>
    </w:p>
    <w:p w:rsidR="00230E2B" w:rsidRDefault="00230E2B" w:rsidP="00230E2B">
      <w:pPr>
        <w:pStyle w:val="LTAntwortRessortText"/>
      </w:pPr>
      <w:r>
        <w:t xml:space="preserve">Asylbewerber, die nach gründlicher Prüfung ihrer Anträge durch die zuständigen Behörden und Gerichte keinen Anspruch haben, in Deutschland zu bleiben, </w:t>
      </w:r>
      <w:r w:rsidR="00804B7A">
        <w:t>müssen unser Land wieder verlas</w:t>
      </w:r>
      <w:r>
        <w:t xml:space="preserve">sen. An diese rechtsstaatlich zustande gekommenen Entscheidungen des </w:t>
      </w:r>
      <w:r w:rsidR="00804B7A">
        <w:t>Bundesamts für Migration und Flüchtlinge (</w:t>
      </w:r>
      <w:r>
        <w:t>BAMF</w:t>
      </w:r>
      <w:r w:rsidR="00804B7A">
        <w:t>) und der unab</w:t>
      </w:r>
      <w:r>
        <w:t>hängigen Verwaltungsgerichte sind die bayerischen Ausländerbehörden gebunden und letztlich gemäß § 58 Ab</w:t>
      </w:r>
      <w:r w:rsidR="00804B7A">
        <w:t>s.</w:t>
      </w:r>
      <w:r>
        <w:t xml:space="preserve"> 1 </w:t>
      </w:r>
      <w:r w:rsidR="00804B7A">
        <w:t>des Aufenthaltsgesetztes (</w:t>
      </w:r>
      <w:r>
        <w:t>AufenthG</w:t>
      </w:r>
      <w:r w:rsidR="00804B7A">
        <w:t>)</w:t>
      </w:r>
      <w:r>
        <w:t xml:space="preserve"> verpflichtet, den Aufenthalt voll</w:t>
      </w:r>
      <w:r w:rsidR="00804B7A">
        <w:t>ziehbar ausreisepflichtiger Aus</w:t>
      </w:r>
      <w:r>
        <w:t>länder, die ihrer Ausreisepflicht nicht fristgemäß freiwillig nachkommen durch Abschiebung zu beenden; wann ein Ausländer vollziehbar ausreisepflichtig ist, bestimmt sich nach den jeweils geltenden Regelungen insbesondere des Aufenthaltsgesetze</w:t>
      </w:r>
      <w:r w:rsidR="00804B7A">
        <w:t>s</w:t>
      </w:r>
      <w:r w:rsidR="00F27634">
        <w:t>.</w:t>
      </w:r>
      <w:r>
        <w:t xml:space="preserve"> Für eine durch die oberste </w:t>
      </w:r>
      <w:r w:rsidR="00804B7A">
        <w:t>Auslän</w:t>
      </w:r>
      <w:r>
        <w:t>derbehörde vorgeschriebene Rückpriorisierung anstehender und rechtmäßiger Auf</w:t>
      </w:r>
      <w:r w:rsidR="00804B7A">
        <w:t>enthaltsbeen</w:t>
      </w:r>
      <w:r>
        <w:t>digungen besteht daher keine Grundlage. Die bayerischen Ausl</w:t>
      </w:r>
      <w:r w:rsidR="00804B7A">
        <w:t>änderbehörden lassen hierbei je</w:t>
      </w:r>
      <w:r>
        <w:t xml:space="preserve">doch den Einzelfall nicht aus dem Blick und </w:t>
      </w:r>
      <w:r>
        <w:lastRenderedPageBreak/>
        <w:t xml:space="preserve">haben ein besonderes Augenmerk auf Menschen, deren Identität zweifelsfrei geklärt ist, die bereits gut integriert </w:t>
      </w:r>
      <w:r w:rsidR="00804B7A">
        <w:t>sind und keine Straftaten in un</w:t>
      </w:r>
      <w:r>
        <w:t>serem Land begangen haben. Gerade vor jeder Abschiebung wird jeder Fall nach Maßgabe des geltenden Ausländerrechts nochmals anhand aller der zuständigen Ausländerbehörde bekannten Informationen einzeln und akribisch auf den Prüfstand gestellt.</w:t>
      </w:r>
    </w:p>
    <w:p w:rsidR="00230E2B" w:rsidRDefault="00230E2B">
      <w:bookmarkStart w:id="16" w:name="Frage_Nr_7_Ende"/>
      <w:bookmarkEnd w:id="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230E2B" w:rsidTr="007B0B33">
        <w:tc>
          <w:tcPr>
            <w:tcW w:w="2050" w:type="dxa"/>
          </w:tcPr>
          <w:p w:rsidR="00230E2B" w:rsidRDefault="00230E2B" w:rsidP="00230E2B">
            <w:pPr>
              <w:pStyle w:val="LTAnfrageInitiator"/>
            </w:pPr>
            <w:r>
              <w:lastRenderedPageBreak/>
              <w:t>Abgeordneter</w:t>
            </w:r>
            <w:r>
              <w:rPr>
                <w:b/>
              </w:rPr>
              <w:br/>
              <w:t>Alexander</w:t>
            </w:r>
            <w:r>
              <w:rPr>
                <w:b/>
              </w:rPr>
              <w:br/>
              <w:t>Muthmann</w:t>
            </w:r>
            <w:r>
              <w:rPr>
                <w:b/>
              </w:rPr>
              <w:br/>
            </w:r>
            <w:r>
              <w:t>(FDP)</w:t>
            </w:r>
            <w:bookmarkStart w:id="17" w:name="Frage_Nr_8"/>
            <w:bookmarkEnd w:id="17"/>
          </w:p>
        </w:tc>
        <w:tc>
          <w:tcPr>
            <w:tcW w:w="7200" w:type="dxa"/>
          </w:tcPr>
          <w:p w:rsidR="00230E2B" w:rsidRDefault="00A903E1" w:rsidP="00230E2B">
            <w:pPr>
              <w:pStyle w:val="LTAnfrageText"/>
            </w:pPr>
            <w:r w:rsidRPr="00A903E1">
              <w:rPr>
                <w:szCs w:val="24"/>
              </w:rPr>
              <w:t>Ich frage die Staatsregierung wie sich die als „Spaziergänge“ deklarierten Versammlungen gegen die Coronamaßnahmen im Regierungsbezirk Niederbayern seit Aufkommen dieses Phänomens entwickelt haben (bitte unter Angabe der Zahl dieser Versammlungen je Woche gegliedert nach angemeldet/nicht angemeldet und unter Angabe der jeweiligen Orte und der geschätzten Teilnehmerzahl), wie viele Sicherheitsstörungen dabei jeweils erfasst wurden (bitte unter gesonderter und tatbestandsspezifischer Nennung von dem Verdacht von Straftaten) und in welchem Umfang diese Versammlungen Personalressourcen der Bayerischen Polizei im Regierungsbezirk Niederbayern seit Beginn dieser „Spaziergänge“ gebunden haben (bitte auch hier eine wöchentliche Angabe)?</w:t>
            </w:r>
          </w:p>
        </w:tc>
      </w:tr>
    </w:tbl>
    <w:p w:rsidR="00230E2B" w:rsidRDefault="00230E2B" w:rsidP="00230E2B">
      <w:pPr>
        <w:pStyle w:val="LTUeberschrAntwortRessort"/>
      </w:pPr>
      <w:r>
        <w:t>Antwort des Staatsministeriums des Innern, für Sport und Integration</w:t>
      </w:r>
    </w:p>
    <w:p w:rsidR="00230E2B" w:rsidRDefault="00230E2B" w:rsidP="00230E2B">
      <w:pPr>
        <w:pStyle w:val="LTAntwortRessortText"/>
      </w:pPr>
      <w:r>
        <w:t>Eine statistisch automatisierte Auswertung im Sinne der Frag</w:t>
      </w:r>
      <w:r w:rsidR="0050356A">
        <w:t>estellungen ist weder in den Da</w:t>
      </w:r>
      <w:r>
        <w:t xml:space="preserve">tenbeständen der Polizei noch denen des </w:t>
      </w:r>
      <w:r w:rsidR="0050356A">
        <w:t>Landesamtes für Verfas</w:t>
      </w:r>
      <w:r>
        <w:t>sungsschutz (BayLfV) möglich. Entsprechend kann grundsätz</w:t>
      </w:r>
      <w:r w:rsidR="0050356A">
        <w:t>lich auch keine valide Beantwor</w:t>
      </w:r>
      <w:r>
        <w:t>tung der Frage erfolgen.</w:t>
      </w:r>
    </w:p>
    <w:p w:rsidR="00230E2B" w:rsidRDefault="00230E2B" w:rsidP="00230E2B">
      <w:pPr>
        <w:pStyle w:val="LTAntwortRessortText"/>
      </w:pPr>
      <w:r>
        <w:t>Darüber hinaus müsste für eine Beantwortung eine umfangreiche manue</w:t>
      </w:r>
      <w:r w:rsidR="0050356A">
        <w:t xml:space="preserve">lle </w:t>
      </w:r>
      <w:r w:rsidR="0050356A">
        <w:br/>
        <w:t>(Einzel-)Auswer</w:t>
      </w:r>
      <w:r>
        <w:t>tung von Akten und Datenbestände erfolgen. Dies würde bei den einzubindenden Dienststellen zu einem erheblichen, zeitlichen und personellen Aufwand führen, der in der zur Verfügung stehenden Zeit nicht umsetzbar ist und im Übrigen die Aufrech</w:t>
      </w:r>
      <w:r w:rsidR="0050356A">
        <w:t>terhaltung der effektiven Aufga</w:t>
      </w:r>
      <w:r>
        <w:t xml:space="preserve">benerfüllung der Polizei bzw. des BayLfV und </w:t>
      </w:r>
      <w:r w:rsidR="0050356A">
        <w:t>damit den ebenfalls verfassungs</w:t>
      </w:r>
      <w:r>
        <w:t>rechtlich garantierten Schutzauftrag des Staates gegenüber se</w:t>
      </w:r>
      <w:r w:rsidR="0050356A">
        <w:t>inen Bürgerinnen und Bürgern ge</w:t>
      </w:r>
      <w:r>
        <w:t xml:space="preserve">fährden würde. Dies ist auch vor dem Hintergrund zu betrachten, dass entsprechende </w:t>
      </w:r>
      <w:r w:rsidR="00490BF0">
        <w:t>„</w:t>
      </w:r>
      <w:r w:rsidR="0050356A">
        <w:t>Spazier</w:t>
      </w:r>
      <w:r>
        <w:t>gänge</w:t>
      </w:r>
      <w:r w:rsidR="00490BF0">
        <w:t>“</w:t>
      </w:r>
      <w:r w:rsidR="00F27634">
        <w:t xml:space="preserve"> aus dem Bereich der Coronam</w:t>
      </w:r>
      <w:r>
        <w:t>aßnahmen-Kritiker</w:t>
      </w:r>
      <w:r w:rsidR="0050356A">
        <w:t xml:space="preserve"> bereits seit Beginn der Coronap</w:t>
      </w:r>
      <w:r>
        <w:t>an-demie im Jahr 2020 aufgetreten sind und für eine Beantwort</w:t>
      </w:r>
      <w:r w:rsidR="0050356A">
        <w:t>ung der Anfrage insofern der ge</w:t>
      </w:r>
      <w:r>
        <w:t>samte Zeitraum zu berücksichtigen wäre.</w:t>
      </w:r>
    </w:p>
    <w:p w:rsidR="00230E2B" w:rsidRDefault="00230E2B">
      <w:bookmarkStart w:id="18" w:name="Frage_Nr_8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9"/>
        <w:gridCol w:w="5787"/>
      </w:tblGrid>
      <w:tr w:rsidR="00230E2B" w:rsidTr="007B0B33">
        <w:tc>
          <w:tcPr>
            <w:tcW w:w="2050" w:type="dxa"/>
          </w:tcPr>
          <w:p w:rsidR="00230E2B" w:rsidRDefault="00230E2B" w:rsidP="00230E2B">
            <w:pPr>
              <w:pStyle w:val="LTAnfrageInitiator"/>
            </w:pPr>
            <w:r>
              <w:lastRenderedPageBreak/>
              <w:t>Abgeordneter</w:t>
            </w:r>
            <w:r>
              <w:rPr>
                <w:b/>
              </w:rPr>
              <w:br/>
              <w:t>Jan</w:t>
            </w:r>
            <w:r>
              <w:rPr>
                <w:b/>
              </w:rPr>
              <w:br/>
              <w:t>Schiffers</w:t>
            </w:r>
            <w:r>
              <w:rPr>
                <w:b/>
              </w:rPr>
              <w:br/>
            </w:r>
            <w:r>
              <w:t>(AfD)</w:t>
            </w:r>
            <w:bookmarkStart w:id="19" w:name="Frage_Nr_9"/>
            <w:bookmarkEnd w:id="19"/>
          </w:p>
        </w:tc>
        <w:tc>
          <w:tcPr>
            <w:tcW w:w="7200" w:type="dxa"/>
          </w:tcPr>
          <w:p w:rsidR="00230E2B" w:rsidRPr="0063254D" w:rsidRDefault="0063254D" w:rsidP="00230E2B">
            <w:pPr>
              <w:pStyle w:val="LTAnfrageText"/>
            </w:pPr>
            <w:r w:rsidRPr="0063254D">
              <w:rPr>
                <w:szCs w:val="24"/>
              </w:rPr>
              <w:t>Ich frage die Staatsregierung, ob im Rahmen der am 20.01.2022 im Objekt Königsmühle in Erlangen-Eltersdorf erfolgten Durchsuchung durch eingesetzte Kräfte gegenüber dort anwesenden Kindern Drohungen ausgesprochen wurden, um deren vollständige Namen zu bekommen (z. B. Drohung mit Überstellung an das Jugendamt), ob dort anwesenden Erziehungsberechtigten auf Nachfrage bewusst der Aufenthaltsort ihrer im Haus befindlichen Kindern vorenthalten wurde und aufgrund welcher Umstände und Erkenntnisse davon ausgegangen wurde, dass insbesondere bei einer der Beteiligten von Waffenbesitz auszugehen war und somit der massive Polizeieinsatz erforderlich war?</w:t>
            </w:r>
          </w:p>
        </w:tc>
      </w:tr>
    </w:tbl>
    <w:p w:rsidR="00230E2B" w:rsidRDefault="00230E2B" w:rsidP="00230E2B">
      <w:pPr>
        <w:pStyle w:val="LTUeberschrAntwortRessort"/>
      </w:pPr>
      <w:r>
        <w:t>Antwort des Staatsministeriums des Innern, für Sport und Integration</w:t>
      </w:r>
    </w:p>
    <w:p w:rsidR="00230E2B" w:rsidRDefault="00D6088E" w:rsidP="00230E2B">
      <w:pPr>
        <w:pStyle w:val="LTAntwortRessortText"/>
      </w:pPr>
      <w:r>
        <w:t>Zum ersten Fragenkomplex:</w:t>
      </w:r>
    </w:p>
    <w:p w:rsidR="00230E2B" w:rsidRDefault="00230E2B" w:rsidP="00230E2B">
      <w:pPr>
        <w:pStyle w:val="LTAntwortRessortText"/>
      </w:pPr>
      <w:r>
        <w:t>Der von der Stadt Erlangen veranlasste Einsatz war in Vorbereitung und Durchführung auf Sensibilität gegenüber den anzutreffenden Kindern angelegt.</w:t>
      </w:r>
    </w:p>
    <w:p w:rsidR="00230E2B" w:rsidRDefault="00230E2B" w:rsidP="00230E2B">
      <w:pPr>
        <w:pStyle w:val="LTAntwortRessortText"/>
      </w:pPr>
      <w:r>
        <w:t>Den Kindern wurde sinngemäß eröffnet, dass ihre Eltern verständigt werden müssen. Nachdem einige Kinder ihre Namen anfänglich nicht angeben wollten, wurde diesen mitgeteilt, dass aus Fürsorgeverantwortung zur Verständigung und Übergabe an die Eltern die Identität zweifelsfrei geklärt sein mus</w:t>
      </w:r>
      <w:r w:rsidR="00EB1EB0">
        <w:t>s</w:t>
      </w:r>
      <w:r w:rsidR="00D6088E">
        <w:t>.</w:t>
      </w:r>
      <w:r>
        <w:t xml:space="preserve"> Für den Fall, dass die Identität eines Kindes nicht zweifelsfrei hätte geklärt werden können, war das Jugendamt zum Einsatzzeitpunkt auf Abruf erreichbar. Dies wurde vorab zwischen der Stadt Erlangen, dem Schulamt und der Polizei vereinbart.</w:t>
      </w:r>
    </w:p>
    <w:p w:rsidR="00230E2B" w:rsidRDefault="00230E2B" w:rsidP="00230E2B">
      <w:pPr>
        <w:pStyle w:val="LTAntwortRessortText"/>
      </w:pPr>
      <w:r>
        <w:t>Obwohl in einem Fall die Eltern ihr Kind zunächst sogar verleugneten, konnten schließlich alle Kinder ihren Eltern übergeben werden.</w:t>
      </w:r>
    </w:p>
    <w:p w:rsidR="00230E2B" w:rsidRDefault="00D6088E" w:rsidP="00230E2B">
      <w:pPr>
        <w:pStyle w:val="LTAntwortRessortText"/>
      </w:pPr>
      <w:r>
        <w:t>Zum zweiten Fragenkomplex:</w:t>
      </w:r>
    </w:p>
    <w:p w:rsidR="00230E2B" w:rsidRDefault="00230E2B" w:rsidP="00230E2B">
      <w:pPr>
        <w:pStyle w:val="LTAntwortRessortText"/>
      </w:pPr>
      <w:r>
        <w:t>Dies trifft nicht zu. Vielmehr gestaltete sich die Zusammen</w:t>
      </w:r>
      <w:r w:rsidR="00EB1EB0">
        <w:t>führung schwierig, da manche Er</w:t>
      </w:r>
      <w:r>
        <w:t>ziehungsberechtigte zunächst die Angabe ihrer Personalien verweigerten oder in einem Fall ihr Kind sogar verleugneten.</w:t>
      </w:r>
    </w:p>
    <w:p w:rsidR="00230E2B" w:rsidRDefault="00D6088E" w:rsidP="00230E2B">
      <w:pPr>
        <w:pStyle w:val="LTAntwortRessortText"/>
      </w:pPr>
      <w:r>
        <w:t>Zum dritten Fragenkomplex:</w:t>
      </w:r>
    </w:p>
    <w:p w:rsidR="00230E2B" w:rsidRDefault="00230E2B" w:rsidP="00230E2B">
      <w:pPr>
        <w:pStyle w:val="LTAntwortRessortText"/>
      </w:pPr>
      <w:r>
        <w:t>Es lagen Erkenntnisse vor, dass sich im Anwesen Königsm</w:t>
      </w:r>
      <w:r w:rsidR="00EB1EB0">
        <w:t>ühle regelmäßig Personen mit Be</w:t>
      </w:r>
      <w:r>
        <w:t xml:space="preserve">zug zur sog. </w:t>
      </w:r>
      <w:r w:rsidR="00490BF0">
        <w:t>„</w:t>
      </w:r>
      <w:r>
        <w:t>Reichsbürgerszene</w:t>
      </w:r>
      <w:r w:rsidR="00490BF0">
        <w:t>“</w:t>
      </w:r>
      <w:r>
        <w:t xml:space="preserve"> aufhalten. Ferner lagen Erkenntnisse vor, dass eine der dort wiederkehrend anwesenden Personen über eine waffenrechtliche Erlaubnis verfügt.</w:t>
      </w:r>
    </w:p>
    <w:p w:rsidR="00230E2B" w:rsidRDefault="00230E2B" w:rsidP="00230E2B">
      <w:pPr>
        <w:pStyle w:val="LTAntwortRessortText"/>
      </w:pPr>
      <w:r>
        <w:t>Zudem wurden bereits bei vorangegangenen Kontrollen zwei</w:t>
      </w:r>
      <w:r w:rsidR="00EB1EB0">
        <w:t xml:space="preserve"> größere Hunde durch konfliktsu</w:t>
      </w:r>
      <w:r>
        <w:t>chende Personen auf dem Anwesen gegen die eingesetzten Polizeibeamten aufgehetzt.</w:t>
      </w:r>
    </w:p>
    <w:p w:rsidR="00230E2B" w:rsidRDefault="00230E2B" w:rsidP="00D6088E">
      <w:pPr>
        <w:pStyle w:val="LTAntwortRessortText"/>
      </w:pPr>
      <w:r>
        <w:t>Aufgrund der vorgenannten Erkenntnisse war der gewählte Krä</w:t>
      </w:r>
      <w:r w:rsidR="00EB1EB0">
        <w:t>fteansatz zur Sicherstellung ei</w:t>
      </w:r>
      <w:r>
        <w:t>nes geordneten, zeitgerechten und für alle Beteiligten sicheren Einsatzablaufes erforderlich</w:t>
      </w:r>
      <w:r w:rsidR="00EB1EB0">
        <w:t>.</w:t>
      </w:r>
      <w:r w:rsidR="00D6088E">
        <w:t xml:space="preserve"> </w:t>
      </w:r>
      <w:bookmarkStart w:id="20" w:name="Frage_Nr_9_Ende"/>
      <w:bookmarkEnd w:id="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8"/>
        <w:gridCol w:w="5738"/>
      </w:tblGrid>
      <w:tr w:rsidR="00230E2B" w:rsidTr="007B0B33">
        <w:tc>
          <w:tcPr>
            <w:tcW w:w="2050" w:type="dxa"/>
          </w:tcPr>
          <w:p w:rsidR="00230E2B" w:rsidRDefault="00230E2B" w:rsidP="00230E2B">
            <w:pPr>
              <w:pStyle w:val="LTAnfrageInitiator"/>
            </w:pPr>
            <w:r>
              <w:lastRenderedPageBreak/>
              <w:t>Abgeordnete</w:t>
            </w:r>
            <w:r>
              <w:rPr>
                <w:b/>
              </w:rPr>
              <w:br/>
              <w:t>Katharina</w:t>
            </w:r>
            <w:r>
              <w:rPr>
                <w:b/>
              </w:rPr>
              <w:br/>
              <w:t>Schulze</w:t>
            </w:r>
            <w:r>
              <w:rPr>
                <w:b/>
              </w:rPr>
              <w:br/>
            </w:r>
            <w:r>
              <w:t>(BÜNDNIS 90/DIE GRÜNEN)</w:t>
            </w:r>
            <w:bookmarkStart w:id="21" w:name="Frage_Nr_10"/>
            <w:bookmarkEnd w:id="21"/>
          </w:p>
        </w:tc>
        <w:tc>
          <w:tcPr>
            <w:tcW w:w="7200" w:type="dxa"/>
          </w:tcPr>
          <w:p w:rsidR="00230E2B" w:rsidRDefault="00255766" w:rsidP="00230E2B">
            <w:pPr>
              <w:pStyle w:val="LTAnfrageText"/>
            </w:pPr>
            <w:r w:rsidRPr="00255766">
              <w:rPr>
                <w:szCs w:val="24"/>
              </w:rPr>
              <w:t>Ich frage die Staatsregierung, welchen Handlungsbedarf sie in dem Sachverhalt sieht, dass Freiwillige Feuerwehren bayernweit durch die Umsetzung von Sekundäralamierungen mithilfe einer Netzkoppelung des Digitalfunk BOS mit fremden Drittnetzen aufgrund fehlender Sicherheitskonzepte potenzielle Sicherheitslücken entstehen lassen, wie bei der als Übergangslösung zugelassenen Auswertung von Alarm-Info-SDS bzw. Callout-SDS über die PEI-Schnittstelle von TETRA-Endgeräten in Liegenschaften und Fahrzeugen der npol BOS die Weiterleitung in den öffentlichen Bereich sowie das Senden durch die an der Paul-Ehrlich-Institut (PEI)-Schnittstelle angeschlossene Anwendung ausgeschlossen wird und wie der Zeitplan aussieht, diese Übergangslösung in eine finale Lösung zu überführen?</w:t>
            </w:r>
          </w:p>
        </w:tc>
      </w:tr>
    </w:tbl>
    <w:p w:rsidR="00230E2B" w:rsidRDefault="00230E2B" w:rsidP="00230E2B">
      <w:pPr>
        <w:pStyle w:val="LTUeberschrAntwortRessort"/>
      </w:pPr>
      <w:r>
        <w:t>Antwort des Staatsministeriums des Innern, für Sport und Integration</w:t>
      </w:r>
    </w:p>
    <w:p w:rsidR="00230E2B" w:rsidRDefault="00230E2B" w:rsidP="00230E2B">
      <w:pPr>
        <w:pStyle w:val="LTAntwortRessortText"/>
      </w:pPr>
      <w:r>
        <w:t xml:space="preserve">Das Staatsministerium des Innern, für Sport und Integration </w:t>
      </w:r>
      <w:r w:rsidR="009B3BDC">
        <w:t>hat den Feuerwehren und Hilfsor</w:t>
      </w:r>
      <w:r>
        <w:t xml:space="preserve">ganisationen im Katastrophenschutz eine Ausleitung von für </w:t>
      </w:r>
      <w:r w:rsidR="009B3BDC">
        <w:t>den Einsatz relevanten Daten un</w:t>
      </w:r>
      <w:r>
        <w:t xml:space="preserve">ter enger Abstimmung mit dem Landesfeuerwehrverband Bayern und den Hilfsorganisationen genehmigt. Hier handelt es sich momentan primär um Fahrzeug-Statusdaten. Eine Ausleitung von Alarmierungsdaten befindet sich derzeit in Abstimmung. Die </w:t>
      </w:r>
      <w:r w:rsidR="005508E8">
        <w:t>o. g.</w:t>
      </w:r>
      <w:r>
        <w:t xml:space="preserve"> Genehmigung enthält insbesondere Hinweise zum Datenschutz und zur Sicherstellung der IT-Sicherheit. Keinesfalls werden Daten in </w:t>
      </w:r>
      <w:r w:rsidR="00490BF0">
        <w:t>„</w:t>
      </w:r>
      <w:r>
        <w:t>unsichere Drittnetze</w:t>
      </w:r>
      <w:r w:rsidR="00490BF0">
        <w:t>“</w:t>
      </w:r>
      <w:r>
        <w:t xml:space="preserve"> unmittelbar ausgeleite</w:t>
      </w:r>
      <w:r w:rsidR="009B3BDC">
        <w:t>t. Sofern aus dienstlichen Grün</w:t>
      </w:r>
      <w:r>
        <w:t>den eine Weiterverarbeitung der Daten im Einsatzdienst erfor</w:t>
      </w:r>
      <w:r w:rsidR="009B3BDC">
        <w:t>derlich ist (Systeme zur Zusatz</w:t>
      </w:r>
      <w:r>
        <w:t xml:space="preserve">alarmierung, sog. </w:t>
      </w:r>
      <w:r w:rsidR="00490BF0">
        <w:t>„</w:t>
      </w:r>
      <w:r>
        <w:t>Feuerwehr-Alarm-Apps</w:t>
      </w:r>
      <w:r w:rsidR="00490BF0">
        <w:t>“</w:t>
      </w:r>
      <w:r>
        <w:t>, o.</w:t>
      </w:r>
      <w:r w:rsidR="009B3BDC">
        <w:t> </w:t>
      </w:r>
      <w:r>
        <w:t>ä.), so muss d</w:t>
      </w:r>
      <w:r w:rsidR="009B3BDC">
        <w:t>ies entsprechend anerkannten Re</w:t>
      </w:r>
      <w:r>
        <w:t>geln der Technik zwingend verschlüsselt erfolgen. Diese Da</w:t>
      </w:r>
      <w:r w:rsidR="009B3BDC">
        <w:t>ten dienen hauptsächlich der Um</w:t>
      </w:r>
      <w:r>
        <w:t>setzung einer Zusatzalarmierung, um einen zweiten Alarmweg, neben der Einsatzalarmierung über die Infrastruktur des BOS-Funk, zu erhalten. Dies dient unmittelbar der Sicherstellung der Einsatzfähigkeit unserer Feuerwehren und Hilfsorganisationen im Freistaat. Die Feuerwehren und Hilfsorganisationen gehen mit diesen z.</w:t>
      </w:r>
      <w:r w:rsidR="009B3BDC">
        <w:t> </w:t>
      </w:r>
      <w:r>
        <w:t>T. sensiblen Daten entsprechend sorgsam um, sie haben unser volles Vertrauen. Das Netz des Digitalfunk BOS unte</w:t>
      </w:r>
      <w:r w:rsidR="009B3BDC">
        <w:t>rliegt als sog. kritische Infra</w:t>
      </w:r>
      <w:r>
        <w:t>struktur besonders hohen Schutzanforderungen. Diese werde</w:t>
      </w:r>
      <w:r w:rsidR="009B3BDC">
        <w:t>n im täglichen Betrieb durch ge</w:t>
      </w:r>
      <w:r>
        <w:t>eignete Maßnahmen auf staatlicher Ebene ständig überwacht und sichergestellt</w:t>
      </w:r>
      <w:r w:rsidR="009B3BDC">
        <w:t>.</w:t>
      </w:r>
    </w:p>
    <w:p w:rsidR="00230E2B" w:rsidRDefault="00230E2B">
      <w:bookmarkStart w:id="22" w:name="Frage_Nr_10_Ende"/>
      <w:bookmarkEnd w:id="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4"/>
        <w:gridCol w:w="5772"/>
      </w:tblGrid>
      <w:tr w:rsidR="00230E2B" w:rsidTr="007B0B33">
        <w:tc>
          <w:tcPr>
            <w:tcW w:w="2050" w:type="dxa"/>
          </w:tcPr>
          <w:p w:rsidR="00230E2B" w:rsidRDefault="00230E2B" w:rsidP="00230E2B">
            <w:pPr>
              <w:pStyle w:val="LTAnfrageInitiator"/>
            </w:pPr>
            <w:r>
              <w:lastRenderedPageBreak/>
              <w:t>Abgeordneter</w:t>
            </w:r>
            <w:r>
              <w:rPr>
                <w:b/>
              </w:rPr>
              <w:br/>
              <w:t>Florian</w:t>
            </w:r>
            <w:r>
              <w:rPr>
                <w:b/>
              </w:rPr>
              <w:br/>
              <w:t>Siekmann</w:t>
            </w:r>
            <w:r>
              <w:rPr>
                <w:b/>
              </w:rPr>
              <w:br/>
            </w:r>
            <w:r>
              <w:t>(BÜNDNIS 90/DIE GRÜNEN)</w:t>
            </w:r>
            <w:bookmarkStart w:id="23" w:name="Frage_Nr_11"/>
            <w:bookmarkEnd w:id="23"/>
          </w:p>
        </w:tc>
        <w:tc>
          <w:tcPr>
            <w:tcW w:w="7200" w:type="dxa"/>
          </w:tcPr>
          <w:p w:rsidR="00230E2B" w:rsidRDefault="00F11070" w:rsidP="00230E2B">
            <w:pPr>
              <w:pStyle w:val="LTAnfrageText"/>
            </w:pPr>
            <w:r w:rsidRPr="00F11070">
              <w:rPr>
                <w:szCs w:val="24"/>
              </w:rPr>
              <w:t xml:space="preserve">Ich frage die Staatsregierung, wie viele Stück textilen Mund-Nasen-Schutz hat die Integrationsbeauftragte der Bayerischen Staatsregierung bei der Bavaria Werbe- und Wirtschaftsdienste GmbH beschafft, zu welchem Preis und wie bewertet die Staatsregierung vor dem Hintergrund des staatlichen Neutralitätsgebotes, dass staatliche Beschaffungen bei einer hundert Prozent Tochter der CSU, die die Website </w:t>
            </w:r>
            <w:hyperlink r:id="rId13" w:history="1">
              <w:r w:rsidRPr="00F11070">
                <w:rPr>
                  <w:rStyle w:val="Hyperlink"/>
                  <w:szCs w:val="24"/>
                </w:rPr>
                <w:t>https://www.csu-fanshop.de</w:t>
              </w:r>
            </w:hyperlink>
            <w:r w:rsidRPr="00F11070">
              <w:rPr>
                <w:szCs w:val="24"/>
              </w:rPr>
              <w:t xml:space="preserve"> betreibt, erfolgen?</w:t>
            </w:r>
          </w:p>
        </w:tc>
      </w:tr>
    </w:tbl>
    <w:p w:rsidR="00230E2B" w:rsidRDefault="00230E2B" w:rsidP="00230E2B">
      <w:pPr>
        <w:pStyle w:val="LTUeberschrAntwortRessort"/>
      </w:pPr>
      <w:r>
        <w:t>Antwort des Staatsministeriums des Innern, für Sport und Integration</w:t>
      </w:r>
    </w:p>
    <w:p w:rsidR="00230E2B" w:rsidRDefault="00230E2B" w:rsidP="00230E2B">
      <w:pPr>
        <w:pStyle w:val="LTAntwortRessortText"/>
      </w:pPr>
      <w:r>
        <w:t>Die Geschäftsstelle der Integrationsbeauftragten der Bayerisc</w:t>
      </w:r>
      <w:r w:rsidR="000B56B1">
        <w:t>hen Staatsregierung hat im Zeit</w:t>
      </w:r>
      <w:r>
        <w:t xml:space="preserve">raum der </w:t>
      </w:r>
      <w:r w:rsidR="005508E8">
        <w:t>Coronapandemie</w:t>
      </w:r>
      <w:r>
        <w:t xml:space="preserve"> zwei Mal den Druck von individuell gestaltetem Mund-Nasen-Schutz bei der Bavaria Werbe- und Wirtschaftsdienste GmbH beauftragt. Die Bestellungen wurden in Form von Direktaufträgen getätigt. Es handelte sich um eine Spezialanfertigung im Vierfarbdruck, mit dem das Logo der Integrationsbeauftragten der Staatsregierung für Zwecke der Öffentlichkeitsarbeit angebracht wurde. Die Aufträge für 1</w:t>
      </w:r>
      <w:r w:rsidR="000B56B1">
        <w:t> </w:t>
      </w:r>
      <w:r>
        <w:t>000 Mund-Nasen-Schutz Textilie</w:t>
      </w:r>
      <w:r w:rsidR="000B56B1">
        <w:t>n beliefen sich auf insgesamt 7</w:t>
      </w:r>
      <w:r w:rsidR="004F5584">
        <w:t>.</w:t>
      </w:r>
      <w:r>
        <w:t xml:space="preserve">324,70 </w:t>
      </w:r>
      <w:r w:rsidR="005508E8">
        <w:t>Euro</w:t>
      </w:r>
      <w:r>
        <w:t>. Für d</w:t>
      </w:r>
      <w:r w:rsidR="000B56B1">
        <w:t>ie getätigten Beschaffungen wur</w:t>
      </w:r>
      <w:r>
        <w:t>den keine Berater- und Vermittlungspauschalen, Provisionen oder sonstige Leist</w:t>
      </w:r>
      <w:r w:rsidR="000B56B1">
        <w:t>ungen in An</w:t>
      </w:r>
      <w:r>
        <w:t>spruch genommen oder berechnet. Der textile Mund-Nasen-</w:t>
      </w:r>
      <w:r w:rsidR="000B56B1">
        <w:t>Schutz wurde zum damaligen Zeit</w:t>
      </w:r>
      <w:r>
        <w:t>punkt zu marktüblichen Preisen erworben.</w:t>
      </w:r>
    </w:p>
    <w:p w:rsidR="00230E2B" w:rsidRDefault="00230E2B" w:rsidP="00230E2B">
      <w:pPr>
        <w:pStyle w:val="LTAntwortRessortText"/>
      </w:pPr>
      <w:r>
        <w:t>Im Einzelnen wurden folgende Artikel bestellt:</w:t>
      </w:r>
    </w:p>
    <w:p w:rsidR="00230E2B" w:rsidRDefault="00230E2B" w:rsidP="00933C7E">
      <w:pPr>
        <w:pStyle w:val="LTAntwortRessortText"/>
        <w:numPr>
          <w:ilvl w:val="0"/>
          <w:numId w:val="32"/>
        </w:numPr>
        <w:ind w:left="697" w:hanging="357"/>
      </w:pPr>
      <w:r>
        <w:t>500 x textiler Mund-Nasen-Schutz Größe S (individuell bedruckt) für Kinder und 1 x textiler Mund-Nasen-Schutz Größe L (individuell bed</w:t>
      </w:r>
      <w:r w:rsidR="000B56B1">
        <w:t>ruckt) als Musteransicht für Er</w:t>
      </w:r>
      <w:r>
        <w:t>wachs</w:t>
      </w:r>
      <w:r w:rsidR="00933C7E">
        <w:t>ene zu einem Auftragswert von 3.</w:t>
      </w:r>
      <w:r>
        <w:t xml:space="preserve">657,30 </w:t>
      </w:r>
      <w:r w:rsidR="005508E8">
        <w:t>Euro</w:t>
      </w:r>
      <w:r w:rsidR="00933C7E">
        <w:t xml:space="preserve"> ohne USt. (bzw. 3.</w:t>
      </w:r>
      <w:r>
        <w:t xml:space="preserve">668,90 </w:t>
      </w:r>
      <w:r w:rsidR="005508E8">
        <w:t>Euro</w:t>
      </w:r>
      <w:r>
        <w:t xml:space="preserve"> inklusive Verpackungs- und Versandkosten) mit Rechnungsdatum 18.11.2020.</w:t>
      </w:r>
    </w:p>
    <w:p w:rsidR="00230E2B" w:rsidRDefault="00230E2B" w:rsidP="00933C7E">
      <w:pPr>
        <w:pStyle w:val="LTAntwortRessortText"/>
        <w:numPr>
          <w:ilvl w:val="0"/>
          <w:numId w:val="32"/>
        </w:numPr>
        <w:ind w:left="697" w:hanging="357"/>
      </w:pPr>
      <w:r>
        <w:t>500 x textiler Mund-Nasen-Schutz Größe L (individu</w:t>
      </w:r>
      <w:r w:rsidR="000B56B1">
        <w:t>ell bedruc</w:t>
      </w:r>
      <w:r w:rsidR="00933C7E">
        <w:t>kt) zu einem Auftragswert von 3.</w:t>
      </w:r>
      <w:r>
        <w:t xml:space="preserve">650,00 </w:t>
      </w:r>
      <w:r w:rsidR="005508E8">
        <w:t>Euro</w:t>
      </w:r>
      <w:r>
        <w:t xml:space="preserve"> ohne USt. (bzw. 3</w:t>
      </w:r>
      <w:r w:rsidR="00156D48">
        <w:t>.</w:t>
      </w:r>
      <w:r>
        <w:t xml:space="preserve">655,80 </w:t>
      </w:r>
      <w:r w:rsidR="005508E8">
        <w:t>Euro</w:t>
      </w:r>
      <w:r>
        <w:t xml:space="preserve"> ink</w:t>
      </w:r>
      <w:r w:rsidR="000B56B1">
        <w:t>lusive Verpackungs- und Versand</w:t>
      </w:r>
      <w:r>
        <w:t>kosten) mit Rechnungsdatum 04.12.2020.</w:t>
      </w:r>
    </w:p>
    <w:p w:rsidR="00230E2B" w:rsidRDefault="00230E2B" w:rsidP="00230E2B">
      <w:pPr>
        <w:pStyle w:val="LTAntwortRessortText"/>
      </w:pPr>
      <w:r>
        <w:t>Die Integrationsbeauftragte übt ihr Amt unabhängig au</w:t>
      </w:r>
      <w:r w:rsidR="000B56B1">
        <w:t>s</w:t>
      </w:r>
      <w:r w:rsidR="00156D48">
        <w:t>.</w:t>
      </w:r>
      <w:r>
        <w:t xml:space="preserve"> Z</w:t>
      </w:r>
      <w:r w:rsidR="000B56B1">
        <w:t>u den Hintergründen der Beschaf</w:t>
      </w:r>
      <w:r>
        <w:t>fung teilte die Geschäftsstelle der Integrationsbeauftragten Folgendes mit:</w:t>
      </w:r>
    </w:p>
    <w:p w:rsidR="00230E2B" w:rsidRDefault="00230E2B" w:rsidP="00230E2B">
      <w:pPr>
        <w:pStyle w:val="LTAntwortRessortText"/>
      </w:pPr>
      <w:r>
        <w:t xml:space="preserve">Vor den </w:t>
      </w:r>
      <w:r w:rsidR="005508E8">
        <w:t>o. g.</w:t>
      </w:r>
      <w:r>
        <w:t xml:space="preserve"> Bestellungen wurde im Oktober 2020 textiler</w:t>
      </w:r>
      <w:r w:rsidR="000B56B1">
        <w:t xml:space="preserve"> Mund-Nasen-Schutz bei einem an</w:t>
      </w:r>
      <w:r>
        <w:t>deren Unternehmen bestellt. Nachdem Passform und Qualität dieser ersten Bestellung nicht den Erwartungen entsprachen, wurde für weitere Bestellungen ein anderer Lieferant gesucht. Die Mitarbeiter der Geschäftsstelle wurden dabei im Rahmen einer</w:t>
      </w:r>
      <w:r w:rsidR="000B56B1">
        <w:t xml:space="preserve"> Veranstaltung auf die von Drit</w:t>
      </w:r>
      <w:r>
        <w:t>ten getragenen Masken der Bavaria Werbe- und Wirtschaftsdienste GmbH aufmerksam. Von Seiten der Integrationsbeauftragten wurde der Auftrag erteil</w:t>
      </w:r>
      <w:r w:rsidR="000B56B1">
        <w:t>t, den entsprechenden Maskenpro</w:t>
      </w:r>
      <w:r>
        <w:t>duzent ausfindig zu machen.</w:t>
      </w:r>
    </w:p>
    <w:p w:rsidR="00230E2B" w:rsidRDefault="00230E2B" w:rsidP="000B56B1">
      <w:pPr>
        <w:pStyle w:val="LTAntwortRessortText"/>
      </w:pPr>
      <w:r>
        <w:t>Zum Zeitpunkt der Bestellungen war es schwierig, geeignete Anbieter fü</w:t>
      </w:r>
      <w:r w:rsidR="000B56B1">
        <w:t>r individuell gestalte</w:t>
      </w:r>
      <w:r>
        <w:t xml:space="preserve">ten textilen Mund-Nasen-Schutz in geeigneter Qualität und kurzer Lieferzeit zu finden. Insbesondere für Kinder gab es kaum passende und kinderfreundlich geschnittene Masken am Markt. Alle bestellten Masken hatten ein politisch neutrales </w:t>
      </w:r>
      <w:r w:rsidR="000B56B1">
        <w:t>Design und wurden auf Veranstal</w:t>
      </w:r>
      <w:r>
        <w:t>tungen verteilt.</w:t>
      </w:r>
      <w:bookmarkStart w:id="24" w:name="Frage_Nr_11_Ende"/>
      <w:bookmarkEnd w:id="24"/>
      <w:r>
        <w:br w:type="page"/>
      </w:r>
    </w:p>
    <w:p w:rsidR="00230E2B" w:rsidRDefault="00230E2B" w:rsidP="00230E2B">
      <w:pPr>
        <w:pStyle w:val="LTUeberschrRessort"/>
      </w:pPr>
      <w:r>
        <w:lastRenderedPageBreak/>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1"/>
        <w:gridCol w:w="5785"/>
      </w:tblGrid>
      <w:tr w:rsidR="00230E2B" w:rsidTr="007B0B33">
        <w:tc>
          <w:tcPr>
            <w:tcW w:w="2050" w:type="dxa"/>
          </w:tcPr>
          <w:p w:rsidR="00230E2B" w:rsidRDefault="00230E2B" w:rsidP="00230E2B">
            <w:pPr>
              <w:pStyle w:val="LTAnfrageInitiator"/>
            </w:pPr>
            <w:r>
              <w:t>Abgeordnete</w:t>
            </w:r>
            <w:r>
              <w:rPr>
                <w:b/>
              </w:rPr>
              <w:br/>
              <w:t>Inge</w:t>
            </w:r>
            <w:r>
              <w:rPr>
                <w:b/>
              </w:rPr>
              <w:br/>
              <w:t>Aures</w:t>
            </w:r>
            <w:r>
              <w:rPr>
                <w:b/>
              </w:rPr>
              <w:br/>
            </w:r>
            <w:r>
              <w:t>(SPD)</w:t>
            </w:r>
            <w:bookmarkStart w:id="25" w:name="Frage_Nr_12"/>
            <w:bookmarkEnd w:id="25"/>
          </w:p>
        </w:tc>
        <w:tc>
          <w:tcPr>
            <w:tcW w:w="7200" w:type="dxa"/>
          </w:tcPr>
          <w:p w:rsidR="00230E2B" w:rsidRPr="00117453" w:rsidRDefault="00117453" w:rsidP="00230E2B">
            <w:pPr>
              <w:pStyle w:val="LTAnfrageText"/>
            </w:pPr>
            <w:r w:rsidRPr="00117453">
              <w:rPr>
                <w:szCs w:val="24"/>
              </w:rPr>
              <w:t>Nachdem Staatsministerin für Wohnen, Bau und Verkehr, Kerstin Schreyer, in einer Pressemitteilung vom 13. September 2021 ankündigte, bis Ende des Jahres 2021 einen landesweiten Fahrplan für die Dekarbonisierung des Schienenpersonennahverkehrs im Freistaat vorzulegen, frage ich die Staatsregierung, warum wurde bis zum Ende des Jahres 2021 noch kein solcher Fahrplan vorgelegt, was werden die konkreten Inhalte eines solchen Fahrplanes sein und wann ist mit der Veröffentlichung eines solchen Fahrplanes zu rechnen?</w:t>
            </w:r>
          </w:p>
        </w:tc>
      </w:tr>
    </w:tbl>
    <w:p w:rsidR="00230E2B" w:rsidRDefault="00230E2B" w:rsidP="00230E2B">
      <w:pPr>
        <w:pStyle w:val="LTUeberschrAntwortRessort"/>
      </w:pPr>
      <w:r>
        <w:t>Antwort des Staatsministeriums für Wohnen, Bau und Verkehr</w:t>
      </w:r>
    </w:p>
    <w:p w:rsidR="00230E2B" w:rsidRDefault="00230E2B" w:rsidP="00230E2B">
      <w:pPr>
        <w:pStyle w:val="LTAntwortRessortText"/>
      </w:pPr>
      <w:r>
        <w:t xml:space="preserve">Die von der Staatsregierung avisierte Strategie </w:t>
      </w:r>
      <w:r w:rsidR="007A3E3D">
        <w:t>zur Umsetzung eines klimaneutra</w:t>
      </w:r>
      <w:r>
        <w:t>len Schienenpersonennahverkehrs ist abhängig von einer Vielzahl an Parametern. Besonders grundlegend ist, ob und wie die Elektrifizierungen, sei es als komplette Streckenelektrifizierungen, Teilelektrifizierungen oder Ladeinseln, umgesetzt werden können.</w:t>
      </w:r>
    </w:p>
    <w:p w:rsidR="00230E2B" w:rsidRDefault="00230E2B" w:rsidP="00230E2B">
      <w:pPr>
        <w:pStyle w:val="LTAntwortRessortText"/>
      </w:pPr>
      <w:r>
        <w:t>Zur Finalisierung wartet die Staatsregierung dringend auf Entscheidungen bzw. Konkretisierungen durch die Bundesregierung, die sich in den letzten Monaten verzögert haben. Dazu gehören beispielsweise die N</w:t>
      </w:r>
      <w:r w:rsidR="007A3E3D">
        <w:t>eugestaltung der Standardi</w:t>
      </w:r>
      <w:r>
        <w:t>sierten Bewertung für Bundes-</w:t>
      </w:r>
      <w:r w:rsidR="007A3E3D">
        <w:t>Gemeindeverkehrsfinanzierungsgesetz</w:t>
      </w:r>
      <w:r>
        <w:t>-Förde</w:t>
      </w:r>
      <w:r w:rsidR="007A3E3D">
        <w:t>rmaßnahmen, die die Bundesregie</w:t>
      </w:r>
      <w:r>
        <w:t>rung bis Ende 2021 festgelegen wollte, aber bis dato noch nicht fixiert hat, das</w:t>
      </w:r>
      <w:r w:rsidR="00577757">
        <w:t xml:space="preserve"> </w:t>
      </w:r>
      <w:r>
        <w:t>noch nicht geklärte weitere Vorgehen bei r</w:t>
      </w:r>
      <w:r w:rsidR="007A3E3D">
        <w:t>egionalen Maßnahmen des Deutsch</w:t>
      </w:r>
      <w:r>
        <w:t>landtakts und fehlende konkrete Aussagen der neuen Bunderegierung zu einer Erhöhung der Regionalisierungsmittel, die zwingende Voraussetzung für eine Planung der regionalen zusätzlichen Infrastrukturmaßnahmen und den Einsatz von teureren Fahrzeugen mit alternativen Antrieben ist.</w:t>
      </w:r>
    </w:p>
    <w:p w:rsidR="00230E2B" w:rsidRDefault="00230E2B" w:rsidP="00230E2B">
      <w:pPr>
        <w:pStyle w:val="LTAntwortRessortText"/>
      </w:pPr>
      <w:r>
        <w:t>Abhängig auch von diesen ausstehenden Entscheidungen der Bundesregierung arbeitet die Staatsregierung mit Nachdruck daran</w:t>
      </w:r>
      <w:r w:rsidR="007A3E3D">
        <w:t>, die Strategie für die Dekarbo</w:t>
      </w:r>
      <w:r>
        <w:t>nisierung im Schienenpersonennah</w:t>
      </w:r>
      <w:r w:rsidR="007A3E3D">
        <w:t>verkehr (SPNV) möglichst im ers</w:t>
      </w:r>
      <w:r>
        <w:t>ten Halbjahr 2022 festzulegen. Darin soll aufgezeigt werden, wie die bisherigen Dieselnetze sukzessive bis zum Jahr 2040 auf e</w:t>
      </w:r>
      <w:r w:rsidR="007A3E3D">
        <w:t>missionsfreie Fahrzeuge über re</w:t>
      </w:r>
      <w:r>
        <w:t>guläre SPNV-Ausschreibungen umgestellt werden können.</w:t>
      </w:r>
    </w:p>
    <w:p w:rsidR="00230E2B" w:rsidRDefault="00230E2B">
      <w:bookmarkStart w:id="26" w:name="Frage_Nr_12_Ende"/>
      <w:bookmarkEnd w:id="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230E2B" w:rsidTr="007B0B33">
        <w:tc>
          <w:tcPr>
            <w:tcW w:w="2050" w:type="dxa"/>
          </w:tcPr>
          <w:p w:rsidR="00230E2B" w:rsidRDefault="00230E2B" w:rsidP="00230E2B">
            <w:pPr>
              <w:pStyle w:val="LTAnfrageInitiator"/>
            </w:pPr>
            <w:r>
              <w:lastRenderedPageBreak/>
              <w:t>Abgeordneter</w:t>
            </w:r>
            <w:r>
              <w:rPr>
                <w:b/>
              </w:rPr>
              <w:br/>
              <w:t>Dr. Markus</w:t>
            </w:r>
            <w:r>
              <w:rPr>
                <w:b/>
              </w:rPr>
              <w:br/>
              <w:t>Büchler</w:t>
            </w:r>
            <w:r>
              <w:rPr>
                <w:b/>
              </w:rPr>
              <w:br/>
            </w:r>
            <w:r>
              <w:t>(BÜNDNIS 90/DIE GRÜNEN)</w:t>
            </w:r>
            <w:bookmarkStart w:id="27" w:name="Frage_Nr_13"/>
            <w:bookmarkEnd w:id="27"/>
          </w:p>
        </w:tc>
        <w:tc>
          <w:tcPr>
            <w:tcW w:w="7200" w:type="dxa"/>
          </w:tcPr>
          <w:p w:rsidR="00230E2B" w:rsidRDefault="006231DF" w:rsidP="00230E2B">
            <w:pPr>
              <w:pStyle w:val="LTAnfrageText"/>
            </w:pPr>
            <w:r w:rsidRPr="006231DF">
              <w:rPr>
                <w:szCs w:val="24"/>
              </w:rPr>
              <w:t>Ich frage die Staatsregierung, welche landesgesetzliche Ermächtigung sie plant , um § 1a Personenbeförderungsgesetz (PBefG), der allgemein die Berücksichtigung der Ziele des Klimaschutzes und der Nachhaltigkeit fordert, zu konkretisieren, welche landesgesetzliche Ermächtigung plant sie, um § 64b PBefG, der den Ländern erlaubt, den Betrieb des Verkehrs mit Taxen oder mit Mietwagen oder den Betrieb gebündelten Bedarfsverkehrs in Bezug auf Fahrzeugemissionen zu regeln, zu konkretisieren und wann ist mit den landesgesetzlichen Ermächtigungen zu rechnen?</w:t>
            </w:r>
          </w:p>
        </w:tc>
      </w:tr>
    </w:tbl>
    <w:p w:rsidR="00230E2B" w:rsidRDefault="00230E2B" w:rsidP="00230E2B">
      <w:pPr>
        <w:pStyle w:val="LTUeberschrAntwortRessort"/>
      </w:pPr>
      <w:r>
        <w:t>Antwort des Staatsministeriums für Wohnen, Bau und Verkehr</w:t>
      </w:r>
    </w:p>
    <w:p w:rsidR="00230E2B" w:rsidRDefault="00230E2B" w:rsidP="00230E2B">
      <w:pPr>
        <w:pStyle w:val="LTAntwortRessortText"/>
      </w:pPr>
      <w:r>
        <w:t>Mit der Novelle des Personenbeförderungsgesetzes (PBefG) zum 1. August 2021 wurden Klimaschutz und Nachhaltigkeit als Ziele in § 1a PBefG verankert. Der neue § 1a PBefG stellt keine Rechtsgrundlage fü</w:t>
      </w:r>
      <w:r w:rsidR="00F64726">
        <w:t>r die Länder zum Erlass von ent</w:t>
      </w:r>
      <w:r>
        <w:t xml:space="preserve">sprechenden Regelungen dar. Er soll nach der gesetzlichen Begründung lediglich </w:t>
      </w:r>
      <w:r w:rsidR="00490BF0">
        <w:t>„</w:t>
      </w:r>
      <w:r>
        <w:t>die beteiligten Akteure (...) stärker für eine nachhaltige und umweltorientierte Personenbeförderung (...) sensibilisieren. Die kommunalen Aufgabenträger sind bereits nach geltender Rechtslage aufgefordert (.</w:t>
      </w:r>
      <w:r w:rsidR="00F64726">
        <w:t>..) dessen Umweltqualität in ei</w:t>
      </w:r>
      <w:r>
        <w:t>nem Nahverkehrsplan zu definieren.</w:t>
      </w:r>
      <w:r w:rsidR="00490BF0">
        <w:t>“</w:t>
      </w:r>
      <w:r>
        <w:t xml:space="preserve"> (BR Dr</w:t>
      </w:r>
      <w:r w:rsidR="00F64726">
        <w:t>s. 28/21). Das Gesetz über den öf</w:t>
      </w:r>
      <w:r>
        <w:t>fentlichen Personennahverkehr in Bayern (BayÖPNVG) gibt den Kommunen in</w:t>
      </w:r>
      <w:r w:rsidR="000727F1">
        <w:t xml:space="preserve"> </w:t>
      </w:r>
      <w:r w:rsidR="00F64726">
        <w:t>Art. 13 </w:t>
      </w:r>
      <w:r>
        <w:t>Ab</w:t>
      </w:r>
      <w:r w:rsidR="00F64726">
        <w:t>s. 2 </w:t>
      </w:r>
      <w:r>
        <w:t>Satz 1 vor, dass deren Nahverkehrsplanung mit den Belangen des Umweltschutzes übereinstimmen mus</w:t>
      </w:r>
      <w:r w:rsidR="000727F1">
        <w:t>s</w:t>
      </w:r>
      <w:r w:rsidR="00F64726">
        <w:t>.</w:t>
      </w:r>
    </w:p>
    <w:p w:rsidR="00230E2B" w:rsidRDefault="00230E2B" w:rsidP="00230E2B">
      <w:pPr>
        <w:pStyle w:val="LTAntwortRessortText"/>
      </w:pPr>
      <w:r>
        <w:t>Auf Antrag des Freistaates hatte der Bundesrat</w:t>
      </w:r>
      <w:r w:rsidR="000C7F00">
        <w:t xml:space="preserve"> in seiner Stellungnahme zum Ge</w:t>
      </w:r>
      <w:r>
        <w:t>setzentwurf des Bundes am 12. Februar 2021 (BR Dr</w:t>
      </w:r>
      <w:r w:rsidR="000C7F00">
        <w:t>s. 28/21 (Beschluss)) be</w:t>
      </w:r>
      <w:r>
        <w:t>schlossen, dass zusätzliche konkrete Maßnahmen zur</w:t>
      </w:r>
      <w:r w:rsidR="000C7F00">
        <w:t xml:space="preserve"> Umsetzung für mehr Kli</w:t>
      </w:r>
      <w:r>
        <w:t>maschutz im neuen Personenbeförderungsge</w:t>
      </w:r>
      <w:r w:rsidR="000C7F00">
        <w:t>setz, insbesondere beim Gelegen</w:t>
      </w:r>
      <w:r>
        <w:t>heitsverkehr mit Personenkraftwagen, eingeführt werden sollen. Dies beinhaltete auch die Änderung der Verordnungsermächtig</w:t>
      </w:r>
      <w:r w:rsidR="000C7F00">
        <w:t>ung der Taxiordnung für die kom</w:t>
      </w:r>
      <w:r>
        <w:t>munalen Genehmigungsbehörden zur Schaff</w:t>
      </w:r>
      <w:r w:rsidR="000C7F00">
        <w:t>ung der Möglichkeit einer Bevor</w:t>
      </w:r>
      <w:r>
        <w:t>rechtigung von emissionsfreien Fahrzeugen im Taxenverkehr. Die Möglichkeit der Bevorrechtigung von emissionsfreien Fahrzeugen im Taxenverkehr wurde vom Bundeskabinett wegen rechtlicher Bedenken in der Gegenäußerung des Bundeskabinetts zurückgewiesen (BT D</w:t>
      </w:r>
      <w:r w:rsidR="000C7F00">
        <w:t>rs.</w:t>
      </w:r>
      <w:r>
        <w:t xml:space="preserve"> 19/26963). Nach dieser Äußerung des Bundeskabinetts ist es </w:t>
      </w:r>
      <w:r w:rsidR="00490BF0">
        <w:t>„</w:t>
      </w:r>
      <w:r>
        <w:t xml:space="preserve">fraglich, ob eine </w:t>
      </w:r>
      <w:r w:rsidR="000C7F00">
        <w:t>solche Privilegierung von Unter</w:t>
      </w:r>
      <w:r>
        <w:t>nehmen mit emissions- oder barrierefreien Fahrzeugen unter Gleichbehandlung</w:t>
      </w:r>
      <w:r w:rsidR="000C7F00">
        <w:t>s</w:t>
      </w:r>
      <w:r>
        <w:t>gesichtspunkten zulässig ist.</w:t>
      </w:r>
      <w:r w:rsidR="00490BF0">
        <w:t>“</w:t>
      </w:r>
    </w:p>
    <w:p w:rsidR="00230E2B" w:rsidRDefault="00230E2B" w:rsidP="00230E2B">
      <w:pPr>
        <w:pStyle w:val="LTAntwortRessortText"/>
      </w:pPr>
      <w:r>
        <w:t>Die rechtlichen Bedenken des Bundes zeigen,</w:t>
      </w:r>
      <w:r w:rsidR="000C7F00">
        <w:t xml:space="preserve"> dass die Schaffung von Regelun</w:t>
      </w:r>
      <w:r>
        <w:t>gen in Bezug auf Fahrzeugemissionen beim Betrieb von Taxen, Mietwagen und dem gebündelten Bedarfsverkehr durch die Länder einer umfassenden Prüfung unter Einbeziehung der Betroffenen bedarf. Hierzu fanden erste Gespräche mit den Branchenvertretern statt. Im Anschluss dazu wird die Staatsregierung über das weitere Vorgehen entscheiden.</w:t>
      </w:r>
    </w:p>
    <w:p w:rsidR="00230E2B" w:rsidRDefault="00230E2B">
      <w:bookmarkStart w:id="28" w:name="Frage_Nr_13_Ende"/>
      <w:bookmarkEnd w:id="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230E2B" w:rsidTr="007B0B33">
        <w:tc>
          <w:tcPr>
            <w:tcW w:w="2050" w:type="dxa"/>
          </w:tcPr>
          <w:p w:rsidR="00230E2B" w:rsidRDefault="00230E2B" w:rsidP="00230E2B">
            <w:pPr>
              <w:pStyle w:val="LTAnfrageInitiator"/>
            </w:pPr>
            <w:r>
              <w:lastRenderedPageBreak/>
              <w:t>Abgeordneter</w:t>
            </w:r>
            <w:r>
              <w:rPr>
                <w:b/>
              </w:rPr>
              <w:br/>
              <w:t>Michael</w:t>
            </w:r>
            <w:r>
              <w:rPr>
                <w:b/>
              </w:rPr>
              <w:br/>
              <w:t>Busch</w:t>
            </w:r>
            <w:r>
              <w:rPr>
                <w:b/>
              </w:rPr>
              <w:br/>
            </w:r>
            <w:r>
              <w:t>(SPD)</w:t>
            </w:r>
            <w:bookmarkStart w:id="29" w:name="Frage_Nr_14"/>
            <w:bookmarkEnd w:id="29"/>
          </w:p>
        </w:tc>
        <w:tc>
          <w:tcPr>
            <w:tcW w:w="7200" w:type="dxa"/>
          </w:tcPr>
          <w:p w:rsidR="00230E2B" w:rsidRDefault="006231DF" w:rsidP="00230E2B">
            <w:pPr>
              <w:pStyle w:val="LTAnfrageText"/>
            </w:pPr>
            <w:r w:rsidRPr="006231DF">
              <w:rPr>
                <w:szCs w:val="24"/>
              </w:rPr>
              <w:t>Ich frage die Staatsregierung, nachdem die Bevölkerung von Prosselsheim, Landkreis Würzburg, zunehmend Unverständnis über die fehlende Umsetzung der Ortsumgehung äußert (Mainpost vom 11.12.2021: „Wir wollen nicht länger vertröstet werden.“) und der von Staatssekretär Gerhard Eck 2012 angekündigte Baubeginn im Jahr 2015 (vgl. Mainpost vom 01.08.2012: „Mehr als eine Umgehungsstraße“) nun mittlerweile seit über sechs Jahren nicht vollzogen wurde, frage ich sie erneut, welcher Zeit- und Finanzierungsplan aktuell für die Ortsumgehung Prosselsheim vom Baurecht über den Baubeginn bis zur Fertigstellung besteht, welche konkreten Gründe zur weiteren zeitlichen Verzögerung der Realisierung gegenüber der Ankündigung von 2012 bzw. seit der Antwort vom 17.10.2019 (Drs. 18/4252) geführt haben und welche Beschleunigungsschritte die Staatsregierung nunmehr vor dem Hintergrund der massiven zeitlichen Verzögerung nunmehr konkret unternimmt?</w:t>
            </w:r>
          </w:p>
        </w:tc>
      </w:tr>
    </w:tbl>
    <w:p w:rsidR="00230E2B" w:rsidRDefault="00230E2B" w:rsidP="00230E2B">
      <w:pPr>
        <w:pStyle w:val="LTUeberschrAntwortRessort"/>
      </w:pPr>
      <w:r>
        <w:t>Antwort des Staatsministeriums für Wohnen, Bau und Verkehr</w:t>
      </w:r>
    </w:p>
    <w:p w:rsidR="00230E2B" w:rsidRDefault="00230E2B" w:rsidP="00230E2B">
      <w:pPr>
        <w:pStyle w:val="LTAntwortRessortText"/>
      </w:pPr>
      <w:r>
        <w:t>Die Ortsumfahrung Prosselsheim und die daran</w:t>
      </w:r>
      <w:r w:rsidR="00367FF8">
        <w:t xml:space="preserve"> anschließende Verlegung der St </w:t>
      </w:r>
      <w:r>
        <w:t xml:space="preserve">2260 östlich Prosselsheim sind im 7. Ausbauplan </w:t>
      </w:r>
      <w:r w:rsidR="00367FF8">
        <w:t>für die Staatsstraßen in der 2. </w:t>
      </w:r>
      <w:r>
        <w:t>Dringlichkeit eingestuft. Die Ortsumfahrung Prosselsheim soll in kommunaler Sonderbaulast durch die Gemeinde Prosselsheim r</w:t>
      </w:r>
      <w:r w:rsidR="00367FF8">
        <w:t>ealisiert werden. Für die Verle</w:t>
      </w:r>
      <w:r>
        <w:t>gung östlich von Prosselsheim wird der Freistaat und für die Anbindung der</w:t>
      </w:r>
      <w:r w:rsidR="00490BF0">
        <w:t xml:space="preserve"> </w:t>
      </w:r>
      <w:r>
        <w:t>Kreisstraße WÜ 4 an die verlegte St 2260 der Landkreises Würzburg die Kosten übernehmen.</w:t>
      </w:r>
    </w:p>
    <w:p w:rsidR="00230E2B" w:rsidRDefault="00230E2B" w:rsidP="00230E2B">
      <w:pPr>
        <w:pStyle w:val="LTAntwortRessortText"/>
      </w:pPr>
      <w:r>
        <w:t>Beide Maßnahmen (Ortsumfahrung und Verle</w:t>
      </w:r>
      <w:r w:rsidR="00367FF8">
        <w:t>gung) werden unter der Federfüh</w:t>
      </w:r>
      <w:r>
        <w:t>rung des Staatlichen Bauamtes planerisch vorangetrieben.</w:t>
      </w:r>
      <w:r w:rsidR="00490BF0">
        <w:t xml:space="preserve"> </w:t>
      </w:r>
      <w:r>
        <w:t>Ausschlaggebend für die Planungsdauer bis zur Fertigstellung des Vorentwurfs waren zunächst zeitintensive Abstimmungen mi</w:t>
      </w:r>
      <w:r w:rsidR="00367FF8">
        <w:t>t der Landwirtschaft und den An</w:t>
      </w:r>
      <w:r>
        <w:t xml:space="preserve">liegern über eine möglichst verträgliche Linienführung der Verlegungsstrecke durch die Weinberge östlich von Prosselsheim, die Konzeption des erforderlichen Ersatzwegenetzes sowie die Gestaltung des Anschlusses der Kreisstraße KT 30 bei Escherndorf. Daneben waren aufwändige umweltfachliche Untersuchungen zur Beurteilung von Eingriffen in den Lebensraum von Feldhamster, Fledermäusen und Biber sowie im Hinblick auf die </w:t>
      </w:r>
      <w:r w:rsidR="00367FF8">
        <w:t>Betroffenheit</w:t>
      </w:r>
      <w:r>
        <w:t xml:space="preserve"> der Natura-2000 Gebiete </w:t>
      </w:r>
      <w:r w:rsidR="00490BF0">
        <w:t>„</w:t>
      </w:r>
      <w:r>
        <w:t>Ochsenfurter und Uffenheimer Gau und Gäulandschaft nordöstlich Würzburg</w:t>
      </w:r>
      <w:r w:rsidR="00490BF0">
        <w:t>“</w:t>
      </w:r>
      <w:r>
        <w:t xml:space="preserve"> und </w:t>
      </w:r>
      <w:r w:rsidR="00490BF0">
        <w:t>„</w:t>
      </w:r>
      <w:r w:rsidR="00367FF8">
        <w:t>Pros</w:t>
      </w:r>
      <w:r>
        <w:t>selsheimer Holz</w:t>
      </w:r>
      <w:r w:rsidR="00490BF0">
        <w:t>“</w:t>
      </w:r>
      <w:r>
        <w:t xml:space="preserve"> erforderlich.</w:t>
      </w:r>
    </w:p>
    <w:p w:rsidR="00230E2B" w:rsidRDefault="00230E2B" w:rsidP="00230E2B">
      <w:pPr>
        <w:pStyle w:val="LTAntwortRessortText"/>
      </w:pPr>
      <w:r>
        <w:t>Seit der Genehmigung des Vorentwurfs durch das Staatsministerium für Wohnen, Bau und Verkehr im September 2021 bereitet das Staatliche Bauamt Würzburg die Unterlagen für das Planfeststellungsverfahren vor.</w:t>
      </w:r>
      <w:r w:rsidR="00490BF0">
        <w:t xml:space="preserve"> </w:t>
      </w:r>
      <w:r>
        <w:t xml:space="preserve">Dabei sind zwischenzeitlich geänderte technische </w:t>
      </w:r>
      <w:r w:rsidR="00367FF8">
        <w:t>und rechtliche Vorschriften (z. </w:t>
      </w:r>
      <w:r>
        <w:t>B. Lärmschutz) und die Auflagen aus der Genehmigung des Vorentwurfs zu berücksichtigen und in die Unterlagen einzuarbeiten. Dies betrifft insbesondere die Bereiche der Umweltplanung und der Entwässerung.</w:t>
      </w:r>
    </w:p>
    <w:p w:rsidR="00230E2B" w:rsidRDefault="00230E2B" w:rsidP="00230E2B">
      <w:pPr>
        <w:pStyle w:val="LTAntwortRessortText"/>
      </w:pPr>
      <w:r>
        <w:t xml:space="preserve">Die Einleitung des Planfeststellungsverfahrens </w:t>
      </w:r>
      <w:r w:rsidR="00367FF8">
        <w:t>bei der Regierung von Unterfran</w:t>
      </w:r>
      <w:r>
        <w:t>ken kann voraussichtlich Ende 2022 erfolgen. Z</w:t>
      </w:r>
      <w:r w:rsidR="00367FF8">
        <w:t>ur Verfahrensdauer ist keine be</w:t>
      </w:r>
      <w:r>
        <w:t>lastbare Prognose möglich, da diese von der Anzahl der Einwendungen und der im Verfahren zu lösenden Konfliktpunkte abhängt</w:t>
      </w:r>
      <w:r w:rsidR="00367FF8">
        <w:t>. Jedoch sind hierfür in der Re</w:t>
      </w:r>
      <w:r>
        <w:t>gel mehrere Jahre notwendig.</w:t>
      </w:r>
    </w:p>
    <w:p w:rsidR="00230E2B" w:rsidRDefault="00230E2B" w:rsidP="00230E2B">
      <w:pPr>
        <w:pStyle w:val="LTAntwortRessortText"/>
      </w:pPr>
      <w:r>
        <w:lastRenderedPageBreak/>
        <w:t>Nach Abschluss des Planfeststellungsverfahrens und Vorliegen des bestandskräf-tigen Baurechts sind die Baureifplanung sowie die Ausschreibungsunterlagen zu erstellen, so dass ein Baubeginn etwa zwei Jahre danach denkbar wäre. Parallel müssen die für die Baumaßnahme erforderlichen Grundstücke erworben werden. Die bauliche Umsetzung wird mit circa drei Jahren veranschlagt.</w:t>
      </w:r>
    </w:p>
    <w:p w:rsidR="00230E2B" w:rsidRDefault="00230E2B">
      <w:bookmarkStart w:id="30" w:name="Frage_Nr_14_Ende"/>
      <w:bookmarkEnd w:id="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230E2B" w:rsidTr="007B0B33">
        <w:tc>
          <w:tcPr>
            <w:tcW w:w="2050" w:type="dxa"/>
          </w:tcPr>
          <w:p w:rsidR="00230E2B" w:rsidRDefault="00230E2B" w:rsidP="00230E2B">
            <w:pPr>
              <w:pStyle w:val="LTAnfrageInitiator"/>
            </w:pPr>
            <w:r>
              <w:lastRenderedPageBreak/>
              <w:t>Abgeordneter</w:t>
            </w:r>
            <w:r>
              <w:rPr>
                <w:b/>
              </w:rPr>
              <w:br/>
              <w:t>Patrick</w:t>
            </w:r>
            <w:r>
              <w:rPr>
                <w:b/>
              </w:rPr>
              <w:br/>
              <w:t>Friedl</w:t>
            </w:r>
            <w:r>
              <w:rPr>
                <w:b/>
              </w:rPr>
              <w:br/>
            </w:r>
            <w:r>
              <w:t>(BÜNDNIS 90/DIE GRÜNEN)</w:t>
            </w:r>
            <w:bookmarkStart w:id="31" w:name="Frage_Nr_15"/>
            <w:bookmarkEnd w:id="31"/>
          </w:p>
        </w:tc>
        <w:tc>
          <w:tcPr>
            <w:tcW w:w="7200" w:type="dxa"/>
          </w:tcPr>
          <w:p w:rsidR="00230E2B" w:rsidRDefault="0012007F" w:rsidP="00230E2B">
            <w:pPr>
              <w:pStyle w:val="LTAnfrageText"/>
            </w:pPr>
            <w:r w:rsidRPr="0012007F">
              <w:rPr>
                <w:szCs w:val="24"/>
              </w:rPr>
              <w:t>Angesichts der öffentlich gewordenen Überlegungen des Freistaates die auslaufenden Erbpachtverträge am Oberen Burgweg in Würzburg nicht zu verlängern (so z. B. in der Mainpost vom 26. und 27. Januar 2022), frage ich die Staatsregierung, bis wann erhalten die Erbbauberichtigten im Oberen Burgweg in Würzburg (die demnächst auslaufende Erbpachtverträge mit dem Freistaat Bayern haben), die auf die Anfrage bzw. Angebot zur Verlängerung des Erbpachtvertrages „um 60 Jahre“ positiv geantwortet haben, ein verbindliches Verlängerungsangebot vom Freistaat Bayern, das den Vorgaben des Art. 81 der Bayerischen Verfassung genügt (falls das nicht mehr vorgesehen ist, bitte die Gründe angeben, insbesondere auch zu den Überlegungen Freistaates ein Verlängerungsinteresse abzufragen), wie bewertet die Staatsregierung die bereits über dreijährige Hängepartie für die noch Erbbauberechtigten angesichts des abgefragten Verlängerungswunsches, besonders im Hinblick auf dadurch geschaffene Vertrauenstatbestände, und für den Fall, dass keine Verlängerungsoptionen angeboten werden, wie sieht sich die Staatsregierung in sozialer Verantwortung und Verpflichtung den dort wohnenden Erbbauberechtigten Ersatz für den Wohnungsverlust anzubieten, bzw. sie wirksam bei der Wohnungssuche zu unterstützen?</w:t>
            </w:r>
          </w:p>
        </w:tc>
      </w:tr>
    </w:tbl>
    <w:p w:rsidR="00230E2B" w:rsidRDefault="00230E2B" w:rsidP="00230E2B">
      <w:pPr>
        <w:pStyle w:val="LTUeberschrAntwortRessort"/>
      </w:pPr>
      <w:r>
        <w:t>Antwort des Staatsministeriums für Wohnen, Bau und Verkehr</w:t>
      </w:r>
    </w:p>
    <w:p w:rsidR="00230E2B" w:rsidRDefault="00230E2B" w:rsidP="00230E2B">
      <w:pPr>
        <w:pStyle w:val="LTAntwortRessortText"/>
      </w:pPr>
      <w:r>
        <w:t>Im Bereich des Oberen Burgwegs in Würzburg wurde den Erbbauberechtigten im Jahr 2018 die Neubestellung eines Erbbaurec</w:t>
      </w:r>
      <w:r w:rsidR="002921A0">
        <w:t>hts im Jahr 2023 in Aussicht ge</w:t>
      </w:r>
      <w:r>
        <w:t xml:space="preserve">stellt, aber auch mitgeteilt, dass entsprechende </w:t>
      </w:r>
      <w:r w:rsidR="002921A0">
        <w:t>vertragliche Vereinbarungen frü</w:t>
      </w:r>
      <w:r>
        <w:t>hestens ein Jahr vor Ablauf des Erbbaurechtsver</w:t>
      </w:r>
      <w:r w:rsidR="00B44A2A">
        <w:t>trag</w:t>
      </w:r>
      <w:r w:rsidR="002921A0">
        <w:t>s im September 2023 getrof</w:t>
      </w:r>
      <w:r>
        <w:t>fen werden können.</w:t>
      </w:r>
    </w:p>
    <w:p w:rsidR="00230E2B" w:rsidRDefault="00230E2B" w:rsidP="00230E2B">
      <w:pPr>
        <w:pStyle w:val="LTAntwortRessortText"/>
      </w:pPr>
      <w:r>
        <w:t>Angesichts der sich vergrößernden Wohnungsmarktanspannung vor allem in den Städten sowie der Gründung der staatlichen Wohnungsbaugesellschaft Bayern-Heim hat der Freistaat Bayern inzwischen entschieden, säm</w:t>
      </w:r>
      <w:r w:rsidR="002921A0">
        <w:t>tliche staatlichen Grundstücke –</w:t>
      </w:r>
      <w:r>
        <w:t xml:space="preserve"> und damit auch die Grundstücke im Bereich d</w:t>
      </w:r>
      <w:r w:rsidR="002921A0">
        <w:t>es Oberen Burgwegs in Würzburg –</w:t>
      </w:r>
      <w:r>
        <w:t xml:space="preserve"> hinsichtlich eines bestehenden St</w:t>
      </w:r>
      <w:r w:rsidR="002921A0">
        <w:t>aatsbedarfs in Form einer Bebau</w:t>
      </w:r>
      <w:r>
        <w:t>ung mit Geschosswohnungsbau zu prüfen. Di</w:t>
      </w:r>
      <w:r w:rsidR="002921A0">
        <w:t>e Erbbauberechtigten wurden nun</w:t>
      </w:r>
      <w:r>
        <w:t>mehr auf diesen Umstand hingewiesen und auch in Kenntnis darüber gesetzt, dass bis zum Abschluss dieser Prüfungen keine Vertragsverhandlungen ge</w:t>
      </w:r>
      <w:r w:rsidR="002921A0">
        <w:t>führt wer</w:t>
      </w:r>
      <w:r>
        <w:t>den können. Derzeit wird eine Projektstudie für zwei der betroffenen staatlichen Grundstücke mit der Stadt Würzburg diskutiert. Das Ergebnis der Prüfungen bleibt abzuwarten.</w:t>
      </w:r>
    </w:p>
    <w:p w:rsidR="00230E2B" w:rsidRDefault="00230E2B" w:rsidP="00230E2B">
      <w:pPr>
        <w:pStyle w:val="LTAntwortRessortText"/>
      </w:pPr>
      <w:r>
        <w:t>Sofern eine Bebauung der Grundstücke am Oberen Burgweg durch eine staatliche Wohnungsbaugesellschaft realisiert werden so</w:t>
      </w:r>
      <w:r w:rsidR="002921A0">
        <w:t>llte, können noch mehr Bürgerin</w:t>
      </w:r>
      <w:r>
        <w:t>nen und Bürger von bezahlbarem Wohnraum profitieren</w:t>
      </w:r>
      <w:r w:rsidR="002921A0">
        <w:t>.</w:t>
      </w:r>
    </w:p>
    <w:p w:rsidR="00230E2B" w:rsidRDefault="00230E2B">
      <w:bookmarkStart w:id="32" w:name="Frage_Nr_15_Ende"/>
      <w:bookmarkEnd w:id="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230E2B" w:rsidTr="007B0B33">
        <w:tc>
          <w:tcPr>
            <w:tcW w:w="2050" w:type="dxa"/>
          </w:tcPr>
          <w:p w:rsidR="00230E2B" w:rsidRDefault="00230E2B" w:rsidP="00230E2B">
            <w:pPr>
              <w:pStyle w:val="LTAnfrageInitiator"/>
            </w:pPr>
            <w:r>
              <w:lastRenderedPageBreak/>
              <w:t>Abgeordneter</w:t>
            </w:r>
            <w:r>
              <w:rPr>
                <w:b/>
              </w:rPr>
              <w:br/>
              <w:t>Elmar</w:t>
            </w:r>
            <w:r>
              <w:rPr>
                <w:b/>
              </w:rPr>
              <w:br/>
              <w:t>Hayn</w:t>
            </w:r>
            <w:r>
              <w:rPr>
                <w:b/>
              </w:rPr>
              <w:br/>
            </w:r>
            <w:r>
              <w:t>(BÜNDNIS 90/DIE GRÜNEN)</w:t>
            </w:r>
            <w:bookmarkStart w:id="33" w:name="Frage_Nr_16"/>
            <w:bookmarkEnd w:id="33"/>
          </w:p>
        </w:tc>
        <w:tc>
          <w:tcPr>
            <w:tcW w:w="7200" w:type="dxa"/>
          </w:tcPr>
          <w:p w:rsidR="00230E2B" w:rsidRDefault="00A615E7" w:rsidP="00230E2B">
            <w:pPr>
              <w:pStyle w:val="LTAnfrageText"/>
            </w:pPr>
            <w:r w:rsidRPr="00A615E7">
              <w:rPr>
                <w:szCs w:val="24"/>
              </w:rPr>
              <w:t>Ich frage die Staatsregierung, über wie viele fertige Wohnungen verfügt die BayernHeim GmbH im Stadtgebiet München, wie viele weitere Wohnungen befinden sich aktuell noch in der Planungsphase und wie viele weitere Wohnungen befinden sich aktuell noch in der Bauphase (bitte unter Angabe der entsprechenden Projekte und geplanten Fertigstellungsterminen)?</w:t>
            </w:r>
          </w:p>
        </w:tc>
      </w:tr>
    </w:tbl>
    <w:p w:rsidR="00230E2B" w:rsidRDefault="00230E2B" w:rsidP="00230E2B">
      <w:pPr>
        <w:pStyle w:val="LTUeberschrAntwortRessort"/>
      </w:pPr>
      <w:r>
        <w:t>Antwort des Staatsministeriums für Wohnen, Bau und Verkehr</w:t>
      </w:r>
    </w:p>
    <w:p w:rsidR="00230E2B" w:rsidRDefault="00230E2B" w:rsidP="00230E2B">
      <w:pPr>
        <w:pStyle w:val="LTAntwortRessortText"/>
      </w:pPr>
      <w:r>
        <w:t>Die BayernHeim GmbH verfügt im Stadtgebiet von München aktuell über einen Wohnungsbestand von 137 Wohnungen, weit</w:t>
      </w:r>
      <w:r w:rsidR="00CD604F">
        <w:t>ere 100 Wohnungen sind im Stadt</w:t>
      </w:r>
      <w:r>
        <w:t>gebiet in Planung und sollen bis 2025 fertiggestellt werden.</w:t>
      </w:r>
    </w:p>
    <w:p w:rsidR="00230E2B" w:rsidRDefault="00230E2B" w:rsidP="00230E2B">
      <w:pPr>
        <w:pStyle w:val="LTAntwortRessortText"/>
      </w:pPr>
      <w:r>
        <w:t xml:space="preserve">In Bau befinden sich in München derzeit keine Wohnungen, an mehreren Stellen im Stadtgebiet arbeitet die BayernHeim GmbH </w:t>
      </w:r>
      <w:r w:rsidR="00CD604F">
        <w:t>allerdings an der Abklärung, ge</w:t>
      </w:r>
      <w:r>
        <w:t>eignetes Baurecht zu schaffen.</w:t>
      </w:r>
    </w:p>
    <w:p w:rsidR="00230E2B" w:rsidRDefault="00230E2B" w:rsidP="00230E2B">
      <w:pPr>
        <w:pStyle w:val="LTAntwortRessortText"/>
      </w:pPr>
      <w:r>
        <w:t>Insgesamt hat die BayernH</w:t>
      </w:r>
      <w:r w:rsidR="00CD604F">
        <w:t>eim GmbH im Freistaat bereits 3 </w:t>
      </w:r>
      <w:r>
        <w:t xml:space="preserve">460 Wohnungen auf den Weg gebracht. Das ist mehr als </w:t>
      </w:r>
      <w:r w:rsidR="00CD604F">
        <w:t>ein Drittel der angestrebten 10 000 Wohnun</w:t>
      </w:r>
      <w:r>
        <w:t>gen. Davon sind 2</w:t>
      </w:r>
      <w:r w:rsidR="00CD604F">
        <w:t>34 im Bestand, 522 in Bau und 2 704 in Planung oder Vorbe</w:t>
      </w:r>
      <w:r>
        <w:t>reitung.</w:t>
      </w:r>
    </w:p>
    <w:p w:rsidR="00230E2B" w:rsidRDefault="00230E2B">
      <w:bookmarkStart w:id="34" w:name="Frage_Nr_16_Ende"/>
      <w:bookmarkEnd w:id="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9"/>
        <w:gridCol w:w="5777"/>
      </w:tblGrid>
      <w:tr w:rsidR="00230E2B" w:rsidTr="007B0B33">
        <w:tc>
          <w:tcPr>
            <w:tcW w:w="2050" w:type="dxa"/>
          </w:tcPr>
          <w:p w:rsidR="00230E2B" w:rsidRDefault="00230E2B" w:rsidP="00230E2B">
            <w:pPr>
              <w:pStyle w:val="LTAnfrageInitiator"/>
            </w:pPr>
            <w:r>
              <w:lastRenderedPageBreak/>
              <w:t>Abgeordneter</w:t>
            </w:r>
            <w:r>
              <w:rPr>
                <w:b/>
              </w:rPr>
              <w:br/>
              <w:t>Sebastian</w:t>
            </w:r>
            <w:r>
              <w:rPr>
                <w:b/>
              </w:rPr>
              <w:br/>
              <w:t>Körber</w:t>
            </w:r>
            <w:r>
              <w:rPr>
                <w:b/>
              </w:rPr>
              <w:br/>
            </w:r>
            <w:r>
              <w:t>(FDP)</w:t>
            </w:r>
            <w:bookmarkStart w:id="35" w:name="Frage_Nr_17"/>
            <w:bookmarkEnd w:id="35"/>
          </w:p>
        </w:tc>
        <w:tc>
          <w:tcPr>
            <w:tcW w:w="7200" w:type="dxa"/>
          </w:tcPr>
          <w:p w:rsidR="00230E2B" w:rsidRDefault="00A615E7" w:rsidP="00230E2B">
            <w:pPr>
              <w:pStyle w:val="LTAnfrageText"/>
            </w:pPr>
            <w:r w:rsidRPr="00A615E7">
              <w:rPr>
                <w:szCs w:val="24"/>
              </w:rPr>
              <w:t>Ich frage die Sta</w:t>
            </w:r>
            <w:r w:rsidR="00B44A2A">
              <w:rPr>
                <w:szCs w:val="24"/>
              </w:rPr>
              <w:t>atsregierung, welche Schlüsse s</w:t>
            </w:r>
            <w:r w:rsidRPr="00A615E7">
              <w:rPr>
                <w:szCs w:val="24"/>
              </w:rPr>
              <w:t>ie aus der Evaluation der Bayerischen Bauordnung (BayBO)-Novelle (vgl. D</w:t>
            </w:r>
            <w:r w:rsidR="00B44A2A">
              <w:rPr>
                <w:szCs w:val="24"/>
              </w:rPr>
              <w:t>rs. 18/16965) zieht, inwiefern s</w:t>
            </w:r>
            <w:r w:rsidRPr="00A615E7">
              <w:rPr>
                <w:szCs w:val="24"/>
              </w:rPr>
              <w:t>ie vorhat, die Sonderregelung im Abstandsflächenrecht (vgl. Art. 6 Abs. 5a BayBO) nach der einhelligen Kritik der Teilnehmenden der Evaluation wieder abzuschaffen (bitte um Darlegung falls nicht, und Nennung der Gründe die der Staatsregierung zufolge für eine Aufrechterhaltung sprechen) und inwiefern sie nach wie vor der Überzeugung ist, dass die BayBO-Novelle dazu beiträgt, kostengünstiger zu bauen (bitte um Darlegung der exakten Artikel)?</w:t>
            </w:r>
          </w:p>
        </w:tc>
      </w:tr>
    </w:tbl>
    <w:p w:rsidR="00230E2B" w:rsidRDefault="00230E2B" w:rsidP="00230E2B">
      <w:pPr>
        <w:pStyle w:val="LTUeberschrAntwortRessort"/>
      </w:pPr>
      <w:r>
        <w:t>Antwort des Staatsministeriums für Wohnen, Bau und Verkehr</w:t>
      </w:r>
    </w:p>
    <w:p w:rsidR="00230E2B" w:rsidRDefault="00230E2B" w:rsidP="00230E2B">
      <w:pPr>
        <w:pStyle w:val="LTAntwortRessortText"/>
      </w:pPr>
      <w:r>
        <w:t>Die Evaluierung der Bauordnungsnovelle 202</w:t>
      </w:r>
      <w:r w:rsidR="00A546A2">
        <w:t>1 (Gesetz zur Vereinfachung bau</w:t>
      </w:r>
      <w:r>
        <w:t>rechtlicher Regelungen und zur Beschle</w:t>
      </w:r>
      <w:r w:rsidR="00A546A2">
        <w:t>unigung sowie Förderung des Woh</w:t>
      </w:r>
      <w:r>
        <w:t xml:space="preserve">nungsbaus vom 23.12.2020) erfolgte </w:t>
      </w:r>
      <w:r w:rsidR="005508E8">
        <w:t>u. a.</w:t>
      </w:r>
      <w:r>
        <w:t xml:space="preserve"> aufgrund des Beschlusses des Landtags vom 06.07.2021, Dr</w:t>
      </w:r>
      <w:r w:rsidR="00A546A2">
        <w:t>s.</w:t>
      </w:r>
      <w:r>
        <w:t xml:space="preserve"> 18/16965. Dem Landtag wurde mit Schreiben vom 26.11.2021 und 19.01.2022 berichtet.</w:t>
      </w:r>
    </w:p>
    <w:p w:rsidR="00230E2B" w:rsidRDefault="00230E2B" w:rsidP="00230E2B">
      <w:pPr>
        <w:pStyle w:val="LTAntwortRessortText"/>
      </w:pPr>
      <w:r>
        <w:t xml:space="preserve">Die Bauordnungsnovelle 2021 wurde von der Praxis gut angenommen. Dort, wo grundlegende Änderungen erfolgt sind, wie beispielsweise im Abstandsflächen-recht und bei der Genehmigungsfiktion, treten </w:t>
      </w:r>
      <w:r w:rsidR="00A546A2">
        <w:t>–</w:t>
      </w:r>
      <w:r>
        <w:t xml:space="preserve"> nachvollziehbar </w:t>
      </w:r>
      <w:r w:rsidR="00A546A2">
        <w:t>–</w:t>
      </w:r>
      <w:r>
        <w:t xml:space="preserve"> im Vollzug immer wieder Einzelfragen auf, die, soweit erforderlich, zu einer Anpassung der</w:t>
      </w:r>
      <w:r w:rsidR="00E821D6">
        <w:t xml:space="preserve"> </w:t>
      </w:r>
      <w:r>
        <w:t>Vollzugshinweise des Staatsministeriums fü</w:t>
      </w:r>
      <w:r w:rsidR="00A546A2">
        <w:t>r Wohnen, Bauen und Verkehr füh</w:t>
      </w:r>
      <w:r>
        <w:t>ren.</w:t>
      </w:r>
    </w:p>
    <w:p w:rsidR="00230E2B" w:rsidRDefault="00230E2B" w:rsidP="00230E2B">
      <w:pPr>
        <w:pStyle w:val="LTAntwortRessortText"/>
      </w:pPr>
      <w:r>
        <w:t>Die in der Novelle enthaltenen Regelu</w:t>
      </w:r>
      <w:r w:rsidR="00A546A2">
        <w:t>ngen mit Bezug zum Wohnungsbau – Ab</w:t>
      </w:r>
      <w:r>
        <w:t>standsflächenrecht, Aufstockung, Dachgesch</w:t>
      </w:r>
      <w:r w:rsidR="00A546A2">
        <w:t>ossausbau, Umnutzung von Aufent</w:t>
      </w:r>
      <w:r>
        <w:t>haltsräumen in</w:t>
      </w:r>
      <w:r w:rsidR="00A546A2">
        <w:t xml:space="preserve"> Wohnraum und Typengenehmigung –</w:t>
      </w:r>
      <w:r>
        <w:t xml:space="preserve"> sind nach Einschätzung der Evalua</w:t>
      </w:r>
      <w:r w:rsidR="00B44A2A">
        <w:t>tionsteilnehmer nicht nur potenz</w:t>
      </w:r>
      <w:r>
        <w:t xml:space="preserve">iell </w:t>
      </w:r>
      <w:r w:rsidR="00A546A2">
        <w:t>geeignet, den Wohnungsbau zu be</w:t>
      </w:r>
      <w:r>
        <w:t>schleunigen.</w:t>
      </w:r>
    </w:p>
    <w:p w:rsidR="00230E2B" w:rsidRDefault="00230E2B" w:rsidP="00230E2B">
      <w:pPr>
        <w:pStyle w:val="LTAntwortRessortText"/>
      </w:pPr>
      <w:r>
        <w:t>Aus Sicht des Staatsministeriums für Wohnen, Bau und Verkehr besteht derzeit kein Anlass zur Nachsteuerung, da die Neuregelungen durch die Novelle ihre Ziele erreichen werden.</w:t>
      </w:r>
    </w:p>
    <w:p w:rsidR="00230E2B" w:rsidRDefault="00230E2B" w:rsidP="00230E2B">
      <w:pPr>
        <w:pStyle w:val="LTAntwortRessortText"/>
      </w:pPr>
      <w:r>
        <w:t>Eine Änderung der abstandsflächenrechtlichen Regelung für große Städte, die in der Evaluierung teilweise kritisiert wurden, beabsichtigt die Staatsregierung nicht. Die Regelung des Art. 6 Ab</w:t>
      </w:r>
      <w:r w:rsidR="00A546A2">
        <w:t>s.</w:t>
      </w:r>
      <w:r>
        <w:t xml:space="preserve"> 5a </w:t>
      </w:r>
      <w:r w:rsidR="00A546A2">
        <w:t xml:space="preserve">der </w:t>
      </w:r>
      <w:r>
        <w:t>BayBO trägt der besonderen Situation in den großen Städten Rechnung, wo die Abstände zwischen den Gebäuden häufig nicht durch Bebauungspläne, sondern eben allein durch das Abstandsflächenrecht bestimmt werden. Im Übrigen wird auf die Aus</w:t>
      </w:r>
      <w:r w:rsidR="00A546A2">
        <w:t>führungen in der Gesetzesbegrün</w:t>
      </w:r>
      <w:r>
        <w:t>dung (Dr</w:t>
      </w:r>
      <w:r w:rsidR="00A546A2">
        <w:t>s.</w:t>
      </w:r>
      <w:r>
        <w:t xml:space="preserve"> 18/8547 </w:t>
      </w:r>
      <w:r w:rsidR="00A546A2">
        <w:t>Seite</w:t>
      </w:r>
      <w:r>
        <w:t xml:space="preserve"> 14 f.) verwiesen.</w:t>
      </w:r>
    </w:p>
    <w:p w:rsidR="00230E2B" w:rsidRDefault="00230E2B" w:rsidP="00230E2B">
      <w:pPr>
        <w:pStyle w:val="LTAntwortRessortText"/>
      </w:pPr>
      <w:r>
        <w:t>Die Staatsregierung ist davon überzeugt, dass die BayBO-Novelle im Rahmen der Möglichkeiten, die der Landesgesetzgeber hat,</w:t>
      </w:r>
      <w:r w:rsidR="00A546A2">
        <w:t xml:space="preserve"> einen Beitrag zum kostengünsti</w:t>
      </w:r>
      <w:r>
        <w:t>gen Bauen leistet. Auch insofern wird auf die beiden Evaluierungsberichte Bezug genommen. Jede Regelung, die der Vereinfachung und/oder Beschleunigung dient, führt im Ergebnis auch dazu, dass eine Kostenersparnis eintritt.</w:t>
      </w:r>
    </w:p>
    <w:p w:rsidR="00230E2B" w:rsidRDefault="00230E2B" w:rsidP="00230E2B">
      <w:pPr>
        <w:pStyle w:val="LTAntwortRessortText"/>
      </w:pPr>
      <w:r>
        <w:t>Hierzu tragen bei:</w:t>
      </w:r>
    </w:p>
    <w:p w:rsidR="00230E2B" w:rsidRDefault="00230E2B" w:rsidP="009F365F">
      <w:pPr>
        <w:pStyle w:val="LTAntwortRessortText"/>
        <w:numPr>
          <w:ilvl w:val="0"/>
          <w:numId w:val="34"/>
        </w:numPr>
        <w:ind w:left="697" w:hanging="357"/>
      </w:pPr>
      <w:r>
        <w:lastRenderedPageBreak/>
        <w:t>Die Neuregelung in Art. 30 Ab</w:t>
      </w:r>
      <w:r w:rsidR="00A546A2">
        <w:t>s.</w:t>
      </w:r>
      <w:r>
        <w:t xml:space="preserve"> 5 Satz 2 Nr. 2 BayBO, die die Abstände bestimmter Photovoltaikanlagen und Solarthermieanlagen von Br</w:t>
      </w:r>
      <w:r w:rsidR="00A546A2">
        <w:t>andwänden verkürzt –</w:t>
      </w:r>
      <w:r>
        <w:t xml:space="preserve"> Vereinfachung.</w:t>
      </w:r>
    </w:p>
    <w:p w:rsidR="00230E2B" w:rsidRDefault="00230E2B" w:rsidP="009F365F">
      <w:pPr>
        <w:pStyle w:val="LTAntwortRessortText"/>
        <w:numPr>
          <w:ilvl w:val="0"/>
          <w:numId w:val="34"/>
        </w:numPr>
        <w:ind w:left="697" w:hanging="357"/>
      </w:pPr>
      <w:r>
        <w:t>Die Neuregelung über die Rettungswege in Art. 31 Ab</w:t>
      </w:r>
      <w:r w:rsidR="00A546A2">
        <w:t>s.</w:t>
      </w:r>
      <w:r>
        <w:t xml:space="preserve"> 1 Satz 2 BayBO. Danach entfällt der zweite bauliche Ret</w:t>
      </w:r>
      <w:r w:rsidR="00A546A2">
        <w:t>tungsweg bei zu ebener Erde lie</w:t>
      </w:r>
      <w:r>
        <w:t>genden Geschossen bis 400 m</w:t>
      </w:r>
      <w:r w:rsidRPr="00B44A2A">
        <w:rPr>
          <w:vertAlign w:val="superscript"/>
        </w:rPr>
        <w:t>2</w:t>
      </w:r>
      <w:r>
        <w:t>, wenn di</w:t>
      </w:r>
      <w:r w:rsidR="00A546A2">
        <w:t>eser aus der Nutzungseinheit un</w:t>
      </w:r>
      <w:r>
        <w:t>mitt</w:t>
      </w:r>
      <w:r w:rsidR="00A546A2">
        <w:t>elbar ins Freie führt –</w:t>
      </w:r>
      <w:r>
        <w:t xml:space="preserve"> Vereinfachung.</w:t>
      </w:r>
    </w:p>
    <w:p w:rsidR="00230E2B" w:rsidRDefault="00230E2B" w:rsidP="009F365F">
      <w:pPr>
        <w:pStyle w:val="LTAntwortRessortText"/>
        <w:numPr>
          <w:ilvl w:val="0"/>
          <w:numId w:val="34"/>
        </w:numPr>
        <w:ind w:left="697" w:hanging="357"/>
      </w:pPr>
      <w:r>
        <w:t>Die Neuregelung in Art. 37 Ab</w:t>
      </w:r>
      <w:r w:rsidR="00A546A2">
        <w:t>s.</w:t>
      </w:r>
      <w:r>
        <w:t xml:space="preserve"> 4 Sat</w:t>
      </w:r>
      <w:r w:rsidR="00A546A2">
        <w:t>z 5 BayBO, nach der die Aufzugs</w:t>
      </w:r>
      <w:r>
        <w:t>pflicht bei der Schaffung von Wohnraum durch Aufstockung entfällt, wenn die Anforderungen der Aufzugspflicht nur mit unverhältnismäßig hohem Au</w:t>
      </w:r>
      <w:r w:rsidR="00A546A2">
        <w:t>fwand erfüllt werden können –</w:t>
      </w:r>
      <w:r>
        <w:t xml:space="preserve"> Vereinfachung.</w:t>
      </w:r>
    </w:p>
    <w:p w:rsidR="00230E2B" w:rsidRDefault="00230E2B" w:rsidP="009F365F">
      <w:pPr>
        <w:pStyle w:val="LTAntwortRessortText"/>
        <w:numPr>
          <w:ilvl w:val="0"/>
          <w:numId w:val="34"/>
        </w:numPr>
        <w:ind w:left="697" w:hanging="357"/>
      </w:pPr>
      <w:r>
        <w:t>Die Neuregelung in Art. 46 Ab</w:t>
      </w:r>
      <w:r w:rsidR="00A546A2">
        <w:t>s.</w:t>
      </w:r>
      <w:r>
        <w:t xml:space="preserve"> 5 BayB</w:t>
      </w:r>
      <w:r w:rsidR="00A546A2">
        <w:t>O, nach der bei Nutzungsänderun</w:t>
      </w:r>
      <w:r>
        <w:t>gen in Wohnraum bestimmte bauaufsich</w:t>
      </w:r>
      <w:r w:rsidR="00A546A2">
        <w:t>tliche Anforderungen entfallen –</w:t>
      </w:r>
      <w:r>
        <w:t xml:space="preserve"> Vereinfachung und Beschleunigung.</w:t>
      </w:r>
    </w:p>
    <w:p w:rsidR="00230E2B" w:rsidRDefault="00230E2B" w:rsidP="009F365F">
      <w:pPr>
        <w:pStyle w:val="LTAntwortRessortText"/>
        <w:numPr>
          <w:ilvl w:val="0"/>
          <w:numId w:val="34"/>
        </w:numPr>
        <w:ind w:left="697" w:hanging="357"/>
      </w:pPr>
      <w:r>
        <w:t>Die Regelung zur Verfahrensfreiheit von Elektroladestationen in Art. 57 Ab</w:t>
      </w:r>
      <w:r w:rsidR="00A546A2">
        <w:t>s. 1 Nr. 16 Buchst. b) BayBO –</w:t>
      </w:r>
      <w:r>
        <w:t xml:space="preserve"> Vereinfachung.</w:t>
      </w:r>
    </w:p>
    <w:p w:rsidR="00230E2B" w:rsidRDefault="00230E2B" w:rsidP="009F365F">
      <w:pPr>
        <w:pStyle w:val="LTAntwortRessortText"/>
        <w:numPr>
          <w:ilvl w:val="0"/>
          <w:numId w:val="34"/>
        </w:numPr>
        <w:ind w:left="697" w:hanging="357"/>
      </w:pPr>
      <w:r>
        <w:t>Die Regelung, die die Änderung und N</w:t>
      </w:r>
      <w:r w:rsidR="00A546A2">
        <w:t>utzungsänderung von Dachgeschos</w:t>
      </w:r>
      <w:r>
        <w:t>sen zu Wohnzwecken einschließlich d</w:t>
      </w:r>
      <w:r w:rsidR="00A546A2">
        <w:t>es Einbaus von Dachgauben im un</w:t>
      </w:r>
      <w:r>
        <w:t>beplanten Innenbereich (§ 3</w:t>
      </w:r>
      <w:r w:rsidR="00A546A2">
        <w:t>4 Baugesetzbuch – BauGB) dem Genehmi</w:t>
      </w:r>
      <w:r>
        <w:t>gungsfrei</w:t>
      </w:r>
      <w:r w:rsidR="00B44A2A">
        <w:t>stellungsverfahren zuweist, Art.</w:t>
      </w:r>
      <w:r>
        <w:t xml:space="preserve"> 58 Ab</w:t>
      </w:r>
      <w:r w:rsidR="00A546A2">
        <w:t>s. 2 BayBO. Im Genehmi</w:t>
      </w:r>
      <w:r>
        <w:t>gungsfreistellungsverfahren kann vier W</w:t>
      </w:r>
      <w:r w:rsidR="00A546A2">
        <w:t>ochen nach Vorlage der vollstän</w:t>
      </w:r>
      <w:r>
        <w:t xml:space="preserve">digen Unterlagen bei der Gemeinde mit </w:t>
      </w:r>
      <w:r w:rsidR="00A546A2">
        <w:t>der Ausführung des Vorhabens be</w:t>
      </w:r>
      <w:r>
        <w:t>gonnen werden, wenn d</w:t>
      </w:r>
      <w:r w:rsidR="00A546A2">
        <w:t>ie Gemeinde nicht widerspricht –</w:t>
      </w:r>
      <w:r>
        <w:t xml:space="preserve"> Vereinfachung und Beschleunigung.</w:t>
      </w:r>
    </w:p>
    <w:p w:rsidR="00230E2B" w:rsidRDefault="00230E2B" w:rsidP="009F365F">
      <w:pPr>
        <w:pStyle w:val="LTAntwortRessortText"/>
        <w:numPr>
          <w:ilvl w:val="0"/>
          <w:numId w:val="34"/>
        </w:numPr>
        <w:ind w:left="697" w:hanging="357"/>
      </w:pPr>
      <w:r>
        <w:t>Die Regelung in Art. 63 Ab</w:t>
      </w:r>
      <w:r w:rsidR="00A546A2">
        <w:t>s.</w:t>
      </w:r>
      <w:r>
        <w:t xml:space="preserve"> 1 Satz 2, nach der Bestandsgebäude, die legal die Abstandsflächen nicht einhalten, d</w:t>
      </w:r>
      <w:r w:rsidR="00A546A2">
        <w:t>urch Wohngebäude höchstens glei</w:t>
      </w:r>
      <w:r>
        <w:t xml:space="preserve">cher Abmessung ersetzt </w:t>
      </w:r>
      <w:r w:rsidR="00A546A2">
        <w:t xml:space="preserve">werden dürfen – </w:t>
      </w:r>
      <w:r>
        <w:t>Vereinfachung.</w:t>
      </w:r>
    </w:p>
    <w:p w:rsidR="00230E2B" w:rsidRDefault="00230E2B" w:rsidP="009F365F">
      <w:pPr>
        <w:pStyle w:val="LTAntwortRessortText"/>
        <w:numPr>
          <w:ilvl w:val="0"/>
          <w:numId w:val="34"/>
        </w:numPr>
        <w:ind w:left="697" w:hanging="357"/>
      </w:pPr>
      <w:r>
        <w:t>Die Regelung über die vereinfachte Nac</w:t>
      </w:r>
      <w:r w:rsidR="00A546A2">
        <w:t>hbarbeteiligung, Art. 66 BayBO –</w:t>
      </w:r>
      <w:r>
        <w:t xml:space="preserve"> Vereinfachung.</w:t>
      </w:r>
    </w:p>
    <w:p w:rsidR="00230E2B" w:rsidRDefault="00230E2B" w:rsidP="009F365F">
      <w:pPr>
        <w:pStyle w:val="LTAntwortRessortText"/>
        <w:numPr>
          <w:ilvl w:val="0"/>
          <w:numId w:val="34"/>
        </w:numPr>
        <w:ind w:left="697" w:hanging="357"/>
      </w:pPr>
      <w:r>
        <w:t>Die Regelung über die Genehm</w:t>
      </w:r>
      <w:r w:rsidR="00A546A2">
        <w:t>igungsfiktion in Art. 68 BayBO –</w:t>
      </w:r>
      <w:r>
        <w:t xml:space="preserve"> Vereinfa-chung.</w:t>
      </w:r>
    </w:p>
    <w:p w:rsidR="00230E2B" w:rsidRDefault="00230E2B" w:rsidP="009F365F">
      <w:pPr>
        <w:pStyle w:val="LTAntwortRessortText"/>
        <w:numPr>
          <w:ilvl w:val="0"/>
          <w:numId w:val="34"/>
        </w:numPr>
        <w:ind w:left="697" w:hanging="357"/>
      </w:pPr>
      <w:r>
        <w:t>Die Regelung über die Typengenehmigung in Art. 73 a BayB</w:t>
      </w:r>
      <w:r w:rsidR="00A546A2">
        <w:t>O –</w:t>
      </w:r>
      <w:r>
        <w:t xml:space="preserve"> Vereinfa-chung.</w:t>
      </w:r>
    </w:p>
    <w:p w:rsidR="00230E2B" w:rsidRDefault="00230E2B">
      <w:bookmarkStart w:id="36" w:name="Frage_Nr_17_Ende"/>
      <w:bookmarkEnd w:id="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230E2B" w:rsidTr="007B0B33">
        <w:tc>
          <w:tcPr>
            <w:tcW w:w="2050" w:type="dxa"/>
          </w:tcPr>
          <w:p w:rsidR="00230E2B" w:rsidRDefault="00230E2B" w:rsidP="00230E2B">
            <w:pPr>
              <w:pStyle w:val="LTAnfrageInitiator"/>
            </w:pPr>
            <w:r>
              <w:lastRenderedPageBreak/>
              <w:t>Abgeordneter</w:t>
            </w:r>
            <w:r>
              <w:rPr>
                <w:b/>
              </w:rPr>
              <w:br/>
              <w:t>Tim</w:t>
            </w:r>
            <w:r>
              <w:rPr>
                <w:b/>
              </w:rPr>
              <w:br/>
              <w:t>Pargent</w:t>
            </w:r>
            <w:r>
              <w:rPr>
                <w:b/>
              </w:rPr>
              <w:br/>
            </w:r>
            <w:r>
              <w:t>(BÜNDNIS 90/DIE GRÜNEN)</w:t>
            </w:r>
            <w:bookmarkStart w:id="37" w:name="Frage_Nr_18"/>
            <w:bookmarkEnd w:id="37"/>
          </w:p>
        </w:tc>
        <w:tc>
          <w:tcPr>
            <w:tcW w:w="7200" w:type="dxa"/>
          </w:tcPr>
          <w:p w:rsidR="00230E2B" w:rsidRDefault="00A903E1" w:rsidP="00230E2B">
            <w:pPr>
              <w:pStyle w:val="LTAnfrageText"/>
            </w:pPr>
            <w:r w:rsidRPr="00A903E1">
              <w:rPr>
                <w:szCs w:val="24"/>
              </w:rPr>
              <w:t>Ich frage die Staatsregierung, wie ist der aktuelle Planungstand (insb. Zeit- und Projektplan) für das Projekt mit 350 geplanten Wohnungen der BayernHeim GmbH in Bayreuth (ehemalige Röhrenseekaserne/Ludwig-Thoma-Straße), kann der avisierte Baubeginn im Frühjahr 2022 eingehalten werden und wenn nein, warum nicht?</w:t>
            </w:r>
          </w:p>
        </w:tc>
      </w:tr>
    </w:tbl>
    <w:p w:rsidR="00230E2B" w:rsidRDefault="00230E2B" w:rsidP="00230E2B">
      <w:pPr>
        <w:pStyle w:val="LTUeberschrAntwortRessort"/>
      </w:pPr>
      <w:r>
        <w:t>Antwort des Staatsministeriums für Wohnen, Bau und Verkehr</w:t>
      </w:r>
    </w:p>
    <w:p w:rsidR="00230E2B" w:rsidRDefault="00230E2B" w:rsidP="00230E2B">
      <w:pPr>
        <w:pStyle w:val="LTAntwortRessortText"/>
      </w:pPr>
      <w:r>
        <w:t>Die Stadt Bayreuth überplant derzeit im Rahmen ihrer kommunalen</w:t>
      </w:r>
      <w:r w:rsidR="00C91429">
        <w:t xml:space="preserve"> Planungsho</w:t>
      </w:r>
      <w:r>
        <w:t>heit das Gesamtgelände im beschleunigten Bebauungsplanverfahren nach § 13a Baugesetzbuch (BauGB), um das notwendige Baurecht zu schaffen.</w:t>
      </w:r>
    </w:p>
    <w:p w:rsidR="00230E2B" w:rsidRDefault="00230E2B" w:rsidP="00230E2B">
      <w:pPr>
        <w:pStyle w:val="LTAntwortRessortText"/>
      </w:pPr>
      <w:r>
        <w:t>Sofern bei der öffentlichen Auslegung des Bebauungsplans keine Einwendungen geltend gemacht werden, geht die Stadt von ein</w:t>
      </w:r>
      <w:r w:rsidR="00C91429">
        <w:t>er Planreife nach § 33 BauGB et</w:t>
      </w:r>
      <w:r>
        <w:t>wa Mitte 2022 au</w:t>
      </w:r>
      <w:r w:rsidR="00C91429">
        <w:t>s.</w:t>
      </w:r>
      <w:r>
        <w:t xml:space="preserve"> Sodann wird die Bay</w:t>
      </w:r>
      <w:r w:rsidR="00C91429">
        <w:t>ernHeim GmbH umgehend den Bauan</w:t>
      </w:r>
      <w:r>
        <w:t>trag für die Wohnungsbaumaßnahme bei der St</w:t>
      </w:r>
      <w:r w:rsidR="00C91429">
        <w:t>adt Bayreuth einreichen. Die Ge</w:t>
      </w:r>
      <w:r>
        <w:t>nehmigungsplanung wird parallel zum Bebauungsplanverfahren i</w:t>
      </w:r>
      <w:r w:rsidR="00C91429">
        <w:t>n steter Ab</w:t>
      </w:r>
      <w:r>
        <w:t>stimmung mit der Stadt Bayreuth vorangetrieben.</w:t>
      </w:r>
    </w:p>
    <w:p w:rsidR="00230E2B" w:rsidRDefault="00230E2B" w:rsidP="00230E2B">
      <w:pPr>
        <w:pStyle w:val="LTAntwortRessortText"/>
      </w:pPr>
      <w:r>
        <w:t>Geplanter Baubeginn des 1. Bauabschnitts wär</w:t>
      </w:r>
      <w:r w:rsidR="00C91429">
        <w:t>e für diesen Fall Ende 2022, vo</w:t>
      </w:r>
      <w:r>
        <w:t>raussichtlicher Fertigstellungstermin Ende 2024. Die Gesamtfertigstellung ist für 2028 geplant.</w:t>
      </w:r>
    </w:p>
    <w:p w:rsidR="00230E2B" w:rsidRDefault="00230E2B">
      <w:bookmarkStart w:id="38" w:name="Frage_Nr_18_Ende"/>
      <w:bookmarkEnd w:id="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230E2B" w:rsidTr="007B0B33">
        <w:tc>
          <w:tcPr>
            <w:tcW w:w="2050" w:type="dxa"/>
          </w:tcPr>
          <w:p w:rsidR="00230E2B" w:rsidRDefault="00230E2B" w:rsidP="00230E2B">
            <w:pPr>
              <w:pStyle w:val="LTAnfrageInitiator"/>
            </w:pPr>
            <w:r>
              <w:lastRenderedPageBreak/>
              <w:t>Abgeordneter</w:t>
            </w:r>
            <w:r>
              <w:rPr>
                <w:b/>
              </w:rPr>
              <w:br/>
              <w:t>Markus</w:t>
            </w:r>
            <w:r>
              <w:rPr>
                <w:b/>
              </w:rPr>
              <w:br/>
              <w:t>Rinderspacher</w:t>
            </w:r>
            <w:r>
              <w:rPr>
                <w:b/>
              </w:rPr>
              <w:br/>
            </w:r>
            <w:r>
              <w:t>(SPD)</w:t>
            </w:r>
            <w:bookmarkStart w:id="39" w:name="Frage_Nr_19"/>
            <w:bookmarkEnd w:id="39"/>
          </w:p>
        </w:tc>
        <w:tc>
          <w:tcPr>
            <w:tcW w:w="7200" w:type="dxa"/>
          </w:tcPr>
          <w:p w:rsidR="00230E2B" w:rsidRDefault="00A903E1" w:rsidP="00230E2B">
            <w:pPr>
              <w:pStyle w:val="LTAnfrageText"/>
            </w:pPr>
            <w:r w:rsidRPr="00A903E1">
              <w:rPr>
                <w:szCs w:val="24"/>
              </w:rPr>
              <w:t>Ich frage die Staatsregierung, wie viele Weichenstörungen es in den Jahren 2020 und 2021 im Netz der S-Bahn München gab (bitte Angabe nach aufgeschlüsselt Jahren und der Netzbezirke), welcher Betriebsausfall in Stunden war damit verbunden (bitte Angabe nach aufgeschlüsselt Jahren und der Netzbezirke), welche Weichen wurden in den Jahren 2020 und 2021 erneuert (bitte jeweils nach Jahren mit Angabe der Netzbezirke und Kosten)?</w:t>
            </w:r>
          </w:p>
        </w:tc>
      </w:tr>
    </w:tbl>
    <w:p w:rsidR="00230E2B" w:rsidRDefault="00230E2B" w:rsidP="00230E2B">
      <w:pPr>
        <w:pStyle w:val="LTUeberschrAntwortRessort"/>
      </w:pPr>
      <w:r>
        <w:t>Antwort des Staatsministeriums für Wohnen, Bau und Verkehr</w:t>
      </w:r>
    </w:p>
    <w:p w:rsidR="00230E2B" w:rsidRDefault="00230E2B" w:rsidP="00230E2B">
      <w:pPr>
        <w:pStyle w:val="LTAntwortRessortText"/>
      </w:pPr>
      <w:r>
        <w:t>Die Anzahl der Weichenstörungen bei der S-Bahn München kann durch die Deutsche Bahn nicht kurzfristig zur Verfügung g</w:t>
      </w:r>
      <w:r w:rsidR="006D4F42">
        <w:t>estellt werden, da diese Störun</w:t>
      </w:r>
      <w:r>
        <w:t>gen nach Strecken, aber nicht nach Verkehrsnetzen erfasst werden. Da viele S-Bahn-Strecken sowohl vom Regional-, Fern- und Güterverkehr wie von der S-Bahn befahren werden, ist eine vollständige Schlüsselung dieser Störungen im Nachhinein nicht möglich.</w:t>
      </w:r>
    </w:p>
    <w:p w:rsidR="00230E2B" w:rsidRDefault="00230E2B" w:rsidP="00230E2B">
      <w:pPr>
        <w:pStyle w:val="LTAntwortRessortText"/>
      </w:pPr>
      <w:r>
        <w:t xml:space="preserve">Nach Aussage der Deutschen Bahn entstehen bei S-Bahn-Zügen </w:t>
      </w:r>
      <w:r w:rsidR="006D4F42">
        <w:t>pro Jahr grob geschätzt etwa 10 </w:t>
      </w:r>
      <w:r>
        <w:t>000 Verspätungsminuten dur</w:t>
      </w:r>
      <w:r w:rsidR="006D4F42">
        <w:t>ch gestörte Weichen. Dies bedeu</w:t>
      </w:r>
      <w:r>
        <w:t>tet, dass die S-Bahn-Züge in München in Summe um etwa 30 Minuten pro Tag aufgrund gestörter Weichen warten müssen. Diese Werte beinhalten nur reine Weichenstörungen, keine anderen Störungen der sogenannten Leit- und S</w:t>
      </w:r>
      <w:r w:rsidR="00B77EFA">
        <w:t>iche</w:t>
      </w:r>
      <w:r>
        <w:t>rungstechnik. Zur Einordnung: täglich fahren mehr als 1</w:t>
      </w:r>
      <w:r w:rsidR="006D4F42">
        <w:t> </w:t>
      </w:r>
      <w:r>
        <w:t>000 Züge bei der S-Bahn München.</w:t>
      </w:r>
    </w:p>
    <w:p w:rsidR="00230E2B" w:rsidRDefault="00230E2B" w:rsidP="00230E2B">
      <w:pPr>
        <w:pStyle w:val="LTAntwortRessortText"/>
      </w:pPr>
      <w:r>
        <w:t>Eine Zusammenstellung der erneuerten Weichen wird aufgrund der kurzen Frist nachgereicht.</w:t>
      </w:r>
    </w:p>
    <w:p w:rsidR="00230E2B" w:rsidRDefault="00230E2B">
      <w:bookmarkStart w:id="40" w:name="Frage_Nr_19_Ende"/>
      <w:bookmarkEnd w:id="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8"/>
        <w:gridCol w:w="5758"/>
      </w:tblGrid>
      <w:tr w:rsidR="00230E2B" w:rsidTr="007B0B33">
        <w:tc>
          <w:tcPr>
            <w:tcW w:w="2050" w:type="dxa"/>
          </w:tcPr>
          <w:p w:rsidR="00230E2B" w:rsidRDefault="00230E2B" w:rsidP="00230E2B">
            <w:pPr>
              <w:pStyle w:val="LTAnfrageInitiator"/>
            </w:pPr>
            <w:r>
              <w:lastRenderedPageBreak/>
              <w:t>Abgeordnete</w:t>
            </w:r>
            <w:r>
              <w:rPr>
                <w:b/>
              </w:rPr>
              <w:br/>
              <w:t>Dr. Sabine</w:t>
            </w:r>
            <w:r>
              <w:rPr>
                <w:b/>
              </w:rPr>
              <w:br/>
              <w:t>Weigand</w:t>
            </w:r>
            <w:r>
              <w:rPr>
                <w:b/>
              </w:rPr>
              <w:br/>
            </w:r>
            <w:r>
              <w:t>(BÜNDNIS 90/DIE GRÜNEN)</w:t>
            </w:r>
            <w:bookmarkStart w:id="41" w:name="Frage_Nr_20"/>
            <w:bookmarkEnd w:id="41"/>
          </w:p>
        </w:tc>
        <w:tc>
          <w:tcPr>
            <w:tcW w:w="7200" w:type="dxa"/>
          </w:tcPr>
          <w:p w:rsidR="00230E2B" w:rsidRDefault="00E54DB2" w:rsidP="00230E2B">
            <w:pPr>
              <w:pStyle w:val="LTAnfrageText"/>
            </w:pPr>
            <w:r w:rsidRPr="00E54DB2">
              <w:rPr>
                <w:szCs w:val="24"/>
              </w:rPr>
              <w:t>Ich frage die Staatsregierung, ob ihr über den Zustand der denkmalgeschützten Gebäude (Schmiede, Maschinenhaus, Garage), insbesondere der Dächer, im KZ-Steinbruch „Wurmstein“ in Flossenbürg eine Einschätzung des Landesamt für Denkmalpflege (BLfD) vor liegt, wenn nein, warum nicht und wie plant sie diese Denkmale nachhaltig vor dem Verfall zu schützen?</w:t>
            </w:r>
          </w:p>
        </w:tc>
      </w:tr>
    </w:tbl>
    <w:p w:rsidR="00230E2B" w:rsidRDefault="00230E2B" w:rsidP="00230E2B">
      <w:pPr>
        <w:pStyle w:val="LTUeberschrAntwortRessort"/>
      </w:pPr>
      <w:r>
        <w:t>Antwort des Staatsministeriums für Wohnen, Bau und Verkehr</w:t>
      </w:r>
    </w:p>
    <w:p w:rsidR="00230E2B" w:rsidRDefault="00230E2B" w:rsidP="00230E2B">
      <w:pPr>
        <w:pStyle w:val="LTAntwortRessortText"/>
      </w:pPr>
      <w:r>
        <w:t xml:space="preserve">Die denkmalgeschützten Gebäude sind als Teil </w:t>
      </w:r>
      <w:r w:rsidR="00A169AA">
        <w:t>der verpachteten Grundstücke ak</w:t>
      </w:r>
      <w:r>
        <w:t>tuell noch bis 31.12.2025 verpachtet und sollen nach Ablauf des Pachtvertrages an die Stiftung Bayerische Gedenkstätten zur Integration in die Gedenkstätte übertragen werden. Derzeit wird hierzu ein Nutzungskonzept für das Areal des ehemaligen KZ-Steinbruchs durch eine Arbeitsgruppe unter der Federführung der Gedenkstätte Flossenbürg und unter Beteiligun</w:t>
      </w:r>
      <w:r w:rsidR="00A169AA">
        <w:t>g des Staatsministeriums für Un</w:t>
      </w:r>
      <w:r>
        <w:t>terricht und Kultus erarbeitet.</w:t>
      </w:r>
    </w:p>
    <w:p w:rsidR="00230E2B" w:rsidRDefault="00230E2B" w:rsidP="00230E2B">
      <w:pPr>
        <w:pStyle w:val="LTAntwortRessortText"/>
      </w:pPr>
      <w:r>
        <w:t>Die durch den Pächter genutzten Gebäude befi</w:t>
      </w:r>
      <w:r w:rsidR="00A169AA">
        <w:t>nden sich in einem nutzbaren Zu</w:t>
      </w:r>
      <w:r>
        <w:t>stand und werden aufgrund vertraglicher Verpflichtungen erhalten. Die Gebäude sollen nach Ablauf des</w:t>
      </w:r>
      <w:r w:rsidR="00A169AA">
        <w:t xml:space="preserve"> Pachtvertrages im Sinne des o. g. Nutzungskonzepts nut</w:t>
      </w:r>
      <w:r>
        <w:t>zerspezifisch ertüchtigt werden. Das BLfD kann das Schadensbild derzeit leider nicht präzisieren, weil die Gebäude</w:t>
      </w:r>
      <w:r w:rsidR="005831BE">
        <w:t xml:space="preserve"> </w:t>
      </w:r>
      <w:r>
        <w:t>bislang nur von außen besichtigt werden konnten, hat aber angeboten, dass es bei dringend notwendigen Restaurierungs- und Instandsetzungsfragen gerne beratend zur Verfügung steht.</w:t>
      </w:r>
    </w:p>
    <w:p w:rsidR="00230E2B" w:rsidRDefault="00230E2B" w:rsidP="00230E2B">
      <w:pPr>
        <w:pStyle w:val="LTAntwortRessortText"/>
      </w:pPr>
      <w:r>
        <w:t>Gebäude wie die Schlosserei und das Trafogebäud</w:t>
      </w:r>
      <w:r w:rsidR="00A169AA">
        <w:t>e, die in ihrer Substanz gefähr</w:t>
      </w:r>
      <w:r>
        <w:t>det waren, wurden in den letzten Jahren so weit g</w:t>
      </w:r>
      <w:r w:rsidR="00A169AA">
        <w:t>esichert, dass ein weiterer Ver</w:t>
      </w:r>
      <w:r>
        <w:t>fall verhindert wird. Hierbei war das BLfD stets eingebunden.</w:t>
      </w:r>
    </w:p>
    <w:p w:rsidR="00230E2B" w:rsidRDefault="00230E2B" w:rsidP="00230E2B">
      <w:pPr>
        <w:pStyle w:val="LTAntwortRessortText"/>
      </w:pPr>
      <w:r>
        <w:t>Maßnahmen außerhalb der reinen Substanzerhaltung erscheinen aufgrund der zukünftig geplanten Nutzung durch die Gedenkstätte wirtschaftlich nicht sinnvoll, da diese aller Voraussicht nach wieder rückgebaut werden müssten</w:t>
      </w:r>
      <w:r w:rsidR="00A169AA">
        <w:t>.</w:t>
      </w:r>
    </w:p>
    <w:p w:rsidR="00230E2B" w:rsidRDefault="00230E2B">
      <w:bookmarkStart w:id="42" w:name="Frage_Nr_20_Ende"/>
      <w:bookmarkEnd w:id="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1"/>
        <w:gridCol w:w="5765"/>
      </w:tblGrid>
      <w:tr w:rsidR="00230E2B" w:rsidTr="007B0B33">
        <w:tc>
          <w:tcPr>
            <w:tcW w:w="2050" w:type="dxa"/>
          </w:tcPr>
          <w:p w:rsidR="00230E2B" w:rsidRDefault="00230E2B" w:rsidP="00230E2B">
            <w:pPr>
              <w:pStyle w:val="LTAnfrageInitiator"/>
            </w:pPr>
            <w:r>
              <w:lastRenderedPageBreak/>
              <w:t>Abgeordneter</w:t>
            </w:r>
            <w:r>
              <w:rPr>
                <w:b/>
              </w:rPr>
              <w:br/>
              <w:t>Christian</w:t>
            </w:r>
            <w:r>
              <w:rPr>
                <w:b/>
              </w:rPr>
              <w:br/>
              <w:t>Zwanziger</w:t>
            </w:r>
            <w:r>
              <w:rPr>
                <w:b/>
              </w:rPr>
              <w:br/>
            </w:r>
            <w:r>
              <w:t>(BÜNDNIS 90/DIE GRÜNEN)</w:t>
            </w:r>
            <w:bookmarkStart w:id="43" w:name="Frage_Nr_21"/>
            <w:bookmarkEnd w:id="43"/>
          </w:p>
        </w:tc>
        <w:tc>
          <w:tcPr>
            <w:tcW w:w="7200" w:type="dxa"/>
          </w:tcPr>
          <w:p w:rsidR="00230E2B" w:rsidRDefault="00835077" w:rsidP="00230E2B">
            <w:pPr>
              <w:pStyle w:val="LTAnfrageText"/>
            </w:pPr>
            <w:r w:rsidRPr="00835077">
              <w:rPr>
                <w:szCs w:val="24"/>
              </w:rPr>
              <w:t>Nachdem eine Studie im Auftrag des Verkehrsverbunds Großraum Nürnberg (VGN) zur Einführung eines 365-Euro-Tickets für alle die Diskussionen über eine gerechte Finanzierung des Öffentlichen Personalnahverkehrs (ÖPNV) in der Metropolregion befeuert, frage ich die Staatsregierung, welche Schlüsse sie aus den Erkenntnissen der Studie bezüglich der im Koalitionsvertrag vereinbarten Einführung von 365-Euro-Tickets zieht, welchen Anteil der Kosten der Einführung von 365-Euro-Tickets für Alle in Ballungsräumen, speziell im Bereich Nürnberg/Fürth/Erlangen, welchen Anteil aus ihrer Sicht der Freistaat übernehmen müsste (bitte auch auf Maßnahmen zur Steigerung der Attraktivität des ÖPNV im VGN eingehen, wie mehr Schienenregionalverkehr, mehr Mittel für die Kommunen, Anreize für Beschäftigte, insbesondere die des Freistaates selbst, den ÖPNV zu nutzen, die Staatsregierung bis 2023 auf den Weg bringt)?</w:t>
            </w:r>
          </w:p>
        </w:tc>
      </w:tr>
    </w:tbl>
    <w:p w:rsidR="00230E2B" w:rsidRDefault="00230E2B" w:rsidP="00230E2B">
      <w:pPr>
        <w:pStyle w:val="LTUeberschrAntwortRessort"/>
      </w:pPr>
      <w:r>
        <w:t>Antwort des Staatsministeriums für Wohnen, Bau und Verkehr</w:t>
      </w:r>
    </w:p>
    <w:p w:rsidR="00230E2B" w:rsidRDefault="00230E2B" w:rsidP="00230E2B">
      <w:pPr>
        <w:pStyle w:val="LTAntwortRessortText"/>
      </w:pPr>
      <w:r>
        <w:t>Das angesprochene Gutachten des Verkehrsverbunds Großraum Nürnberg (VGN) zu einem 365-Euro-Ticket für alle im VGN weist unter den zugrundeliegenden Annahmen ein schlechtes Kosten-Nutzen-Verhältnis au</w:t>
      </w:r>
      <w:r w:rsidR="000D4D79">
        <w:t>s</w:t>
      </w:r>
      <w:r w:rsidR="00C65EA9">
        <w:t>.</w:t>
      </w:r>
      <w:r>
        <w:t xml:space="preserve"> Das Ticket sollte nach Empfehlungen des Gutachters vorerst vor einer v</w:t>
      </w:r>
      <w:r w:rsidR="000D4D79">
        <w:t>orrangigen generellen Investiti</w:t>
      </w:r>
      <w:r>
        <w:t>on in die Verbesserung des ÖPNV-Angebots in der Region zurückstehen.</w:t>
      </w:r>
    </w:p>
    <w:p w:rsidR="00230E2B" w:rsidRDefault="00230E2B" w:rsidP="00230E2B">
      <w:pPr>
        <w:pStyle w:val="LTAntwortRessortText"/>
      </w:pPr>
      <w:r>
        <w:t xml:space="preserve">Die Strategie der Staatsregierung sieht vor, das </w:t>
      </w:r>
      <w:r w:rsidR="000D4D79">
        <w:t>365-Euro-Ticket stufenweise ein</w:t>
      </w:r>
      <w:r>
        <w:t>zuführen. Der Freistaat hat zunächst zu</w:t>
      </w:r>
      <w:r w:rsidR="000D4D79">
        <w:t>sammen mit den Kommunen und Ver</w:t>
      </w:r>
      <w:r>
        <w:t>kehrsunternehmen vor Ort in den im Koalitionsvertrag genannten sechs Regionen die Einführung des 365-Euro-Tickets für Sch</w:t>
      </w:r>
      <w:r w:rsidR="000D4D79">
        <w:t>ülerinnen, Schüler und Auszubil</w:t>
      </w:r>
      <w:r>
        <w:t>dende ermöglicht. Im nächsten Schritt erfolgt ab Herbst/Winter 2023/2024 die Evaluierung der Ticket</w:t>
      </w:r>
      <w:r w:rsidR="000D4D79">
        <w:t>s</w:t>
      </w:r>
      <w:r w:rsidR="00C65EA9">
        <w:t>.</w:t>
      </w:r>
      <w:r>
        <w:t xml:space="preserve"> Hier werden die bishe</w:t>
      </w:r>
      <w:r w:rsidR="000D4D79">
        <w:t>rigen Erfahrungen sowie verkehr</w:t>
      </w:r>
      <w:r>
        <w:t>liche Auswirkungen des Tickets untersucht und die Ausweitung auf weitere Räume und Berechtigtengruppen geprüft.</w:t>
      </w:r>
      <w:r w:rsidR="002D3BFE">
        <w:t xml:space="preserve"> </w:t>
      </w:r>
      <w:r>
        <w:t>Die Studie des VGN bezieht sich auf einen Teilber</w:t>
      </w:r>
      <w:r w:rsidR="000D4D79">
        <w:t>eich des Freistaates und ist da</w:t>
      </w:r>
      <w:r>
        <w:t>her in Teilen für weitere Überlegungen heranzuziehen, aber insgesamt nicht unmittelbar auf den gesamten Freistaat übertragba</w:t>
      </w:r>
      <w:r w:rsidR="000D4D79">
        <w:t>r. So sind verschiedene Sachver</w:t>
      </w:r>
      <w:r>
        <w:t>halte, etwa der Tarifsprung an der Verbundgren</w:t>
      </w:r>
      <w:r w:rsidR="000D4D79">
        <w:t>ze, bei einem landesweiten Ange</w:t>
      </w:r>
      <w:r>
        <w:t>bot differenziert zu bewerten.</w:t>
      </w:r>
      <w:r w:rsidR="002D3BFE">
        <w:t xml:space="preserve"> </w:t>
      </w:r>
      <w:r>
        <w:t>Zudem wird es für eine Ausweitung des 365-Eur</w:t>
      </w:r>
      <w:r w:rsidR="000D4D79">
        <w:t>o Tickets, egal in welcher Trag</w:t>
      </w:r>
      <w:r>
        <w:t>weite, auch auf eine auskömmliche Unterstü</w:t>
      </w:r>
      <w:r w:rsidR="000D4D79">
        <w:t>tzung durch den Bund für den ge</w:t>
      </w:r>
      <w:r>
        <w:t xml:space="preserve">samten öffentlichen Personennahverkehr (ÖPNV) ankommen. Nach einer bislang noch nicht vorliegenden Zusage des Bundes </w:t>
      </w:r>
      <w:r w:rsidR="000D4D79">
        <w:t>kann ggf. eine nochmalige Bewer</w:t>
      </w:r>
      <w:r>
        <w:t>tung der angesprochenen Kostentragung erfolgen.</w:t>
      </w:r>
    </w:p>
    <w:p w:rsidR="00230E2B" w:rsidRDefault="00230E2B" w:rsidP="00230E2B">
      <w:pPr>
        <w:pStyle w:val="LTAntwortRessortText"/>
      </w:pPr>
      <w:r>
        <w:t>Der allgemeine ÖPNV ist eine freiwillige Aufgabe der Landkreise und kreisfreien Städte. Der Freistaat unterstützt die Kommunen massiv, insbesondere mit dem kommunalen Finanzausgleich. Vorbehaltlich der Beschlussfassung durch den Landtag bewegt sich dieser trotz krisenbedingt angespannter Haus</w:t>
      </w:r>
      <w:r w:rsidR="000D4D79">
        <w:t>haltslage im Jahr </w:t>
      </w:r>
      <w:r>
        <w:t>2022 auf einem Spitzenniveau von 10,56 Milliarden Euro. Der weitaus größte Teil des kommunalen Finanzausgleichs (rund 80 Pr</w:t>
      </w:r>
      <w:r w:rsidR="007D5900">
        <w:t>ozent der rei</w:t>
      </w:r>
      <w:r>
        <w:t>nen Landesleistungen des kommunalen Finanzausgleichs) wird den Kommunen als nicht zweckge</w:t>
      </w:r>
      <w:r>
        <w:lastRenderedPageBreak/>
        <w:t>bundene allgemeine Deckungsmittel zur Verfügung gestellt. Innerhalb und außerhalb des kommunalen Finanz</w:t>
      </w:r>
      <w:r w:rsidR="007D5900">
        <w:t>ausgleichs belaufen sich die Ge</w:t>
      </w:r>
      <w:r>
        <w:t>samtleistungen des Freistaats an die Kommunen im Jahr 2022 sogar auf fast 20 Milliarden Euro.</w:t>
      </w:r>
    </w:p>
    <w:p w:rsidR="00230E2B" w:rsidRDefault="00230E2B" w:rsidP="00230E2B">
      <w:pPr>
        <w:pStyle w:val="LTAntwortRessortText"/>
      </w:pPr>
      <w:r>
        <w:t>Der Freistaat fördert zudem über das Förderprogramm zur Förderung innovativer ÖPNV-Projekte und nachhaltiger Angebote (F</w:t>
      </w:r>
      <w:r w:rsidR="007D5900">
        <w:t>IONA) das über mehrere Jahre an</w:t>
      </w:r>
      <w:r>
        <w:t xml:space="preserve">gelegte VGN-Innovationspaket (dies beinhaltet </w:t>
      </w:r>
      <w:r w:rsidR="005508E8">
        <w:t>z. B.</w:t>
      </w:r>
      <w:r w:rsidR="007D5900">
        <w:t xml:space="preserve"> Taktverdichtungen, Schaf</w:t>
      </w:r>
      <w:r>
        <w:t>fung neuer Linien oder die Förderung der Entwic</w:t>
      </w:r>
      <w:r w:rsidR="007D5900">
        <w:t>klung eines attraktiven elektro</w:t>
      </w:r>
      <w:r>
        <w:t>nischen Tarifs (e-Tarif)). Für die kommunalen Aufgabenträger des allgemeinen ÖPNV in der Region steht bis 2024 (unter Vorbehalt der Haushaltsgesetzgebung) ein jährlicher Maximalförderbetrag von 12,8 Millionen Euro zur Verfügung.</w:t>
      </w:r>
    </w:p>
    <w:p w:rsidR="00230E2B" w:rsidRDefault="00230E2B" w:rsidP="00230E2B">
      <w:pPr>
        <w:pStyle w:val="LTAntwortRessortText"/>
      </w:pPr>
      <w:r>
        <w:t>Der Freistaat wird bis 2023 den Schienenpersonennahverkehr (SPNV) im VGN-Bereich mit folgenden Maßnahmen umfassend verbessern:</w:t>
      </w:r>
    </w:p>
    <w:p w:rsidR="00230E2B" w:rsidRDefault="00230E2B" w:rsidP="00C65EA9">
      <w:pPr>
        <w:pStyle w:val="LTAntwortRessortText"/>
        <w:numPr>
          <w:ilvl w:val="0"/>
          <w:numId w:val="25"/>
        </w:numPr>
        <w:ind w:left="697" w:hanging="357"/>
      </w:pPr>
      <w:r>
        <w:t>Im April 2022 gehen die eigenen S-Bahn-Gleise zwischen Fürth Hbf und Fürth Nord mit der barrierefreien Station Fürth-Klinikum in Betrieb.</w:t>
      </w:r>
    </w:p>
    <w:p w:rsidR="00230E2B" w:rsidRDefault="00230E2B" w:rsidP="00C65EA9">
      <w:pPr>
        <w:pStyle w:val="LTAntwortRessortText"/>
        <w:numPr>
          <w:ilvl w:val="0"/>
          <w:numId w:val="25"/>
        </w:numPr>
        <w:ind w:left="697" w:hanging="357"/>
      </w:pPr>
      <w:r>
        <w:t>Im Dezember 2022 soll auf der S1 zwischen Nürnberg und Forchheim ein 20-Minuten-Rhythmus eingeführt werden.</w:t>
      </w:r>
    </w:p>
    <w:p w:rsidR="00230E2B" w:rsidRDefault="00230E2B" w:rsidP="00C65EA9">
      <w:pPr>
        <w:pStyle w:val="LTAntwortRessortText"/>
        <w:numPr>
          <w:ilvl w:val="0"/>
          <w:numId w:val="25"/>
        </w:numPr>
        <w:ind w:left="697" w:hanging="357"/>
      </w:pPr>
      <w:r>
        <w:t>Ebenfalls im Dezember 2022 wird bei der S-Bahn Nürnberg ein stündlicher Nachtverkehr in den Wochenendnächten starten.</w:t>
      </w:r>
    </w:p>
    <w:p w:rsidR="00230E2B" w:rsidRDefault="00230E2B" w:rsidP="00C65EA9">
      <w:pPr>
        <w:pStyle w:val="LTAntwortRessortText"/>
        <w:numPr>
          <w:ilvl w:val="0"/>
          <w:numId w:val="25"/>
        </w:numPr>
        <w:ind w:left="697" w:hanging="357"/>
      </w:pPr>
      <w:r>
        <w:t>Ab Dezember 2023 wird es an allen Wochentagen ganztätig halbstündliche Regionalexpress-Angebote auf den stark nachgefragten Strecken von Nürnberg nach Bamberg und von Nürnberg nach Bayreuth geben. Zudem werden auf zahlreichen SPNV-Strecken im VGN Taktlücken geschlossen.</w:t>
      </w:r>
    </w:p>
    <w:p w:rsidR="00230E2B" w:rsidRDefault="00230E2B" w:rsidP="00230E2B">
      <w:pPr>
        <w:pStyle w:val="LTAntwortRessortText"/>
      </w:pPr>
      <w:r>
        <w:t xml:space="preserve">Um zukünftig die Attraktivität des SPNV im Großraum Nürnberg noch weiter zu steigern, hat der Freistaat zudem letztes Jahr die Machbarkeitsstudie </w:t>
      </w:r>
      <w:r w:rsidR="00490BF0">
        <w:t>„</w:t>
      </w:r>
      <w:r>
        <w:t>Ausba</w:t>
      </w:r>
      <w:r w:rsidR="00891967">
        <w:t>u</w:t>
      </w:r>
      <w:r>
        <w:t>programm S-Bahn Nürnberg</w:t>
      </w:r>
      <w:r w:rsidR="00490BF0">
        <w:t>“</w:t>
      </w:r>
      <w:r>
        <w:t xml:space="preserve"> (AuSbauNü) auf den Weg gebracht. Im Rahmen des AuSbauNü wird eine gesamthafte S-Bahn-Infrastrukturausbaustrategie als wegweisende Planungsgrundlage für die bedarfsgerechte Weiterentwicklung der S-Bahn Nürnberg erarbeitet.</w:t>
      </w:r>
    </w:p>
    <w:p w:rsidR="00230E2B" w:rsidRDefault="00230E2B">
      <w:bookmarkStart w:id="44" w:name="Frage_Nr_21_Ende"/>
      <w:bookmarkEnd w:id="44"/>
      <w:r>
        <w:br w:type="page"/>
      </w:r>
    </w:p>
    <w:p w:rsidR="00230E2B" w:rsidRDefault="00230E2B" w:rsidP="00230E2B">
      <w:pPr>
        <w:pStyle w:val="LTUeberschrRessort"/>
      </w:pPr>
      <w:r>
        <w:lastRenderedPageBreak/>
        <w:t>Geschäftsbereich des Staatsministeriums der Justiz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230E2B" w:rsidTr="007B0B33">
        <w:tc>
          <w:tcPr>
            <w:tcW w:w="2050" w:type="dxa"/>
          </w:tcPr>
          <w:p w:rsidR="00230E2B" w:rsidRDefault="00230E2B" w:rsidP="00230E2B">
            <w:pPr>
              <w:pStyle w:val="LTAnfrageInitiator"/>
            </w:pPr>
            <w:r>
              <w:t>Abgeordneter</w:t>
            </w:r>
            <w:r>
              <w:rPr>
                <w:b/>
              </w:rPr>
              <w:br/>
              <w:t>Klaus</w:t>
            </w:r>
            <w:r>
              <w:rPr>
                <w:b/>
              </w:rPr>
              <w:br/>
              <w:t>Adelt</w:t>
            </w:r>
            <w:r>
              <w:rPr>
                <w:b/>
              </w:rPr>
              <w:br/>
            </w:r>
            <w:r>
              <w:t>(SPD)</w:t>
            </w:r>
            <w:bookmarkStart w:id="45" w:name="Frage_Nr_22"/>
            <w:bookmarkEnd w:id="45"/>
          </w:p>
        </w:tc>
        <w:tc>
          <w:tcPr>
            <w:tcW w:w="7200" w:type="dxa"/>
          </w:tcPr>
          <w:p w:rsidR="00230E2B" w:rsidRDefault="00D71A55" w:rsidP="00230E2B">
            <w:pPr>
              <w:pStyle w:val="LTAnfrageText"/>
            </w:pPr>
            <w:r w:rsidRPr="00D71A55">
              <w:rPr>
                <w:szCs w:val="24"/>
              </w:rPr>
              <w:t>Ich frage die Staatsregierung, wie viele Abschiebungsgefangene sind gegenwärtig in Hof, wie hoch ist die durchschnittliche Belegungsquote seit Eröffnung der Einrichtung (bitte ausgewiesen pro Monat) und aus welchen Ländern stammen die abzuschiebenden Gefangenen (bitte Angaben in Summe seit Inbetriebnahme)?</w:t>
            </w:r>
          </w:p>
        </w:tc>
      </w:tr>
    </w:tbl>
    <w:p w:rsidR="00230E2B" w:rsidRDefault="00230E2B" w:rsidP="00230E2B">
      <w:pPr>
        <w:pStyle w:val="LTUeberschrAntwortRessort"/>
      </w:pPr>
      <w:r>
        <w:t>Antwort des Staatsministeriums der Justiz</w:t>
      </w:r>
    </w:p>
    <w:p w:rsidR="00230E2B" w:rsidRDefault="00230E2B" w:rsidP="00230E2B">
      <w:pPr>
        <w:pStyle w:val="LTAntwortRessortText"/>
      </w:pPr>
      <w:r>
        <w:t>Zum Stichtag 31. Januar 2022 waren in der Einrichtung für Abschiebungshaft bei</w:t>
      </w:r>
      <w:r w:rsidR="00693D28">
        <w:t xml:space="preserve"> </w:t>
      </w:r>
      <w:r>
        <w:t>der Justizvollzugsanstalt Hof 47 Abschiebungsgefangene inhaftiert.</w:t>
      </w:r>
    </w:p>
    <w:p w:rsidR="00230E2B" w:rsidRDefault="00230E2B" w:rsidP="00230E2B">
      <w:pPr>
        <w:pStyle w:val="LTAntwortRessortText"/>
      </w:pPr>
      <w:r>
        <w:t>Die durchschnittliche kalendermonatliche Belegungsquote der Einrichtung für Abschiebungshaft</w:t>
      </w:r>
      <w:r w:rsidR="00693D28">
        <w:t xml:space="preserve"> </w:t>
      </w:r>
      <w:r>
        <w:t>bei der Justizvollzugsanstalt Hof seit deren Inbetriebnahme am</w:t>
      </w:r>
      <w:r w:rsidR="00693D28">
        <w:t xml:space="preserve"> </w:t>
      </w:r>
      <w:r w:rsidR="00B71613">
        <w:t>25. </w:t>
      </w:r>
      <w:r>
        <w:t>Oktober 2021 ist nachfolgender Tabelle zu entnehmen:</w:t>
      </w:r>
    </w:p>
    <w:p w:rsidR="00230E2B" w:rsidRDefault="00230E2B" w:rsidP="00230E2B">
      <w:pPr>
        <w:pStyle w:val="LTAntwortRessortText"/>
      </w:pPr>
    </w:p>
    <w:tbl>
      <w:tblPr>
        <w:tblStyle w:val="TableNormal"/>
        <w:tblW w:w="7371"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35"/>
        <w:gridCol w:w="1892"/>
        <w:gridCol w:w="1843"/>
        <w:gridCol w:w="1701"/>
      </w:tblGrid>
      <w:tr w:rsidR="00693D28" w:rsidRPr="00B71613" w:rsidTr="00B71613">
        <w:trPr>
          <w:trHeight w:val="505"/>
        </w:trPr>
        <w:tc>
          <w:tcPr>
            <w:tcW w:w="1935" w:type="dxa"/>
            <w:shd w:val="clear" w:color="auto" w:fill="D9D9D9"/>
            <w:vAlign w:val="center"/>
          </w:tcPr>
          <w:p w:rsidR="00693D28" w:rsidRPr="00B71613" w:rsidRDefault="00693D28" w:rsidP="00B71613">
            <w:pPr>
              <w:pStyle w:val="TableParagraph"/>
              <w:spacing w:before="62"/>
              <w:ind w:right="52"/>
              <w:jc w:val="center"/>
              <w:rPr>
                <w:b/>
                <w:sz w:val="18"/>
                <w:szCs w:val="18"/>
              </w:rPr>
            </w:pPr>
            <w:r w:rsidRPr="00B71613">
              <w:rPr>
                <w:b/>
                <w:sz w:val="18"/>
                <w:szCs w:val="18"/>
              </w:rPr>
              <w:t>Monat</w:t>
            </w:r>
          </w:p>
        </w:tc>
        <w:tc>
          <w:tcPr>
            <w:tcW w:w="1892" w:type="dxa"/>
            <w:shd w:val="clear" w:color="auto" w:fill="D9D9D9"/>
            <w:vAlign w:val="center"/>
          </w:tcPr>
          <w:p w:rsidR="00693D28" w:rsidRPr="00B71613" w:rsidRDefault="00B71613" w:rsidP="00B71613">
            <w:pPr>
              <w:pStyle w:val="TableParagraph"/>
              <w:spacing w:before="0" w:line="248" w:lineRule="exact"/>
              <w:ind w:left="179" w:right="160"/>
              <w:jc w:val="center"/>
              <w:rPr>
                <w:b/>
                <w:sz w:val="18"/>
                <w:szCs w:val="18"/>
              </w:rPr>
            </w:pPr>
            <w:r w:rsidRPr="00B71613">
              <w:rPr>
                <w:b/>
                <w:sz w:val="18"/>
                <w:szCs w:val="18"/>
              </w:rPr>
              <w:t>D</w:t>
            </w:r>
            <w:r w:rsidR="00693D28" w:rsidRPr="00B71613">
              <w:rPr>
                <w:b/>
                <w:sz w:val="18"/>
                <w:szCs w:val="18"/>
              </w:rPr>
              <w:t>urchschnittliche</w:t>
            </w:r>
            <w:r w:rsidRPr="00B71613">
              <w:rPr>
                <w:b/>
                <w:sz w:val="18"/>
                <w:szCs w:val="18"/>
              </w:rPr>
              <w:t xml:space="preserve"> </w:t>
            </w:r>
            <w:r w:rsidR="00693D28" w:rsidRPr="00B71613">
              <w:rPr>
                <w:b/>
                <w:sz w:val="18"/>
                <w:szCs w:val="18"/>
              </w:rPr>
              <w:t>Belegung</w:t>
            </w:r>
          </w:p>
        </w:tc>
        <w:tc>
          <w:tcPr>
            <w:tcW w:w="1843" w:type="dxa"/>
            <w:shd w:val="clear" w:color="auto" w:fill="D9D9D9"/>
            <w:vAlign w:val="center"/>
          </w:tcPr>
          <w:p w:rsidR="00693D28" w:rsidRPr="00B71613" w:rsidRDefault="00693D28" w:rsidP="00B71613">
            <w:pPr>
              <w:pStyle w:val="TableParagraph"/>
              <w:spacing w:before="122"/>
              <w:ind w:right="70"/>
              <w:jc w:val="center"/>
              <w:rPr>
                <w:b/>
                <w:sz w:val="18"/>
                <w:szCs w:val="18"/>
              </w:rPr>
            </w:pPr>
            <w:r w:rsidRPr="00B71613">
              <w:rPr>
                <w:b/>
                <w:sz w:val="18"/>
                <w:szCs w:val="18"/>
              </w:rPr>
              <w:t>Belegungsfähigkeit</w:t>
            </w:r>
          </w:p>
        </w:tc>
        <w:tc>
          <w:tcPr>
            <w:tcW w:w="1701" w:type="dxa"/>
            <w:shd w:val="clear" w:color="auto" w:fill="D9D9D9"/>
            <w:vAlign w:val="center"/>
          </w:tcPr>
          <w:p w:rsidR="00693D28" w:rsidRPr="00B71613" w:rsidRDefault="00693D28" w:rsidP="00B71613">
            <w:pPr>
              <w:pStyle w:val="TableParagraph"/>
              <w:spacing w:before="122"/>
              <w:ind w:right="69"/>
              <w:jc w:val="center"/>
              <w:rPr>
                <w:b/>
                <w:sz w:val="18"/>
                <w:szCs w:val="18"/>
              </w:rPr>
            </w:pPr>
            <w:r w:rsidRPr="00B71613">
              <w:rPr>
                <w:b/>
                <w:sz w:val="18"/>
                <w:szCs w:val="18"/>
              </w:rPr>
              <w:t>Belegungsquote</w:t>
            </w:r>
            <w:r w:rsidR="00B71613" w:rsidRPr="00B71613">
              <w:rPr>
                <w:b/>
                <w:sz w:val="18"/>
                <w:szCs w:val="18"/>
              </w:rPr>
              <w:t xml:space="preserve"> in Prozent</w:t>
            </w:r>
          </w:p>
        </w:tc>
      </w:tr>
      <w:tr w:rsidR="00693D28" w:rsidRPr="00B71613" w:rsidTr="00B71613">
        <w:trPr>
          <w:trHeight w:val="505"/>
        </w:trPr>
        <w:tc>
          <w:tcPr>
            <w:tcW w:w="1935" w:type="dxa"/>
            <w:shd w:val="clear" w:color="auto" w:fill="D9D9D9"/>
            <w:vAlign w:val="center"/>
          </w:tcPr>
          <w:p w:rsidR="00693D28" w:rsidRPr="00B71613" w:rsidRDefault="00693D28" w:rsidP="00B71613">
            <w:pPr>
              <w:pStyle w:val="TableParagraph"/>
              <w:spacing w:before="184"/>
              <w:ind w:right="51"/>
              <w:jc w:val="center"/>
              <w:rPr>
                <w:sz w:val="18"/>
                <w:szCs w:val="18"/>
              </w:rPr>
            </w:pPr>
            <w:r w:rsidRPr="00B71613">
              <w:rPr>
                <w:sz w:val="18"/>
                <w:szCs w:val="18"/>
              </w:rPr>
              <w:t>Oktober 2021</w:t>
            </w:r>
          </w:p>
        </w:tc>
        <w:tc>
          <w:tcPr>
            <w:tcW w:w="1892" w:type="dxa"/>
            <w:vAlign w:val="center"/>
          </w:tcPr>
          <w:p w:rsidR="00693D28" w:rsidRPr="00B71613" w:rsidRDefault="00693D28" w:rsidP="00B71613">
            <w:pPr>
              <w:pStyle w:val="TableParagraph"/>
              <w:ind w:left="0" w:right="1032"/>
              <w:jc w:val="right"/>
              <w:rPr>
                <w:sz w:val="18"/>
                <w:szCs w:val="18"/>
              </w:rPr>
            </w:pPr>
            <w:r w:rsidRPr="00B71613">
              <w:rPr>
                <w:sz w:val="18"/>
                <w:szCs w:val="18"/>
              </w:rPr>
              <w:t>8</w:t>
            </w:r>
          </w:p>
        </w:tc>
        <w:tc>
          <w:tcPr>
            <w:tcW w:w="1843" w:type="dxa"/>
            <w:vAlign w:val="center"/>
          </w:tcPr>
          <w:p w:rsidR="00693D28" w:rsidRPr="00B71613" w:rsidRDefault="00693D28" w:rsidP="00B71613">
            <w:pPr>
              <w:pStyle w:val="TableParagraph"/>
              <w:ind w:right="70"/>
              <w:jc w:val="center"/>
              <w:rPr>
                <w:sz w:val="18"/>
                <w:szCs w:val="18"/>
              </w:rPr>
            </w:pPr>
            <w:r w:rsidRPr="00B71613">
              <w:rPr>
                <w:sz w:val="18"/>
                <w:szCs w:val="18"/>
              </w:rPr>
              <w:t>150</w:t>
            </w:r>
          </w:p>
        </w:tc>
        <w:tc>
          <w:tcPr>
            <w:tcW w:w="1701" w:type="dxa"/>
            <w:vAlign w:val="center"/>
          </w:tcPr>
          <w:p w:rsidR="00693D28" w:rsidRPr="00B71613" w:rsidRDefault="00B71613" w:rsidP="00B71613">
            <w:pPr>
              <w:pStyle w:val="TableParagraph"/>
              <w:ind w:right="69"/>
              <w:jc w:val="center"/>
              <w:rPr>
                <w:sz w:val="18"/>
                <w:szCs w:val="18"/>
              </w:rPr>
            </w:pPr>
            <w:r w:rsidRPr="00B71613">
              <w:rPr>
                <w:sz w:val="18"/>
                <w:szCs w:val="18"/>
              </w:rPr>
              <w:t>5,33</w:t>
            </w:r>
          </w:p>
        </w:tc>
      </w:tr>
      <w:tr w:rsidR="00693D28" w:rsidRPr="00B71613" w:rsidTr="00B71613">
        <w:trPr>
          <w:trHeight w:val="508"/>
        </w:trPr>
        <w:tc>
          <w:tcPr>
            <w:tcW w:w="1935" w:type="dxa"/>
            <w:shd w:val="clear" w:color="auto" w:fill="D9D9D9"/>
            <w:vAlign w:val="center"/>
          </w:tcPr>
          <w:p w:rsidR="00693D28" w:rsidRPr="00B71613" w:rsidRDefault="00693D28" w:rsidP="00B71613">
            <w:pPr>
              <w:pStyle w:val="TableParagraph"/>
              <w:spacing w:before="187"/>
              <w:ind w:right="50"/>
              <w:jc w:val="center"/>
              <w:rPr>
                <w:sz w:val="18"/>
                <w:szCs w:val="18"/>
              </w:rPr>
            </w:pPr>
            <w:r w:rsidRPr="00B71613">
              <w:rPr>
                <w:sz w:val="18"/>
                <w:szCs w:val="18"/>
              </w:rPr>
              <w:t>November 2021</w:t>
            </w:r>
          </w:p>
        </w:tc>
        <w:tc>
          <w:tcPr>
            <w:tcW w:w="1892" w:type="dxa"/>
            <w:vAlign w:val="center"/>
          </w:tcPr>
          <w:p w:rsidR="00693D28" w:rsidRPr="00B71613" w:rsidRDefault="00693D28" w:rsidP="00B71613">
            <w:pPr>
              <w:pStyle w:val="TableParagraph"/>
              <w:spacing w:before="127"/>
              <w:ind w:left="0" w:right="972"/>
              <w:jc w:val="right"/>
              <w:rPr>
                <w:sz w:val="18"/>
                <w:szCs w:val="18"/>
              </w:rPr>
            </w:pPr>
            <w:r w:rsidRPr="00B71613">
              <w:rPr>
                <w:sz w:val="18"/>
                <w:szCs w:val="18"/>
              </w:rPr>
              <w:t>36</w:t>
            </w:r>
          </w:p>
        </w:tc>
        <w:tc>
          <w:tcPr>
            <w:tcW w:w="1843" w:type="dxa"/>
            <w:vAlign w:val="center"/>
          </w:tcPr>
          <w:p w:rsidR="00693D28" w:rsidRPr="00B71613" w:rsidRDefault="00693D28" w:rsidP="00B71613">
            <w:pPr>
              <w:pStyle w:val="TableParagraph"/>
              <w:spacing w:before="127"/>
              <w:ind w:right="70"/>
              <w:jc w:val="center"/>
              <w:rPr>
                <w:sz w:val="18"/>
                <w:szCs w:val="18"/>
              </w:rPr>
            </w:pPr>
            <w:r w:rsidRPr="00B71613">
              <w:rPr>
                <w:sz w:val="18"/>
                <w:szCs w:val="18"/>
              </w:rPr>
              <w:t>150</w:t>
            </w:r>
          </w:p>
        </w:tc>
        <w:tc>
          <w:tcPr>
            <w:tcW w:w="1701" w:type="dxa"/>
            <w:vAlign w:val="center"/>
          </w:tcPr>
          <w:p w:rsidR="00693D28" w:rsidRPr="00B71613" w:rsidRDefault="00B71613" w:rsidP="00B71613">
            <w:pPr>
              <w:pStyle w:val="TableParagraph"/>
              <w:spacing w:before="127"/>
              <w:ind w:right="69"/>
              <w:jc w:val="center"/>
              <w:rPr>
                <w:sz w:val="18"/>
                <w:szCs w:val="18"/>
              </w:rPr>
            </w:pPr>
            <w:r w:rsidRPr="00B71613">
              <w:rPr>
                <w:sz w:val="18"/>
                <w:szCs w:val="18"/>
              </w:rPr>
              <w:t>24,00</w:t>
            </w:r>
          </w:p>
        </w:tc>
      </w:tr>
      <w:tr w:rsidR="00693D28" w:rsidRPr="00B71613" w:rsidTr="00B71613">
        <w:trPr>
          <w:trHeight w:val="505"/>
        </w:trPr>
        <w:tc>
          <w:tcPr>
            <w:tcW w:w="1935" w:type="dxa"/>
            <w:shd w:val="clear" w:color="auto" w:fill="D9D9D9"/>
            <w:vAlign w:val="center"/>
          </w:tcPr>
          <w:p w:rsidR="00693D28" w:rsidRPr="00B71613" w:rsidRDefault="00693D28" w:rsidP="00B71613">
            <w:pPr>
              <w:pStyle w:val="TableParagraph"/>
              <w:spacing w:before="184"/>
              <w:ind w:right="50"/>
              <w:jc w:val="center"/>
              <w:rPr>
                <w:sz w:val="18"/>
                <w:szCs w:val="18"/>
              </w:rPr>
            </w:pPr>
            <w:r w:rsidRPr="00B71613">
              <w:rPr>
                <w:sz w:val="18"/>
                <w:szCs w:val="18"/>
              </w:rPr>
              <w:t>Dezember 2021</w:t>
            </w:r>
          </w:p>
        </w:tc>
        <w:tc>
          <w:tcPr>
            <w:tcW w:w="1892" w:type="dxa"/>
            <w:vAlign w:val="center"/>
          </w:tcPr>
          <w:p w:rsidR="00693D28" w:rsidRPr="00B71613" w:rsidRDefault="00693D28" w:rsidP="00B71613">
            <w:pPr>
              <w:pStyle w:val="TableParagraph"/>
              <w:ind w:left="0" w:right="972"/>
              <w:jc w:val="right"/>
              <w:rPr>
                <w:sz w:val="18"/>
                <w:szCs w:val="18"/>
              </w:rPr>
            </w:pPr>
            <w:r w:rsidRPr="00B71613">
              <w:rPr>
                <w:sz w:val="18"/>
                <w:szCs w:val="18"/>
              </w:rPr>
              <w:t>48</w:t>
            </w:r>
          </w:p>
        </w:tc>
        <w:tc>
          <w:tcPr>
            <w:tcW w:w="1843" w:type="dxa"/>
            <w:vAlign w:val="center"/>
          </w:tcPr>
          <w:p w:rsidR="00693D28" w:rsidRPr="00B71613" w:rsidRDefault="00693D28" w:rsidP="00B71613">
            <w:pPr>
              <w:pStyle w:val="TableParagraph"/>
              <w:ind w:right="70"/>
              <w:jc w:val="center"/>
              <w:rPr>
                <w:sz w:val="18"/>
                <w:szCs w:val="18"/>
              </w:rPr>
            </w:pPr>
            <w:r w:rsidRPr="00B71613">
              <w:rPr>
                <w:sz w:val="18"/>
                <w:szCs w:val="18"/>
              </w:rPr>
              <w:t>150</w:t>
            </w:r>
          </w:p>
        </w:tc>
        <w:tc>
          <w:tcPr>
            <w:tcW w:w="1701" w:type="dxa"/>
            <w:vAlign w:val="center"/>
          </w:tcPr>
          <w:p w:rsidR="00693D28" w:rsidRPr="00B71613" w:rsidRDefault="00B71613" w:rsidP="00B71613">
            <w:pPr>
              <w:pStyle w:val="TableParagraph"/>
              <w:ind w:right="69"/>
              <w:jc w:val="center"/>
              <w:rPr>
                <w:sz w:val="18"/>
                <w:szCs w:val="18"/>
              </w:rPr>
            </w:pPr>
            <w:r w:rsidRPr="00B71613">
              <w:rPr>
                <w:sz w:val="18"/>
                <w:szCs w:val="18"/>
              </w:rPr>
              <w:t>32,00</w:t>
            </w:r>
          </w:p>
        </w:tc>
      </w:tr>
      <w:tr w:rsidR="00693D28" w:rsidRPr="00B71613" w:rsidTr="00B71613">
        <w:trPr>
          <w:trHeight w:val="505"/>
        </w:trPr>
        <w:tc>
          <w:tcPr>
            <w:tcW w:w="1935" w:type="dxa"/>
            <w:shd w:val="clear" w:color="auto" w:fill="D9D9D9"/>
            <w:vAlign w:val="center"/>
          </w:tcPr>
          <w:p w:rsidR="00693D28" w:rsidRPr="00B71613" w:rsidRDefault="00693D28" w:rsidP="00B71613">
            <w:pPr>
              <w:pStyle w:val="TableParagraph"/>
              <w:spacing w:before="184"/>
              <w:ind w:right="50"/>
              <w:jc w:val="center"/>
              <w:rPr>
                <w:sz w:val="18"/>
                <w:szCs w:val="18"/>
              </w:rPr>
            </w:pPr>
            <w:r w:rsidRPr="00B71613">
              <w:rPr>
                <w:sz w:val="18"/>
                <w:szCs w:val="18"/>
              </w:rPr>
              <w:t>Januar 2022</w:t>
            </w:r>
          </w:p>
        </w:tc>
        <w:tc>
          <w:tcPr>
            <w:tcW w:w="1892" w:type="dxa"/>
            <w:vAlign w:val="center"/>
          </w:tcPr>
          <w:p w:rsidR="00693D28" w:rsidRPr="00B71613" w:rsidRDefault="00693D28" w:rsidP="00B71613">
            <w:pPr>
              <w:pStyle w:val="TableParagraph"/>
              <w:ind w:left="0" w:right="972"/>
              <w:jc w:val="right"/>
              <w:rPr>
                <w:sz w:val="18"/>
                <w:szCs w:val="18"/>
              </w:rPr>
            </w:pPr>
            <w:r w:rsidRPr="00B71613">
              <w:rPr>
                <w:sz w:val="18"/>
                <w:szCs w:val="18"/>
              </w:rPr>
              <w:t>53</w:t>
            </w:r>
          </w:p>
        </w:tc>
        <w:tc>
          <w:tcPr>
            <w:tcW w:w="1843" w:type="dxa"/>
            <w:vAlign w:val="center"/>
          </w:tcPr>
          <w:p w:rsidR="00693D28" w:rsidRPr="00B71613" w:rsidRDefault="00693D28" w:rsidP="00B71613">
            <w:pPr>
              <w:pStyle w:val="TableParagraph"/>
              <w:ind w:right="70"/>
              <w:jc w:val="center"/>
              <w:rPr>
                <w:sz w:val="18"/>
                <w:szCs w:val="18"/>
              </w:rPr>
            </w:pPr>
            <w:r w:rsidRPr="00B71613">
              <w:rPr>
                <w:sz w:val="18"/>
                <w:szCs w:val="18"/>
              </w:rPr>
              <w:t>150</w:t>
            </w:r>
          </w:p>
        </w:tc>
        <w:tc>
          <w:tcPr>
            <w:tcW w:w="1701" w:type="dxa"/>
            <w:vAlign w:val="center"/>
          </w:tcPr>
          <w:p w:rsidR="00693D28" w:rsidRPr="00B71613" w:rsidRDefault="00B71613" w:rsidP="00B71613">
            <w:pPr>
              <w:pStyle w:val="TableParagraph"/>
              <w:ind w:right="69"/>
              <w:jc w:val="center"/>
              <w:rPr>
                <w:sz w:val="18"/>
                <w:szCs w:val="18"/>
              </w:rPr>
            </w:pPr>
            <w:r w:rsidRPr="00B71613">
              <w:rPr>
                <w:sz w:val="18"/>
                <w:szCs w:val="18"/>
              </w:rPr>
              <w:t>35,33</w:t>
            </w:r>
          </w:p>
        </w:tc>
      </w:tr>
    </w:tbl>
    <w:p w:rsidR="00230E2B" w:rsidRDefault="00230E2B" w:rsidP="00693D28">
      <w:pPr>
        <w:pStyle w:val="LTAntwortRessortText"/>
        <w:ind w:left="0"/>
      </w:pPr>
    </w:p>
    <w:p w:rsidR="00230E2B" w:rsidRDefault="00230E2B" w:rsidP="00230E2B">
      <w:pPr>
        <w:pStyle w:val="LTAntwortRessortText"/>
      </w:pPr>
      <w:r>
        <w:t>Die Staatsangehörigkeit der Abschiebungsgefangenen, die in der Einrichtung für</w:t>
      </w:r>
      <w:r w:rsidR="00693D28">
        <w:t xml:space="preserve"> </w:t>
      </w:r>
      <w:r>
        <w:t>Abschiebungshaft bei der Justizvollzugsanstalt Hof seit deren Inbetriebnahme am</w:t>
      </w:r>
      <w:r w:rsidR="00693D28">
        <w:t xml:space="preserve"> </w:t>
      </w:r>
      <w:r>
        <w:t>25. Oktober 2021 inhaftiert waren bzw. derzeit dort inhaftiert sind, ist nachfolgender</w:t>
      </w:r>
      <w:r w:rsidR="00693D28">
        <w:t xml:space="preserve"> </w:t>
      </w:r>
      <w:r>
        <w:t>Tabelle zu entnehmen:</w:t>
      </w:r>
    </w:p>
    <w:p w:rsidR="00230E2B" w:rsidRDefault="00230E2B" w:rsidP="00230E2B">
      <w:pPr>
        <w:pStyle w:val="LTAntwortRessortText"/>
      </w:pPr>
    </w:p>
    <w:tbl>
      <w:tblPr>
        <w:tblStyle w:val="TableNormal"/>
        <w:tblW w:w="7371"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43"/>
        <w:gridCol w:w="3828"/>
      </w:tblGrid>
      <w:tr w:rsidR="00693D28" w:rsidTr="00CD3414">
        <w:trPr>
          <w:trHeight w:val="505"/>
        </w:trPr>
        <w:tc>
          <w:tcPr>
            <w:tcW w:w="3543" w:type="dxa"/>
            <w:shd w:val="clear" w:color="auto" w:fill="D9D9D9"/>
          </w:tcPr>
          <w:p w:rsidR="00693D28" w:rsidRPr="0036453D" w:rsidRDefault="00693D28" w:rsidP="0036453D">
            <w:pPr>
              <w:pStyle w:val="TableParagraph"/>
              <w:spacing w:before="7"/>
              <w:ind w:left="0"/>
              <w:rPr>
                <w:sz w:val="18"/>
                <w:szCs w:val="18"/>
              </w:rPr>
            </w:pPr>
          </w:p>
          <w:p w:rsidR="00693D28" w:rsidRPr="0036453D" w:rsidRDefault="00693D28" w:rsidP="0036453D">
            <w:pPr>
              <w:pStyle w:val="TableParagraph"/>
              <w:spacing w:before="0" w:line="236" w:lineRule="exact"/>
              <w:ind w:left="822"/>
              <w:rPr>
                <w:b/>
                <w:sz w:val="18"/>
                <w:szCs w:val="18"/>
              </w:rPr>
            </w:pPr>
            <w:r w:rsidRPr="0036453D">
              <w:rPr>
                <w:b/>
                <w:sz w:val="18"/>
                <w:szCs w:val="18"/>
              </w:rPr>
              <w:t>Staatsangehörigkeit</w:t>
            </w:r>
          </w:p>
        </w:tc>
        <w:tc>
          <w:tcPr>
            <w:tcW w:w="3828" w:type="dxa"/>
            <w:shd w:val="clear" w:color="auto" w:fill="D9D9D9"/>
            <w:vAlign w:val="center"/>
          </w:tcPr>
          <w:p w:rsidR="00693D28" w:rsidRPr="0036453D" w:rsidRDefault="00693D28" w:rsidP="0036453D">
            <w:pPr>
              <w:pStyle w:val="TableParagraph"/>
              <w:spacing w:before="122"/>
              <w:ind w:left="99" w:right="83"/>
              <w:jc w:val="center"/>
              <w:rPr>
                <w:b/>
                <w:sz w:val="18"/>
                <w:szCs w:val="18"/>
              </w:rPr>
            </w:pPr>
            <w:r w:rsidRPr="0036453D">
              <w:rPr>
                <w:b/>
                <w:sz w:val="18"/>
                <w:szCs w:val="18"/>
              </w:rPr>
              <w:t>Anzahl der Abschiebungsgefangenen</w:t>
            </w:r>
          </w:p>
        </w:tc>
      </w:tr>
      <w:tr w:rsidR="00693D28" w:rsidTr="00CD3414">
        <w:trPr>
          <w:trHeight w:val="507"/>
        </w:trPr>
        <w:tc>
          <w:tcPr>
            <w:tcW w:w="3543" w:type="dxa"/>
            <w:shd w:val="clear" w:color="auto" w:fill="D9D9D9"/>
            <w:vAlign w:val="center"/>
          </w:tcPr>
          <w:p w:rsidR="00693D28" w:rsidRPr="0036453D" w:rsidRDefault="00693D28" w:rsidP="0036453D">
            <w:pPr>
              <w:pStyle w:val="TableParagraph"/>
              <w:spacing w:before="10"/>
              <w:ind w:left="0"/>
              <w:jc w:val="center"/>
              <w:rPr>
                <w:sz w:val="18"/>
                <w:szCs w:val="18"/>
              </w:rPr>
            </w:pPr>
          </w:p>
          <w:p w:rsidR="00693D28" w:rsidRPr="0036453D" w:rsidRDefault="00693D28" w:rsidP="0036453D">
            <w:pPr>
              <w:pStyle w:val="TableParagraph"/>
              <w:spacing w:before="0" w:line="236" w:lineRule="exact"/>
              <w:jc w:val="center"/>
              <w:rPr>
                <w:sz w:val="18"/>
                <w:szCs w:val="18"/>
              </w:rPr>
            </w:pPr>
            <w:r w:rsidRPr="0036453D">
              <w:rPr>
                <w:sz w:val="18"/>
                <w:szCs w:val="18"/>
              </w:rPr>
              <w:t>Syrien</w:t>
            </w:r>
          </w:p>
        </w:tc>
        <w:tc>
          <w:tcPr>
            <w:tcW w:w="3828" w:type="dxa"/>
            <w:vAlign w:val="center"/>
          </w:tcPr>
          <w:p w:rsidR="00693D28" w:rsidRPr="0036453D" w:rsidRDefault="00693D28" w:rsidP="00CD3414">
            <w:pPr>
              <w:pStyle w:val="TableParagraph"/>
              <w:spacing w:before="125"/>
              <w:ind w:left="1965"/>
              <w:rPr>
                <w:sz w:val="18"/>
                <w:szCs w:val="18"/>
              </w:rPr>
            </w:pPr>
            <w:r w:rsidRPr="0036453D">
              <w:rPr>
                <w:sz w:val="18"/>
                <w:szCs w:val="18"/>
              </w:rPr>
              <w:t>32</w:t>
            </w:r>
          </w:p>
        </w:tc>
      </w:tr>
      <w:tr w:rsidR="00693D28" w:rsidTr="00CD3414">
        <w:trPr>
          <w:trHeight w:val="506"/>
        </w:trPr>
        <w:tc>
          <w:tcPr>
            <w:tcW w:w="3543" w:type="dxa"/>
            <w:tcBorders>
              <w:top w:val="nil"/>
            </w:tcBorders>
            <w:shd w:val="clear" w:color="auto" w:fill="D9D9D9"/>
            <w:vAlign w:val="center"/>
          </w:tcPr>
          <w:p w:rsidR="00693D28" w:rsidRPr="0036453D" w:rsidRDefault="00693D28" w:rsidP="0036453D">
            <w:pPr>
              <w:pStyle w:val="TableParagraph"/>
              <w:spacing w:before="10"/>
              <w:ind w:left="0"/>
              <w:jc w:val="center"/>
              <w:rPr>
                <w:sz w:val="18"/>
                <w:szCs w:val="18"/>
              </w:rPr>
            </w:pPr>
          </w:p>
          <w:p w:rsidR="00693D28" w:rsidRPr="0036453D" w:rsidRDefault="00693D28" w:rsidP="0036453D">
            <w:pPr>
              <w:pStyle w:val="TableParagraph"/>
              <w:spacing w:before="0" w:line="234" w:lineRule="exact"/>
              <w:jc w:val="center"/>
              <w:rPr>
                <w:sz w:val="18"/>
                <w:szCs w:val="18"/>
              </w:rPr>
            </w:pPr>
            <w:r w:rsidRPr="0036453D">
              <w:rPr>
                <w:sz w:val="18"/>
                <w:szCs w:val="18"/>
              </w:rPr>
              <w:t>Pakistan</w:t>
            </w:r>
          </w:p>
        </w:tc>
        <w:tc>
          <w:tcPr>
            <w:tcW w:w="3828" w:type="dxa"/>
            <w:tcBorders>
              <w:top w:val="nil"/>
            </w:tcBorders>
            <w:vAlign w:val="center"/>
          </w:tcPr>
          <w:p w:rsidR="00693D28" w:rsidRPr="0036453D" w:rsidRDefault="00693D28" w:rsidP="0036453D">
            <w:pPr>
              <w:pStyle w:val="TableParagraph"/>
              <w:spacing w:before="125"/>
              <w:ind w:left="1965"/>
              <w:rPr>
                <w:sz w:val="18"/>
                <w:szCs w:val="18"/>
              </w:rPr>
            </w:pPr>
            <w:r w:rsidRPr="0036453D">
              <w:rPr>
                <w:sz w:val="18"/>
                <w:szCs w:val="18"/>
              </w:rPr>
              <w:t>21</w:t>
            </w:r>
          </w:p>
        </w:tc>
      </w:tr>
      <w:tr w:rsidR="00693D28" w:rsidTr="00CD3414">
        <w:trPr>
          <w:trHeight w:val="505"/>
        </w:trPr>
        <w:tc>
          <w:tcPr>
            <w:tcW w:w="3543" w:type="dxa"/>
            <w:shd w:val="clear" w:color="auto" w:fill="D9D9D9"/>
            <w:vAlign w:val="center"/>
          </w:tcPr>
          <w:p w:rsidR="00693D28" w:rsidRPr="0036453D" w:rsidRDefault="00693D28" w:rsidP="0036453D">
            <w:pPr>
              <w:pStyle w:val="TableParagraph"/>
              <w:spacing w:before="10"/>
              <w:ind w:left="0"/>
              <w:jc w:val="center"/>
              <w:rPr>
                <w:sz w:val="18"/>
                <w:szCs w:val="18"/>
              </w:rPr>
            </w:pPr>
          </w:p>
          <w:p w:rsidR="00693D28" w:rsidRPr="0036453D" w:rsidRDefault="00693D28" w:rsidP="0036453D">
            <w:pPr>
              <w:pStyle w:val="TableParagraph"/>
              <w:spacing w:before="0" w:line="234" w:lineRule="exact"/>
              <w:jc w:val="center"/>
              <w:rPr>
                <w:sz w:val="18"/>
                <w:szCs w:val="18"/>
              </w:rPr>
            </w:pPr>
            <w:r w:rsidRPr="0036453D">
              <w:rPr>
                <w:sz w:val="18"/>
                <w:szCs w:val="18"/>
              </w:rPr>
              <w:t>Afghanistan</w:t>
            </w:r>
          </w:p>
        </w:tc>
        <w:tc>
          <w:tcPr>
            <w:tcW w:w="3828" w:type="dxa"/>
            <w:vAlign w:val="center"/>
          </w:tcPr>
          <w:p w:rsidR="00693D28" w:rsidRPr="0036453D" w:rsidRDefault="00693D28" w:rsidP="0036453D">
            <w:pPr>
              <w:pStyle w:val="TableParagraph"/>
              <w:spacing w:before="125"/>
              <w:ind w:left="1965"/>
              <w:rPr>
                <w:sz w:val="18"/>
                <w:szCs w:val="18"/>
              </w:rPr>
            </w:pPr>
            <w:r w:rsidRPr="0036453D">
              <w:rPr>
                <w:sz w:val="18"/>
                <w:szCs w:val="18"/>
              </w:rPr>
              <w:t>18</w:t>
            </w:r>
          </w:p>
        </w:tc>
      </w:tr>
      <w:tr w:rsidR="00693D28" w:rsidTr="00CD3414">
        <w:trPr>
          <w:trHeight w:val="505"/>
        </w:trPr>
        <w:tc>
          <w:tcPr>
            <w:tcW w:w="3543" w:type="dxa"/>
            <w:shd w:val="clear" w:color="auto" w:fill="D9D9D9"/>
            <w:vAlign w:val="center"/>
          </w:tcPr>
          <w:p w:rsidR="00693D28" w:rsidRPr="0036453D" w:rsidRDefault="00693D28" w:rsidP="0036453D">
            <w:pPr>
              <w:pStyle w:val="TableParagraph"/>
              <w:spacing w:before="10"/>
              <w:ind w:left="0"/>
              <w:jc w:val="center"/>
              <w:rPr>
                <w:sz w:val="18"/>
                <w:szCs w:val="18"/>
              </w:rPr>
            </w:pPr>
          </w:p>
          <w:p w:rsidR="00693D28" w:rsidRPr="0036453D" w:rsidRDefault="00693D28" w:rsidP="0036453D">
            <w:pPr>
              <w:pStyle w:val="TableParagraph"/>
              <w:spacing w:before="0" w:line="234" w:lineRule="exact"/>
              <w:jc w:val="center"/>
              <w:rPr>
                <w:sz w:val="18"/>
                <w:szCs w:val="18"/>
              </w:rPr>
            </w:pPr>
            <w:r w:rsidRPr="0036453D">
              <w:rPr>
                <w:sz w:val="18"/>
                <w:szCs w:val="18"/>
              </w:rPr>
              <w:t>Türkei</w:t>
            </w:r>
          </w:p>
        </w:tc>
        <w:tc>
          <w:tcPr>
            <w:tcW w:w="3828" w:type="dxa"/>
          </w:tcPr>
          <w:p w:rsidR="00693D28" w:rsidRPr="0036453D" w:rsidRDefault="00693D28" w:rsidP="000D4D79">
            <w:pPr>
              <w:pStyle w:val="TableParagraph"/>
              <w:ind w:left="1965"/>
              <w:rPr>
                <w:sz w:val="18"/>
                <w:szCs w:val="18"/>
              </w:rPr>
            </w:pPr>
            <w:r w:rsidRPr="0036453D">
              <w:rPr>
                <w:sz w:val="18"/>
                <w:szCs w:val="18"/>
              </w:rPr>
              <w:t>15</w:t>
            </w:r>
          </w:p>
        </w:tc>
      </w:tr>
      <w:tr w:rsidR="00693D28" w:rsidTr="00CD3414">
        <w:trPr>
          <w:trHeight w:val="508"/>
        </w:trPr>
        <w:tc>
          <w:tcPr>
            <w:tcW w:w="3543" w:type="dxa"/>
            <w:shd w:val="clear" w:color="auto" w:fill="D9D9D9"/>
            <w:vAlign w:val="center"/>
          </w:tcPr>
          <w:p w:rsidR="00693D28" w:rsidRPr="0036453D" w:rsidRDefault="00693D28" w:rsidP="0036453D">
            <w:pPr>
              <w:pStyle w:val="TableParagraph"/>
              <w:spacing w:before="10"/>
              <w:ind w:left="0"/>
              <w:jc w:val="center"/>
              <w:rPr>
                <w:sz w:val="18"/>
                <w:szCs w:val="18"/>
              </w:rPr>
            </w:pPr>
          </w:p>
          <w:p w:rsidR="00693D28" w:rsidRPr="0036453D" w:rsidRDefault="00693D28" w:rsidP="0036453D">
            <w:pPr>
              <w:pStyle w:val="TableParagraph"/>
              <w:spacing w:before="0" w:line="236" w:lineRule="exact"/>
              <w:jc w:val="center"/>
              <w:rPr>
                <w:sz w:val="18"/>
                <w:szCs w:val="18"/>
              </w:rPr>
            </w:pPr>
            <w:r w:rsidRPr="0036453D">
              <w:rPr>
                <w:sz w:val="18"/>
                <w:szCs w:val="18"/>
              </w:rPr>
              <w:t>Irak</w:t>
            </w:r>
          </w:p>
        </w:tc>
        <w:tc>
          <w:tcPr>
            <w:tcW w:w="3828" w:type="dxa"/>
          </w:tcPr>
          <w:p w:rsidR="00693D28" w:rsidRPr="0036453D" w:rsidRDefault="00693D28" w:rsidP="000D4D79">
            <w:pPr>
              <w:pStyle w:val="TableParagraph"/>
              <w:ind w:left="1965"/>
              <w:rPr>
                <w:sz w:val="18"/>
                <w:szCs w:val="18"/>
              </w:rPr>
            </w:pPr>
            <w:r w:rsidRPr="0036453D">
              <w:rPr>
                <w:sz w:val="18"/>
                <w:szCs w:val="18"/>
              </w:rPr>
              <w:t>14</w:t>
            </w:r>
          </w:p>
        </w:tc>
      </w:tr>
      <w:tr w:rsidR="00693D28" w:rsidTr="00CD3414">
        <w:trPr>
          <w:trHeight w:val="505"/>
        </w:trPr>
        <w:tc>
          <w:tcPr>
            <w:tcW w:w="3543" w:type="dxa"/>
            <w:shd w:val="clear" w:color="auto" w:fill="D9D9D9"/>
            <w:vAlign w:val="center"/>
          </w:tcPr>
          <w:p w:rsidR="00693D28" w:rsidRPr="0036453D" w:rsidRDefault="00693D28" w:rsidP="0036453D">
            <w:pPr>
              <w:pStyle w:val="TableParagraph"/>
              <w:spacing w:before="7"/>
              <w:ind w:left="0"/>
              <w:jc w:val="center"/>
              <w:rPr>
                <w:sz w:val="18"/>
                <w:szCs w:val="18"/>
              </w:rPr>
            </w:pPr>
          </w:p>
          <w:p w:rsidR="00693D28" w:rsidRPr="0036453D" w:rsidRDefault="00693D28" w:rsidP="0036453D">
            <w:pPr>
              <w:pStyle w:val="TableParagraph"/>
              <w:spacing w:before="0" w:line="236" w:lineRule="exact"/>
              <w:jc w:val="center"/>
              <w:rPr>
                <w:sz w:val="18"/>
                <w:szCs w:val="18"/>
              </w:rPr>
            </w:pPr>
            <w:r w:rsidRPr="0036453D">
              <w:rPr>
                <w:sz w:val="18"/>
                <w:szCs w:val="18"/>
              </w:rPr>
              <w:t>Moldau</w:t>
            </w:r>
          </w:p>
        </w:tc>
        <w:tc>
          <w:tcPr>
            <w:tcW w:w="3828" w:type="dxa"/>
          </w:tcPr>
          <w:p w:rsidR="00693D28" w:rsidRPr="0036453D" w:rsidRDefault="00693D28" w:rsidP="000D4D79">
            <w:pPr>
              <w:pStyle w:val="TableParagraph"/>
              <w:ind w:left="1965"/>
              <w:rPr>
                <w:sz w:val="18"/>
                <w:szCs w:val="18"/>
              </w:rPr>
            </w:pPr>
            <w:r w:rsidRPr="0036453D">
              <w:rPr>
                <w:sz w:val="18"/>
                <w:szCs w:val="18"/>
              </w:rPr>
              <w:t>10</w:t>
            </w:r>
          </w:p>
        </w:tc>
      </w:tr>
      <w:tr w:rsidR="00693D28" w:rsidTr="00CD3414">
        <w:trPr>
          <w:trHeight w:val="505"/>
        </w:trPr>
        <w:tc>
          <w:tcPr>
            <w:tcW w:w="3543" w:type="dxa"/>
            <w:shd w:val="clear" w:color="auto" w:fill="D9D9D9"/>
            <w:vAlign w:val="center"/>
          </w:tcPr>
          <w:p w:rsidR="00693D28" w:rsidRPr="0036453D" w:rsidRDefault="00693D28" w:rsidP="0036453D">
            <w:pPr>
              <w:pStyle w:val="TableParagraph"/>
              <w:spacing w:before="10"/>
              <w:ind w:left="0"/>
              <w:jc w:val="center"/>
              <w:rPr>
                <w:sz w:val="18"/>
                <w:szCs w:val="18"/>
              </w:rPr>
            </w:pPr>
          </w:p>
          <w:p w:rsidR="00693D28" w:rsidRPr="0036453D" w:rsidRDefault="00693D28" w:rsidP="0036453D">
            <w:pPr>
              <w:pStyle w:val="TableParagraph"/>
              <w:spacing w:before="0" w:line="234" w:lineRule="exact"/>
              <w:jc w:val="center"/>
              <w:rPr>
                <w:sz w:val="18"/>
                <w:szCs w:val="18"/>
              </w:rPr>
            </w:pPr>
            <w:r w:rsidRPr="0036453D">
              <w:rPr>
                <w:sz w:val="18"/>
                <w:szCs w:val="18"/>
              </w:rPr>
              <w:t>Nigeria</w:t>
            </w:r>
          </w:p>
        </w:tc>
        <w:tc>
          <w:tcPr>
            <w:tcW w:w="3828" w:type="dxa"/>
          </w:tcPr>
          <w:p w:rsidR="00693D28" w:rsidRPr="0036453D" w:rsidRDefault="00693D28" w:rsidP="000D4D79">
            <w:pPr>
              <w:pStyle w:val="TableParagraph"/>
              <w:ind w:left="2025"/>
              <w:rPr>
                <w:sz w:val="18"/>
                <w:szCs w:val="18"/>
              </w:rPr>
            </w:pPr>
            <w:r w:rsidRPr="0036453D">
              <w:rPr>
                <w:sz w:val="18"/>
                <w:szCs w:val="18"/>
              </w:rPr>
              <w:t>9</w:t>
            </w:r>
          </w:p>
        </w:tc>
      </w:tr>
      <w:tr w:rsidR="00693D28" w:rsidTr="00CD3414">
        <w:trPr>
          <w:trHeight w:val="505"/>
        </w:trPr>
        <w:tc>
          <w:tcPr>
            <w:tcW w:w="3543" w:type="dxa"/>
            <w:shd w:val="clear" w:color="auto" w:fill="D9D9D9"/>
            <w:vAlign w:val="center"/>
          </w:tcPr>
          <w:p w:rsidR="00693D28" w:rsidRPr="0036453D" w:rsidRDefault="00693D28" w:rsidP="0036453D">
            <w:pPr>
              <w:pStyle w:val="TableParagraph"/>
              <w:spacing w:before="10"/>
              <w:ind w:left="0"/>
              <w:jc w:val="center"/>
              <w:rPr>
                <w:sz w:val="18"/>
                <w:szCs w:val="18"/>
              </w:rPr>
            </w:pPr>
          </w:p>
          <w:p w:rsidR="00693D28" w:rsidRPr="0036453D" w:rsidRDefault="00693D28" w:rsidP="0036453D">
            <w:pPr>
              <w:pStyle w:val="TableParagraph"/>
              <w:spacing w:before="0" w:line="234" w:lineRule="exact"/>
              <w:jc w:val="center"/>
              <w:rPr>
                <w:sz w:val="18"/>
                <w:szCs w:val="18"/>
              </w:rPr>
            </w:pPr>
            <w:r w:rsidRPr="0036453D">
              <w:rPr>
                <w:sz w:val="18"/>
                <w:szCs w:val="18"/>
              </w:rPr>
              <w:t>Tunesien</w:t>
            </w:r>
          </w:p>
        </w:tc>
        <w:tc>
          <w:tcPr>
            <w:tcW w:w="3828" w:type="dxa"/>
          </w:tcPr>
          <w:p w:rsidR="00693D28" w:rsidRPr="0036453D" w:rsidRDefault="00693D28" w:rsidP="000D4D79">
            <w:pPr>
              <w:pStyle w:val="TableParagraph"/>
              <w:ind w:left="2025"/>
              <w:rPr>
                <w:sz w:val="18"/>
                <w:szCs w:val="18"/>
              </w:rPr>
            </w:pPr>
            <w:r w:rsidRPr="0036453D">
              <w:rPr>
                <w:sz w:val="18"/>
                <w:szCs w:val="18"/>
              </w:rPr>
              <w:t>9</w:t>
            </w:r>
          </w:p>
        </w:tc>
      </w:tr>
      <w:tr w:rsidR="00693D28" w:rsidTr="00CD3414">
        <w:trPr>
          <w:trHeight w:val="506"/>
        </w:trPr>
        <w:tc>
          <w:tcPr>
            <w:tcW w:w="3543" w:type="dxa"/>
            <w:shd w:val="clear" w:color="auto" w:fill="D9D9D9"/>
            <w:vAlign w:val="center"/>
          </w:tcPr>
          <w:p w:rsidR="00693D28" w:rsidRPr="0036453D" w:rsidRDefault="00693D28" w:rsidP="0036453D">
            <w:pPr>
              <w:pStyle w:val="TableParagraph"/>
              <w:spacing w:before="10"/>
              <w:ind w:left="0"/>
              <w:jc w:val="center"/>
              <w:rPr>
                <w:sz w:val="18"/>
                <w:szCs w:val="18"/>
              </w:rPr>
            </w:pPr>
          </w:p>
          <w:p w:rsidR="00693D28" w:rsidRPr="0036453D" w:rsidRDefault="00693D28" w:rsidP="0036453D">
            <w:pPr>
              <w:pStyle w:val="TableParagraph"/>
              <w:spacing w:before="0" w:line="235" w:lineRule="exact"/>
              <w:jc w:val="center"/>
              <w:rPr>
                <w:sz w:val="18"/>
                <w:szCs w:val="18"/>
              </w:rPr>
            </w:pPr>
            <w:r w:rsidRPr="0036453D">
              <w:rPr>
                <w:sz w:val="18"/>
                <w:szCs w:val="18"/>
              </w:rPr>
              <w:t>Belarus</w:t>
            </w:r>
          </w:p>
        </w:tc>
        <w:tc>
          <w:tcPr>
            <w:tcW w:w="3828" w:type="dxa"/>
          </w:tcPr>
          <w:p w:rsidR="00693D28" w:rsidRPr="0036453D" w:rsidRDefault="00693D28" w:rsidP="000D4D79">
            <w:pPr>
              <w:pStyle w:val="TableParagraph"/>
              <w:ind w:left="2025"/>
              <w:rPr>
                <w:sz w:val="18"/>
                <w:szCs w:val="18"/>
              </w:rPr>
            </w:pPr>
            <w:r w:rsidRPr="0036453D">
              <w:rPr>
                <w:sz w:val="18"/>
                <w:szCs w:val="18"/>
              </w:rPr>
              <w:t>7</w:t>
            </w:r>
          </w:p>
        </w:tc>
      </w:tr>
      <w:tr w:rsidR="00693D28" w:rsidTr="00CD3414">
        <w:trPr>
          <w:trHeight w:val="505"/>
        </w:trPr>
        <w:tc>
          <w:tcPr>
            <w:tcW w:w="3543" w:type="dxa"/>
            <w:shd w:val="clear" w:color="auto" w:fill="D9D9D9"/>
            <w:vAlign w:val="center"/>
          </w:tcPr>
          <w:p w:rsidR="00693D28" w:rsidRPr="0036453D" w:rsidRDefault="00693D28" w:rsidP="0036453D">
            <w:pPr>
              <w:pStyle w:val="TableParagraph"/>
              <w:spacing w:before="10"/>
              <w:ind w:left="0"/>
              <w:jc w:val="center"/>
              <w:rPr>
                <w:sz w:val="18"/>
                <w:szCs w:val="18"/>
              </w:rPr>
            </w:pPr>
          </w:p>
          <w:p w:rsidR="00693D28" w:rsidRPr="0036453D" w:rsidRDefault="00693D28" w:rsidP="0036453D">
            <w:pPr>
              <w:pStyle w:val="TableParagraph"/>
              <w:spacing w:before="0" w:line="234" w:lineRule="exact"/>
              <w:jc w:val="center"/>
              <w:rPr>
                <w:sz w:val="18"/>
                <w:szCs w:val="18"/>
              </w:rPr>
            </w:pPr>
            <w:r w:rsidRPr="0036453D">
              <w:rPr>
                <w:sz w:val="18"/>
                <w:szCs w:val="18"/>
              </w:rPr>
              <w:t>Russische Föderation</w:t>
            </w:r>
          </w:p>
        </w:tc>
        <w:tc>
          <w:tcPr>
            <w:tcW w:w="3828" w:type="dxa"/>
          </w:tcPr>
          <w:p w:rsidR="00693D28" w:rsidRPr="0036453D" w:rsidRDefault="00693D28" w:rsidP="000D4D79">
            <w:pPr>
              <w:pStyle w:val="TableParagraph"/>
              <w:ind w:left="2025"/>
              <w:rPr>
                <w:sz w:val="18"/>
                <w:szCs w:val="18"/>
              </w:rPr>
            </w:pPr>
            <w:r w:rsidRPr="0036453D">
              <w:rPr>
                <w:sz w:val="18"/>
                <w:szCs w:val="18"/>
              </w:rPr>
              <w:t>6</w:t>
            </w:r>
          </w:p>
        </w:tc>
      </w:tr>
      <w:tr w:rsidR="00693D28" w:rsidTr="00CD3414">
        <w:trPr>
          <w:trHeight w:val="508"/>
        </w:trPr>
        <w:tc>
          <w:tcPr>
            <w:tcW w:w="3543" w:type="dxa"/>
            <w:shd w:val="clear" w:color="auto" w:fill="D9D9D9"/>
            <w:vAlign w:val="center"/>
          </w:tcPr>
          <w:p w:rsidR="00693D28" w:rsidRPr="0036453D" w:rsidRDefault="00693D28" w:rsidP="0036453D">
            <w:pPr>
              <w:pStyle w:val="TableParagraph"/>
              <w:spacing w:before="10"/>
              <w:ind w:left="0"/>
              <w:jc w:val="center"/>
              <w:rPr>
                <w:sz w:val="18"/>
                <w:szCs w:val="18"/>
              </w:rPr>
            </w:pPr>
          </w:p>
          <w:p w:rsidR="00693D28" w:rsidRPr="0036453D" w:rsidRDefault="00693D28" w:rsidP="0036453D">
            <w:pPr>
              <w:pStyle w:val="TableParagraph"/>
              <w:spacing w:before="0" w:line="236" w:lineRule="exact"/>
              <w:jc w:val="center"/>
              <w:rPr>
                <w:sz w:val="18"/>
                <w:szCs w:val="18"/>
              </w:rPr>
            </w:pPr>
            <w:r w:rsidRPr="0036453D">
              <w:rPr>
                <w:sz w:val="18"/>
                <w:szCs w:val="18"/>
              </w:rPr>
              <w:t>Algerien</w:t>
            </w:r>
          </w:p>
        </w:tc>
        <w:tc>
          <w:tcPr>
            <w:tcW w:w="3828" w:type="dxa"/>
          </w:tcPr>
          <w:p w:rsidR="00693D28" w:rsidRPr="0036453D" w:rsidRDefault="00693D28" w:rsidP="000D4D79">
            <w:pPr>
              <w:pStyle w:val="TableParagraph"/>
              <w:ind w:left="2025"/>
              <w:rPr>
                <w:sz w:val="18"/>
                <w:szCs w:val="18"/>
              </w:rPr>
            </w:pPr>
            <w:r w:rsidRPr="0036453D">
              <w:rPr>
                <w:sz w:val="18"/>
                <w:szCs w:val="18"/>
              </w:rPr>
              <w:t>6</w:t>
            </w:r>
          </w:p>
        </w:tc>
      </w:tr>
      <w:tr w:rsidR="00693D28" w:rsidTr="00CD3414">
        <w:trPr>
          <w:trHeight w:val="505"/>
        </w:trPr>
        <w:tc>
          <w:tcPr>
            <w:tcW w:w="3543" w:type="dxa"/>
            <w:shd w:val="clear" w:color="auto" w:fill="D9D9D9"/>
            <w:vAlign w:val="center"/>
          </w:tcPr>
          <w:p w:rsidR="00693D28" w:rsidRPr="0036453D" w:rsidRDefault="00693D28" w:rsidP="0036453D">
            <w:pPr>
              <w:pStyle w:val="TableParagraph"/>
              <w:spacing w:before="7"/>
              <w:ind w:left="0"/>
              <w:jc w:val="center"/>
              <w:rPr>
                <w:sz w:val="18"/>
                <w:szCs w:val="18"/>
              </w:rPr>
            </w:pPr>
          </w:p>
          <w:p w:rsidR="00693D28" w:rsidRPr="0036453D" w:rsidRDefault="00693D28" w:rsidP="0036453D">
            <w:pPr>
              <w:pStyle w:val="TableParagraph"/>
              <w:spacing w:before="0" w:line="236" w:lineRule="exact"/>
              <w:jc w:val="center"/>
              <w:rPr>
                <w:sz w:val="18"/>
                <w:szCs w:val="18"/>
              </w:rPr>
            </w:pPr>
            <w:r w:rsidRPr="0036453D">
              <w:rPr>
                <w:sz w:val="18"/>
                <w:szCs w:val="18"/>
              </w:rPr>
              <w:t>Georgien</w:t>
            </w:r>
          </w:p>
        </w:tc>
        <w:tc>
          <w:tcPr>
            <w:tcW w:w="3828" w:type="dxa"/>
          </w:tcPr>
          <w:p w:rsidR="00693D28" w:rsidRPr="0036453D" w:rsidRDefault="00693D28" w:rsidP="000D4D79">
            <w:pPr>
              <w:pStyle w:val="TableParagraph"/>
              <w:ind w:left="2025"/>
              <w:rPr>
                <w:sz w:val="18"/>
                <w:szCs w:val="18"/>
              </w:rPr>
            </w:pPr>
            <w:r w:rsidRPr="0036453D">
              <w:rPr>
                <w:sz w:val="18"/>
                <w:szCs w:val="18"/>
              </w:rPr>
              <w:t>5</w:t>
            </w:r>
          </w:p>
        </w:tc>
      </w:tr>
      <w:tr w:rsidR="00693D28" w:rsidTr="00CD3414">
        <w:trPr>
          <w:trHeight w:val="505"/>
        </w:trPr>
        <w:tc>
          <w:tcPr>
            <w:tcW w:w="3543" w:type="dxa"/>
            <w:shd w:val="clear" w:color="auto" w:fill="D9D9D9"/>
            <w:vAlign w:val="center"/>
          </w:tcPr>
          <w:p w:rsidR="00693D28" w:rsidRPr="0036453D" w:rsidRDefault="00693D28" w:rsidP="0036453D">
            <w:pPr>
              <w:pStyle w:val="TableParagraph"/>
              <w:spacing w:before="10"/>
              <w:ind w:left="0"/>
              <w:jc w:val="center"/>
              <w:rPr>
                <w:sz w:val="18"/>
                <w:szCs w:val="18"/>
              </w:rPr>
            </w:pPr>
          </w:p>
          <w:p w:rsidR="00693D28" w:rsidRPr="0036453D" w:rsidRDefault="00693D28" w:rsidP="0036453D">
            <w:pPr>
              <w:pStyle w:val="TableParagraph"/>
              <w:spacing w:before="0" w:line="234" w:lineRule="exact"/>
              <w:jc w:val="center"/>
              <w:rPr>
                <w:sz w:val="18"/>
                <w:szCs w:val="18"/>
              </w:rPr>
            </w:pPr>
            <w:r w:rsidRPr="0036453D">
              <w:rPr>
                <w:sz w:val="18"/>
                <w:szCs w:val="18"/>
              </w:rPr>
              <w:t>Ghana</w:t>
            </w:r>
          </w:p>
        </w:tc>
        <w:tc>
          <w:tcPr>
            <w:tcW w:w="3828" w:type="dxa"/>
          </w:tcPr>
          <w:p w:rsidR="00693D28" w:rsidRPr="0036453D" w:rsidRDefault="00693D28" w:rsidP="000D4D79">
            <w:pPr>
              <w:pStyle w:val="TableParagraph"/>
              <w:ind w:left="2025"/>
              <w:rPr>
                <w:sz w:val="18"/>
                <w:szCs w:val="18"/>
              </w:rPr>
            </w:pPr>
            <w:r w:rsidRPr="0036453D">
              <w:rPr>
                <w:sz w:val="18"/>
                <w:szCs w:val="18"/>
              </w:rPr>
              <w:t>3</w:t>
            </w:r>
          </w:p>
        </w:tc>
      </w:tr>
      <w:tr w:rsidR="00693D28" w:rsidTr="00CD3414">
        <w:trPr>
          <w:trHeight w:val="505"/>
        </w:trPr>
        <w:tc>
          <w:tcPr>
            <w:tcW w:w="3543" w:type="dxa"/>
            <w:shd w:val="clear" w:color="auto" w:fill="D9D9D9"/>
            <w:vAlign w:val="center"/>
          </w:tcPr>
          <w:p w:rsidR="00693D28" w:rsidRPr="0036453D" w:rsidRDefault="00693D28" w:rsidP="0036453D">
            <w:pPr>
              <w:pStyle w:val="TableParagraph"/>
              <w:spacing w:before="10"/>
              <w:ind w:left="0"/>
              <w:jc w:val="center"/>
              <w:rPr>
                <w:sz w:val="18"/>
                <w:szCs w:val="18"/>
              </w:rPr>
            </w:pPr>
          </w:p>
          <w:p w:rsidR="00693D28" w:rsidRPr="0036453D" w:rsidRDefault="00693D28" w:rsidP="0036453D">
            <w:pPr>
              <w:pStyle w:val="TableParagraph"/>
              <w:spacing w:before="0" w:line="234" w:lineRule="exact"/>
              <w:jc w:val="center"/>
              <w:rPr>
                <w:sz w:val="18"/>
                <w:szCs w:val="18"/>
              </w:rPr>
            </w:pPr>
            <w:r w:rsidRPr="0036453D">
              <w:rPr>
                <w:sz w:val="18"/>
                <w:szCs w:val="18"/>
              </w:rPr>
              <w:t>Iran</w:t>
            </w:r>
          </w:p>
        </w:tc>
        <w:tc>
          <w:tcPr>
            <w:tcW w:w="3828" w:type="dxa"/>
          </w:tcPr>
          <w:p w:rsidR="00693D28" w:rsidRPr="0036453D" w:rsidRDefault="00693D28" w:rsidP="000D4D79">
            <w:pPr>
              <w:pStyle w:val="TableParagraph"/>
              <w:ind w:left="2025"/>
              <w:rPr>
                <w:sz w:val="18"/>
                <w:szCs w:val="18"/>
              </w:rPr>
            </w:pPr>
            <w:r w:rsidRPr="0036453D">
              <w:rPr>
                <w:sz w:val="18"/>
                <w:szCs w:val="18"/>
              </w:rPr>
              <w:t>3</w:t>
            </w:r>
          </w:p>
        </w:tc>
      </w:tr>
      <w:tr w:rsidR="00693D28" w:rsidTr="00CD3414">
        <w:trPr>
          <w:trHeight w:val="505"/>
        </w:trPr>
        <w:tc>
          <w:tcPr>
            <w:tcW w:w="3543" w:type="dxa"/>
            <w:shd w:val="clear" w:color="auto" w:fill="D9D9D9"/>
            <w:vAlign w:val="center"/>
          </w:tcPr>
          <w:p w:rsidR="00693D28" w:rsidRPr="0036453D" w:rsidRDefault="00693D28" w:rsidP="0036453D">
            <w:pPr>
              <w:pStyle w:val="TableParagraph"/>
              <w:spacing w:before="10"/>
              <w:ind w:left="0"/>
              <w:jc w:val="center"/>
              <w:rPr>
                <w:sz w:val="18"/>
                <w:szCs w:val="18"/>
              </w:rPr>
            </w:pPr>
          </w:p>
          <w:p w:rsidR="00693D28" w:rsidRPr="0036453D" w:rsidRDefault="00693D28" w:rsidP="0036453D">
            <w:pPr>
              <w:pStyle w:val="TableParagraph"/>
              <w:spacing w:before="0" w:line="234" w:lineRule="exact"/>
              <w:jc w:val="center"/>
              <w:rPr>
                <w:sz w:val="18"/>
                <w:szCs w:val="18"/>
              </w:rPr>
            </w:pPr>
            <w:r w:rsidRPr="0036453D">
              <w:rPr>
                <w:sz w:val="18"/>
                <w:szCs w:val="18"/>
              </w:rPr>
              <w:t>Gambia</w:t>
            </w:r>
          </w:p>
        </w:tc>
        <w:tc>
          <w:tcPr>
            <w:tcW w:w="3828" w:type="dxa"/>
          </w:tcPr>
          <w:p w:rsidR="00693D28" w:rsidRPr="0036453D" w:rsidRDefault="00693D28" w:rsidP="000D4D79">
            <w:pPr>
              <w:pStyle w:val="TableParagraph"/>
              <w:ind w:left="2025"/>
              <w:rPr>
                <w:sz w:val="18"/>
                <w:szCs w:val="18"/>
              </w:rPr>
            </w:pPr>
            <w:r w:rsidRPr="0036453D">
              <w:rPr>
                <w:sz w:val="18"/>
                <w:szCs w:val="18"/>
              </w:rPr>
              <w:t>3</w:t>
            </w:r>
          </w:p>
        </w:tc>
      </w:tr>
      <w:tr w:rsidR="00693D28" w:rsidTr="00CD3414">
        <w:trPr>
          <w:trHeight w:val="505"/>
        </w:trPr>
        <w:tc>
          <w:tcPr>
            <w:tcW w:w="3543" w:type="dxa"/>
            <w:shd w:val="clear" w:color="auto" w:fill="D9D9D9"/>
            <w:vAlign w:val="center"/>
          </w:tcPr>
          <w:p w:rsidR="00693D28" w:rsidRPr="0036453D" w:rsidRDefault="00693D28" w:rsidP="0036453D">
            <w:pPr>
              <w:pStyle w:val="TableParagraph"/>
              <w:spacing w:before="10"/>
              <w:ind w:left="0"/>
              <w:jc w:val="center"/>
              <w:rPr>
                <w:sz w:val="18"/>
                <w:szCs w:val="18"/>
              </w:rPr>
            </w:pPr>
          </w:p>
          <w:p w:rsidR="00693D28" w:rsidRPr="0036453D" w:rsidRDefault="00693D28" w:rsidP="0036453D">
            <w:pPr>
              <w:pStyle w:val="TableParagraph"/>
              <w:spacing w:before="0" w:line="234" w:lineRule="exact"/>
              <w:jc w:val="center"/>
              <w:rPr>
                <w:sz w:val="18"/>
                <w:szCs w:val="18"/>
              </w:rPr>
            </w:pPr>
            <w:r w:rsidRPr="0036453D">
              <w:rPr>
                <w:sz w:val="18"/>
                <w:szCs w:val="18"/>
              </w:rPr>
              <w:t>Aserbaidschan</w:t>
            </w:r>
          </w:p>
        </w:tc>
        <w:tc>
          <w:tcPr>
            <w:tcW w:w="3828" w:type="dxa"/>
          </w:tcPr>
          <w:p w:rsidR="00693D28" w:rsidRPr="0036453D" w:rsidRDefault="00693D28" w:rsidP="000D4D79">
            <w:pPr>
              <w:pStyle w:val="TableParagraph"/>
              <w:ind w:left="2025"/>
              <w:rPr>
                <w:sz w:val="18"/>
                <w:szCs w:val="18"/>
              </w:rPr>
            </w:pPr>
            <w:r w:rsidRPr="0036453D">
              <w:rPr>
                <w:sz w:val="18"/>
                <w:szCs w:val="18"/>
              </w:rPr>
              <w:t>3</w:t>
            </w:r>
          </w:p>
        </w:tc>
      </w:tr>
      <w:tr w:rsidR="00693D28" w:rsidTr="00CD3414">
        <w:trPr>
          <w:trHeight w:val="508"/>
        </w:trPr>
        <w:tc>
          <w:tcPr>
            <w:tcW w:w="3543" w:type="dxa"/>
            <w:shd w:val="clear" w:color="auto" w:fill="D9D9D9"/>
            <w:vAlign w:val="center"/>
          </w:tcPr>
          <w:p w:rsidR="00693D28" w:rsidRPr="0036453D" w:rsidRDefault="00693D28" w:rsidP="0036453D">
            <w:pPr>
              <w:pStyle w:val="TableParagraph"/>
              <w:spacing w:before="10"/>
              <w:ind w:left="0"/>
              <w:jc w:val="center"/>
              <w:rPr>
                <w:sz w:val="18"/>
                <w:szCs w:val="18"/>
              </w:rPr>
            </w:pPr>
          </w:p>
          <w:p w:rsidR="00693D28" w:rsidRPr="0036453D" w:rsidRDefault="00693D28" w:rsidP="0036453D">
            <w:pPr>
              <w:pStyle w:val="TableParagraph"/>
              <w:spacing w:before="0" w:line="236" w:lineRule="exact"/>
              <w:jc w:val="center"/>
              <w:rPr>
                <w:sz w:val="18"/>
                <w:szCs w:val="18"/>
              </w:rPr>
            </w:pPr>
            <w:r w:rsidRPr="0036453D">
              <w:rPr>
                <w:sz w:val="18"/>
                <w:szCs w:val="18"/>
              </w:rPr>
              <w:t>Senegal</w:t>
            </w:r>
          </w:p>
        </w:tc>
        <w:tc>
          <w:tcPr>
            <w:tcW w:w="3828" w:type="dxa"/>
          </w:tcPr>
          <w:p w:rsidR="00693D28" w:rsidRPr="0036453D" w:rsidRDefault="00693D28" w:rsidP="000D4D79">
            <w:pPr>
              <w:pStyle w:val="TableParagraph"/>
              <w:ind w:left="2025"/>
              <w:rPr>
                <w:sz w:val="18"/>
                <w:szCs w:val="18"/>
              </w:rPr>
            </w:pPr>
            <w:r w:rsidRPr="0036453D">
              <w:rPr>
                <w:sz w:val="18"/>
                <w:szCs w:val="18"/>
              </w:rPr>
              <w:t>2</w:t>
            </w:r>
          </w:p>
        </w:tc>
      </w:tr>
      <w:tr w:rsidR="00693D28" w:rsidTr="00CD3414">
        <w:trPr>
          <w:trHeight w:val="505"/>
        </w:trPr>
        <w:tc>
          <w:tcPr>
            <w:tcW w:w="3543" w:type="dxa"/>
            <w:shd w:val="clear" w:color="auto" w:fill="D9D9D9"/>
            <w:vAlign w:val="center"/>
          </w:tcPr>
          <w:p w:rsidR="00693D28" w:rsidRPr="0036453D" w:rsidRDefault="00693D28" w:rsidP="0036453D">
            <w:pPr>
              <w:pStyle w:val="TableParagraph"/>
              <w:spacing w:before="7"/>
              <w:ind w:left="0"/>
              <w:jc w:val="center"/>
              <w:rPr>
                <w:sz w:val="18"/>
                <w:szCs w:val="18"/>
              </w:rPr>
            </w:pPr>
          </w:p>
          <w:p w:rsidR="00693D28" w:rsidRPr="0036453D" w:rsidRDefault="00693D28" w:rsidP="0036453D">
            <w:pPr>
              <w:pStyle w:val="TableParagraph"/>
              <w:spacing w:before="0" w:line="236" w:lineRule="exact"/>
              <w:jc w:val="center"/>
              <w:rPr>
                <w:sz w:val="18"/>
                <w:szCs w:val="18"/>
              </w:rPr>
            </w:pPr>
            <w:r w:rsidRPr="0036453D">
              <w:rPr>
                <w:sz w:val="18"/>
                <w:szCs w:val="18"/>
              </w:rPr>
              <w:t>Vietnam</w:t>
            </w:r>
          </w:p>
        </w:tc>
        <w:tc>
          <w:tcPr>
            <w:tcW w:w="3828" w:type="dxa"/>
          </w:tcPr>
          <w:p w:rsidR="00693D28" w:rsidRPr="0036453D" w:rsidRDefault="00693D28" w:rsidP="000D4D79">
            <w:pPr>
              <w:pStyle w:val="TableParagraph"/>
              <w:ind w:left="2025"/>
              <w:rPr>
                <w:sz w:val="18"/>
                <w:szCs w:val="18"/>
              </w:rPr>
            </w:pPr>
            <w:r w:rsidRPr="0036453D">
              <w:rPr>
                <w:sz w:val="18"/>
                <w:szCs w:val="18"/>
              </w:rPr>
              <w:t>2</w:t>
            </w:r>
          </w:p>
        </w:tc>
      </w:tr>
      <w:tr w:rsidR="00693D28" w:rsidTr="00CD3414">
        <w:trPr>
          <w:trHeight w:val="505"/>
        </w:trPr>
        <w:tc>
          <w:tcPr>
            <w:tcW w:w="3543" w:type="dxa"/>
            <w:shd w:val="clear" w:color="auto" w:fill="D9D9D9"/>
            <w:vAlign w:val="center"/>
          </w:tcPr>
          <w:p w:rsidR="00693D28" w:rsidRPr="0036453D" w:rsidRDefault="00693D28" w:rsidP="0036453D">
            <w:pPr>
              <w:pStyle w:val="TableParagraph"/>
              <w:spacing w:before="10"/>
              <w:ind w:left="0"/>
              <w:jc w:val="center"/>
              <w:rPr>
                <w:sz w:val="18"/>
                <w:szCs w:val="18"/>
              </w:rPr>
            </w:pPr>
          </w:p>
          <w:p w:rsidR="00693D28" w:rsidRPr="0036453D" w:rsidRDefault="00693D28" w:rsidP="0036453D">
            <w:pPr>
              <w:pStyle w:val="TableParagraph"/>
              <w:spacing w:before="0" w:line="234" w:lineRule="exact"/>
              <w:jc w:val="center"/>
              <w:rPr>
                <w:sz w:val="18"/>
                <w:szCs w:val="18"/>
              </w:rPr>
            </w:pPr>
            <w:r w:rsidRPr="0036453D">
              <w:rPr>
                <w:sz w:val="18"/>
                <w:szCs w:val="18"/>
              </w:rPr>
              <w:t>Ukraine</w:t>
            </w:r>
          </w:p>
        </w:tc>
        <w:tc>
          <w:tcPr>
            <w:tcW w:w="3828" w:type="dxa"/>
          </w:tcPr>
          <w:p w:rsidR="00693D28" w:rsidRPr="0036453D" w:rsidRDefault="00693D28" w:rsidP="000D4D79">
            <w:pPr>
              <w:pStyle w:val="TableParagraph"/>
              <w:ind w:left="2025"/>
              <w:rPr>
                <w:sz w:val="18"/>
                <w:szCs w:val="18"/>
              </w:rPr>
            </w:pPr>
            <w:r w:rsidRPr="0036453D">
              <w:rPr>
                <w:sz w:val="18"/>
                <w:szCs w:val="18"/>
              </w:rPr>
              <w:t>2</w:t>
            </w:r>
          </w:p>
        </w:tc>
      </w:tr>
      <w:tr w:rsidR="00693D28" w:rsidTr="00CD3414">
        <w:trPr>
          <w:trHeight w:val="505"/>
        </w:trPr>
        <w:tc>
          <w:tcPr>
            <w:tcW w:w="3543" w:type="dxa"/>
            <w:shd w:val="clear" w:color="auto" w:fill="D9D9D9"/>
            <w:vAlign w:val="center"/>
          </w:tcPr>
          <w:p w:rsidR="00693D28" w:rsidRPr="0036453D" w:rsidRDefault="00693D28" w:rsidP="0036453D">
            <w:pPr>
              <w:pStyle w:val="TableParagraph"/>
              <w:spacing w:before="10"/>
              <w:ind w:left="0"/>
              <w:jc w:val="center"/>
              <w:rPr>
                <w:sz w:val="18"/>
                <w:szCs w:val="18"/>
              </w:rPr>
            </w:pPr>
          </w:p>
          <w:p w:rsidR="00693D28" w:rsidRPr="0036453D" w:rsidRDefault="00693D28" w:rsidP="0036453D">
            <w:pPr>
              <w:pStyle w:val="TableParagraph"/>
              <w:spacing w:before="0" w:line="234" w:lineRule="exact"/>
              <w:jc w:val="center"/>
              <w:rPr>
                <w:sz w:val="18"/>
                <w:szCs w:val="18"/>
              </w:rPr>
            </w:pPr>
            <w:r w:rsidRPr="0036453D">
              <w:rPr>
                <w:sz w:val="18"/>
                <w:szCs w:val="18"/>
              </w:rPr>
              <w:t>Albanien</w:t>
            </w:r>
          </w:p>
        </w:tc>
        <w:tc>
          <w:tcPr>
            <w:tcW w:w="3828" w:type="dxa"/>
          </w:tcPr>
          <w:p w:rsidR="00693D28" w:rsidRPr="0036453D" w:rsidRDefault="00693D28" w:rsidP="000D4D79">
            <w:pPr>
              <w:pStyle w:val="TableParagraph"/>
              <w:ind w:left="2025"/>
              <w:rPr>
                <w:sz w:val="18"/>
                <w:szCs w:val="18"/>
              </w:rPr>
            </w:pPr>
            <w:r w:rsidRPr="0036453D">
              <w:rPr>
                <w:sz w:val="18"/>
                <w:szCs w:val="18"/>
              </w:rPr>
              <w:t>2</w:t>
            </w:r>
          </w:p>
        </w:tc>
      </w:tr>
      <w:tr w:rsidR="00693D28" w:rsidTr="00CD3414">
        <w:trPr>
          <w:trHeight w:val="505"/>
        </w:trPr>
        <w:tc>
          <w:tcPr>
            <w:tcW w:w="3543" w:type="dxa"/>
            <w:shd w:val="clear" w:color="auto" w:fill="D9D9D9"/>
            <w:vAlign w:val="center"/>
          </w:tcPr>
          <w:p w:rsidR="00693D28" w:rsidRPr="0036453D" w:rsidRDefault="00693D28" w:rsidP="0036453D">
            <w:pPr>
              <w:pStyle w:val="TableParagraph"/>
              <w:spacing w:before="10"/>
              <w:ind w:left="0"/>
              <w:jc w:val="center"/>
              <w:rPr>
                <w:sz w:val="18"/>
                <w:szCs w:val="18"/>
              </w:rPr>
            </w:pPr>
          </w:p>
          <w:p w:rsidR="00693D28" w:rsidRPr="0036453D" w:rsidRDefault="00693D28" w:rsidP="0036453D">
            <w:pPr>
              <w:pStyle w:val="TableParagraph"/>
              <w:spacing w:before="0" w:line="234" w:lineRule="exact"/>
              <w:jc w:val="center"/>
              <w:rPr>
                <w:sz w:val="18"/>
                <w:szCs w:val="18"/>
              </w:rPr>
            </w:pPr>
            <w:r w:rsidRPr="0036453D">
              <w:rPr>
                <w:sz w:val="18"/>
                <w:szCs w:val="18"/>
              </w:rPr>
              <w:t>Somalia</w:t>
            </w:r>
          </w:p>
        </w:tc>
        <w:tc>
          <w:tcPr>
            <w:tcW w:w="3828" w:type="dxa"/>
          </w:tcPr>
          <w:p w:rsidR="00693D28" w:rsidRPr="0036453D" w:rsidRDefault="00693D28" w:rsidP="000D4D79">
            <w:pPr>
              <w:pStyle w:val="TableParagraph"/>
              <w:ind w:left="2025"/>
              <w:rPr>
                <w:sz w:val="18"/>
                <w:szCs w:val="18"/>
              </w:rPr>
            </w:pPr>
            <w:r w:rsidRPr="0036453D">
              <w:rPr>
                <w:sz w:val="18"/>
                <w:szCs w:val="18"/>
              </w:rPr>
              <w:t>2</w:t>
            </w:r>
          </w:p>
        </w:tc>
      </w:tr>
      <w:tr w:rsidR="00693D28" w:rsidTr="00CD3414">
        <w:trPr>
          <w:trHeight w:val="505"/>
        </w:trPr>
        <w:tc>
          <w:tcPr>
            <w:tcW w:w="3543" w:type="dxa"/>
            <w:shd w:val="clear" w:color="auto" w:fill="D9D9D9"/>
            <w:vAlign w:val="center"/>
          </w:tcPr>
          <w:p w:rsidR="00693D28" w:rsidRPr="0036453D" w:rsidRDefault="00693D28" w:rsidP="0036453D">
            <w:pPr>
              <w:pStyle w:val="TableParagraph"/>
              <w:spacing w:before="10"/>
              <w:ind w:left="0"/>
              <w:jc w:val="center"/>
              <w:rPr>
                <w:sz w:val="18"/>
                <w:szCs w:val="18"/>
              </w:rPr>
            </w:pPr>
          </w:p>
          <w:p w:rsidR="00693D28" w:rsidRPr="0036453D" w:rsidRDefault="00693D28" w:rsidP="0036453D">
            <w:pPr>
              <w:pStyle w:val="TableParagraph"/>
              <w:spacing w:before="0" w:line="234" w:lineRule="exact"/>
              <w:jc w:val="center"/>
              <w:rPr>
                <w:sz w:val="18"/>
                <w:szCs w:val="18"/>
              </w:rPr>
            </w:pPr>
            <w:r w:rsidRPr="0036453D">
              <w:rPr>
                <w:sz w:val="18"/>
                <w:szCs w:val="18"/>
              </w:rPr>
              <w:t>Ägypten</w:t>
            </w:r>
          </w:p>
        </w:tc>
        <w:tc>
          <w:tcPr>
            <w:tcW w:w="3828" w:type="dxa"/>
          </w:tcPr>
          <w:p w:rsidR="00693D28" w:rsidRPr="0036453D" w:rsidRDefault="00693D28" w:rsidP="000D4D79">
            <w:pPr>
              <w:pStyle w:val="TableParagraph"/>
              <w:ind w:left="2025"/>
              <w:rPr>
                <w:sz w:val="18"/>
                <w:szCs w:val="18"/>
              </w:rPr>
            </w:pPr>
            <w:r w:rsidRPr="0036453D">
              <w:rPr>
                <w:sz w:val="18"/>
                <w:szCs w:val="18"/>
              </w:rPr>
              <w:t>1</w:t>
            </w:r>
          </w:p>
        </w:tc>
      </w:tr>
      <w:tr w:rsidR="00693D28" w:rsidTr="00CD3414">
        <w:trPr>
          <w:trHeight w:val="508"/>
        </w:trPr>
        <w:tc>
          <w:tcPr>
            <w:tcW w:w="3543" w:type="dxa"/>
            <w:shd w:val="clear" w:color="auto" w:fill="D9D9D9"/>
            <w:vAlign w:val="center"/>
          </w:tcPr>
          <w:p w:rsidR="00693D28" w:rsidRPr="0036453D" w:rsidRDefault="00693D28" w:rsidP="0036453D">
            <w:pPr>
              <w:pStyle w:val="TableParagraph"/>
              <w:spacing w:before="10"/>
              <w:ind w:left="0"/>
              <w:jc w:val="center"/>
              <w:rPr>
                <w:sz w:val="18"/>
                <w:szCs w:val="18"/>
              </w:rPr>
            </w:pPr>
          </w:p>
          <w:p w:rsidR="00693D28" w:rsidRPr="0036453D" w:rsidRDefault="00693D28" w:rsidP="0036453D">
            <w:pPr>
              <w:pStyle w:val="TableParagraph"/>
              <w:spacing w:before="0" w:line="236" w:lineRule="exact"/>
              <w:jc w:val="center"/>
              <w:rPr>
                <w:sz w:val="18"/>
                <w:szCs w:val="18"/>
              </w:rPr>
            </w:pPr>
            <w:r w:rsidRPr="0036453D">
              <w:rPr>
                <w:sz w:val="18"/>
                <w:szCs w:val="18"/>
              </w:rPr>
              <w:t>Indien</w:t>
            </w:r>
          </w:p>
        </w:tc>
        <w:tc>
          <w:tcPr>
            <w:tcW w:w="3828" w:type="dxa"/>
          </w:tcPr>
          <w:p w:rsidR="00693D28" w:rsidRPr="0036453D" w:rsidRDefault="00693D28" w:rsidP="000D4D79">
            <w:pPr>
              <w:pStyle w:val="TableParagraph"/>
              <w:spacing w:before="125"/>
              <w:ind w:left="2025"/>
              <w:rPr>
                <w:sz w:val="18"/>
                <w:szCs w:val="18"/>
              </w:rPr>
            </w:pPr>
            <w:r w:rsidRPr="0036453D">
              <w:rPr>
                <w:sz w:val="18"/>
                <w:szCs w:val="18"/>
              </w:rPr>
              <w:t>1</w:t>
            </w:r>
          </w:p>
        </w:tc>
      </w:tr>
      <w:tr w:rsidR="00693D28" w:rsidTr="00CD3414">
        <w:trPr>
          <w:trHeight w:val="505"/>
        </w:trPr>
        <w:tc>
          <w:tcPr>
            <w:tcW w:w="3543" w:type="dxa"/>
            <w:shd w:val="clear" w:color="auto" w:fill="D9D9D9"/>
            <w:vAlign w:val="center"/>
          </w:tcPr>
          <w:p w:rsidR="00693D28" w:rsidRPr="0036453D" w:rsidRDefault="00693D28" w:rsidP="0036453D">
            <w:pPr>
              <w:pStyle w:val="TableParagraph"/>
              <w:spacing w:before="7"/>
              <w:ind w:left="0"/>
              <w:jc w:val="center"/>
              <w:rPr>
                <w:sz w:val="18"/>
                <w:szCs w:val="18"/>
              </w:rPr>
            </w:pPr>
          </w:p>
          <w:p w:rsidR="00693D28" w:rsidRPr="0036453D" w:rsidRDefault="00693D28" w:rsidP="0036453D">
            <w:pPr>
              <w:pStyle w:val="TableParagraph"/>
              <w:spacing w:before="0" w:line="236" w:lineRule="exact"/>
              <w:jc w:val="center"/>
              <w:rPr>
                <w:sz w:val="18"/>
                <w:szCs w:val="18"/>
              </w:rPr>
            </w:pPr>
            <w:r w:rsidRPr="0036453D">
              <w:rPr>
                <w:sz w:val="18"/>
                <w:szCs w:val="18"/>
              </w:rPr>
              <w:t>Libanon</w:t>
            </w:r>
          </w:p>
        </w:tc>
        <w:tc>
          <w:tcPr>
            <w:tcW w:w="3828" w:type="dxa"/>
          </w:tcPr>
          <w:p w:rsidR="00693D28" w:rsidRPr="0036453D" w:rsidRDefault="00693D28" w:rsidP="000D4D79">
            <w:pPr>
              <w:pStyle w:val="TableParagraph"/>
              <w:ind w:left="2025"/>
              <w:rPr>
                <w:sz w:val="18"/>
                <w:szCs w:val="18"/>
              </w:rPr>
            </w:pPr>
            <w:r w:rsidRPr="0036453D">
              <w:rPr>
                <w:sz w:val="18"/>
                <w:szCs w:val="18"/>
              </w:rPr>
              <w:t>1</w:t>
            </w:r>
          </w:p>
        </w:tc>
      </w:tr>
      <w:tr w:rsidR="00693D28" w:rsidTr="00CD3414">
        <w:trPr>
          <w:trHeight w:val="505"/>
        </w:trPr>
        <w:tc>
          <w:tcPr>
            <w:tcW w:w="3543" w:type="dxa"/>
            <w:shd w:val="clear" w:color="auto" w:fill="D9D9D9"/>
            <w:vAlign w:val="center"/>
          </w:tcPr>
          <w:p w:rsidR="00693D28" w:rsidRPr="0036453D" w:rsidRDefault="00693D28" w:rsidP="0036453D">
            <w:pPr>
              <w:pStyle w:val="TableParagraph"/>
              <w:spacing w:before="10"/>
              <w:ind w:left="0"/>
              <w:jc w:val="center"/>
              <w:rPr>
                <w:sz w:val="18"/>
                <w:szCs w:val="18"/>
              </w:rPr>
            </w:pPr>
          </w:p>
          <w:p w:rsidR="00693D28" w:rsidRPr="0036453D" w:rsidRDefault="00693D28" w:rsidP="0036453D">
            <w:pPr>
              <w:pStyle w:val="TableParagraph"/>
              <w:spacing w:before="0" w:line="234" w:lineRule="exact"/>
              <w:jc w:val="center"/>
              <w:rPr>
                <w:sz w:val="18"/>
                <w:szCs w:val="18"/>
              </w:rPr>
            </w:pPr>
            <w:r w:rsidRPr="0036453D">
              <w:rPr>
                <w:sz w:val="18"/>
                <w:szCs w:val="18"/>
              </w:rPr>
              <w:t>Bosnien-Herzegowina</w:t>
            </w:r>
          </w:p>
        </w:tc>
        <w:tc>
          <w:tcPr>
            <w:tcW w:w="3828" w:type="dxa"/>
          </w:tcPr>
          <w:p w:rsidR="00693D28" w:rsidRPr="0036453D" w:rsidRDefault="00693D28" w:rsidP="000D4D79">
            <w:pPr>
              <w:pStyle w:val="TableParagraph"/>
              <w:ind w:left="2025"/>
              <w:rPr>
                <w:sz w:val="18"/>
                <w:szCs w:val="18"/>
              </w:rPr>
            </w:pPr>
            <w:r w:rsidRPr="0036453D">
              <w:rPr>
                <w:sz w:val="18"/>
                <w:szCs w:val="18"/>
              </w:rPr>
              <w:t>1</w:t>
            </w:r>
          </w:p>
        </w:tc>
      </w:tr>
      <w:tr w:rsidR="00693D28" w:rsidTr="00CD3414">
        <w:trPr>
          <w:trHeight w:val="505"/>
        </w:trPr>
        <w:tc>
          <w:tcPr>
            <w:tcW w:w="3543" w:type="dxa"/>
            <w:shd w:val="clear" w:color="auto" w:fill="D9D9D9"/>
            <w:vAlign w:val="center"/>
          </w:tcPr>
          <w:p w:rsidR="00693D28" w:rsidRPr="0036453D" w:rsidRDefault="00693D28" w:rsidP="0036453D">
            <w:pPr>
              <w:pStyle w:val="TableParagraph"/>
              <w:spacing w:before="10"/>
              <w:ind w:left="0"/>
              <w:jc w:val="center"/>
              <w:rPr>
                <w:sz w:val="18"/>
                <w:szCs w:val="18"/>
              </w:rPr>
            </w:pPr>
          </w:p>
          <w:p w:rsidR="00693D28" w:rsidRPr="0036453D" w:rsidRDefault="00693D28" w:rsidP="0036453D">
            <w:pPr>
              <w:pStyle w:val="TableParagraph"/>
              <w:spacing w:before="0" w:line="234" w:lineRule="exact"/>
              <w:jc w:val="center"/>
              <w:rPr>
                <w:sz w:val="18"/>
                <w:szCs w:val="18"/>
              </w:rPr>
            </w:pPr>
            <w:r w:rsidRPr="0036453D">
              <w:rPr>
                <w:sz w:val="18"/>
                <w:szCs w:val="18"/>
              </w:rPr>
              <w:t>Nepal</w:t>
            </w:r>
          </w:p>
        </w:tc>
        <w:tc>
          <w:tcPr>
            <w:tcW w:w="3828" w:type="dxa"/>
          </w:tcPr>
          <w:p w:rsidR="00693D28" w:rsidRPr="0036453D" w:rsidRDefault="00693D28" w:rsidP="000D4D79">
            <w:pPr>
              <w:pStyle w:val="TableParagraph"/>
              <w:ind w:left="2025"/>
              <w:rPr>
                <w:sz w:val="18"/>
                <w:szCs w:val="18"/>
              </w:rPr>
            </w:pPr>
            <w:r w:rsidRPr="0036453D">
              <w:rPr>
                <w:sz w:val="18"/>
                <w:szCs w:val="18"/>
              </w:rPr>
              <w:t>1</w:t>
            </w:r>
          </w:p>
        </w:tc>
      </w:tr>
      <w:tr w:rsidR="00693D28" w:rsidTr="00CD3414">
        <w:trPr>
          <w:trHeight w:val="507"/>
        </w:trPr>
        <w:tc>
          <w:tcPr>
            <w:tcW w:w="3543" w:type="dxa"/>
            <w:shd w:val="clear" w:color="auto" w:fill="D9D9D9"/>
            <w:vAlign w:val="center"/>
          </w:tcPr>
          <w:p w:rsidR="00693D28" w:rsidRPr="0036453D" w:rsidRDefault="00693D28" w:rsidP="0036453D">
            <w:pPr>
              <w:pStyle w:val="TableParagraph"/>
              <w:spacing w:before="10"/>
              <w:ind w:left="0"/>
              <w:jc w:val="center"/>
              <w:rPr>
                <w:sz w:val="18"/>
                <w:szCs w:val="18"/>
              </w:rPr>
            </w:pPr>
          </w:p>
          <w:p w:rsidR="00693D28" w:rsidRPr="0036453D" w:rsidRDefault="00693D28" w:rsidP="0036453D">
            <w:pPr>
              <w:pStyle w:val="TableParagraph"/>
              <w:spacing w:before="0" w:line="236" w:lineRule="exact"/>
              <w:jc w:val="center"/>
              <w:rPr>
                <w:sz w:val="18"/>
                <w:szCs w:val="18"/>
              </w:rPr>
            </w:pPr>
            <w:r w:rsidRPr="0036453D">
              <w:rPr>
                <w:sz w:val="18"/>
                <w:szCs w:val="18"/>
              </w:rPr>
              <w:t>Kamerun</w:t>
            </w:r>
          </w:p>
        </w:tc>
        <w:tc>
          <w:tcPr>
            <w:tcW w:w="3828" w:type="dxa"/>
          </w:tcPr>
          <w:p w:rsidR="00693D28" w:rsidRPr="0036453D" w:rsidRDefault="00693D28" w:rsidP="000D4D79">
            <w:pPr>
              <w:pStyle w:val="TableParagraph"/>
              <w:ind w:left="2025"/>
              <w:rPr>
                <w:sz w:val="18"/>
                <w:szCs w:val="18"/>
              </w:rPr>
            </w:pPr>
            <w:r w:rsidRPr="0036453D">
              <w:rPr>
                <w:sz w:val="18"/>
                <w:szCs w:val="18"/>
              </w:rPr>
              <w:t>1</w:t>
            </w:r>
          </w:p>
        </w:tc>
      </w:tr>
      <w:tr w:rsidR="00693D28" w:rsidTr="00CD3414">
        <w:trPr>
          <w:trHeight w:val="505"/>
        </w:trPr>
        <w:tc>
          <w:tcPr>
            <w:tcW w:w="3543" w:type="dxa"/>
            <w:shd w:val="clear" w:color="auto" w:fill="D9D9D9"/>
            <w:vAlign w:val="center"/>
          </w:tcPr>
          <w:p w:rsidR="00693D28" w:rsidRPr="0036453D" w:rsidRDefault="00693D28" w:rsidP="0036453D">
            <w:pPr>
              <w:pStyle w:val="TableParagraph"/>
              <w:spacing w:before="10"/>
              <w:ind w:left="0"/>
              <w:jc w:val="center"/>
              <w:rPr>
                <w:sz w:val="18"/>
                <w:szCs w:val="18"/>
              </w:rPr>
            </w:pPr>
          </w:p>
          <w:p w:rsidR="00693D28" w:rsidRPr="0036453D" w:rsidRDefault="00693D28" w:rsidP="0036453D">
            <w:pPr>
              <w:pStyle w:val="TableParagraph"/>
              <w:spacing w:before="0" w:line="234" w:lineRule="exact"/>
              <w:ind w:left="1016" w:right="998"/>
              <w:jc w:val="center"/>
              <w:rPr>
                <w:sz w:val="18"/>
                <w:szCs w:val="18"/>
              </w:rPr>
            </w:pPr>
            <w:r w:rsidRPr="0036453D">
              <w:rPr>
                <w:sz w:val="18"/>
                <w:szCs w:val="18"/>
              </w:rPr>
              <w:t>Marokko</w:t>
            </w:r>
          </w:p>
        </w:tc>
        <w:tc>
          <w:tcPr>
            <w:tcW w:w="3828" w:type="dxa"/>
          </w:tcPr>
          <w:p w:rsidR="00693D28" w:rsidRPr="0036453D" w:rsidRDefault="00693D28" w:rsidP="00CD3414">
            <w:pPr>
              <w:pStyle w:val="TableParagraph"/>
              <w:ind w:left="2025"/>
              <w:rPr>
                <w:sz w:val="18"/>
                <w:szCs w:val="18"/>
              </w:rPr>
            </w:pPr>
            <w:r w:rsidRPr="0036453D">
              <w:rPr>
                <w:sz w:val="18"/>
                <w:szCs w:val="18"/>
              </w:rPr>
              <w:t>1</w:t>
            </w:r>
          </w:p>
        </w:tc>
      </w:tr>
      <w:tr w:rsidR="00693D28" w:rsidTr="00CD3414">
        <w:trPr>
          <w:trHeight w:val="508"/>
        </w:trPr>
        <w:tc>
          <w:tcPr>
            <w:tcW w:w="3543" w:type="dxa"/>
            <w:shd w:val="clear" w:color="auto" w:fill="D9D9D9"/>
            <w:vAlign w:val="center"/>
          </w:tcPr>
          <w:p w:rsidR="00693D28" w:rsidRPr="0036453D" w:rsidRDefault="00693D28" w:rsidP="0036453D">
            <w:pPr>
              <w:pStyle w:val="TableParagraph"/>
              <w:spacing w:before="10"/>
              <w:ind w:left="0"/>
              <w:jc w:val="center"/>
              <w:rPr>
                <w:sz w:val="18"/>
                <w:szCs w:val="18"/>
              </w:rPr>
            </w:pPr>
          </w:p>
          <w:p w:rsidR="00693D28" w:rsidRPr="0036453D" w:rsidRDefault="00693D28" w:rsidP="0036453D">
            <w:pPr>
              <w:pStyle w:val="TableParagraph"/>
              <w:spacing w:before="0" w:line="236" w:lineRule="exact"/>
              <w:ind w:left="1016" w:right="1000"/>
              <w:jc w:val="center"/>
              <w:rPr>
                <w:sz w:val="18"/>
                <w:szCs w:val="18"/>
              </w:rPr>
            </w:pPr>
            <w:r w:rsidRPr="0036453D">
              <w:rPr>
                <w:sz w:val="18"/>
                <w:szCs w:val="18"/>
              </w:rPr>
              <w:t>Nordmazedonien</w:t>
            </w:r>
          </w:p>
        </w:tc>
        <w:tc>
          <w:tcPr>
            <w:tcW w:w="3828" w:type="dxa"/>
          </w:tcPr>
          <w:p w:rsidR="00693D28" w:rsidRPr="0036453D" w:rsidRDefault="00693D28" w:rsidP="000D4D79">
            <w:pPr>
              <w:pStyle w:val="TableParagraph"/>
              <w:spacing w:before="125"/>
              <w:ind w:left="13"/>
              <w:jc w:val="center"/>
              <w:rPr>
                <w:sz w:val="18"/>
                <w:szCs w:val="18"/>
              </w:rPr>
            </w:pPr>
            <w:r w:rsidRPr="0036453D">
              <w:rPr>
                <w:sz w:val="18"/>
                <w:szCs w:val="18"/>
              </w:rPr>
              <w:t>1</w:t>
            </w:r>
          </w:p>
        </w:tc>
      </w:tr>
      <w:tr w:rsidR="00693D28" w:rsidTr="00CD3414">
        <w:trPr>
          <w:trHeight w:val="505"/>
        </w:trPr>
        <w:tc>
          <w:tcPr>
            <w:tcW w:w="3543" w:type="dxa"/>
            <w:shd w:val="clear" w:color="auto" w:fill="D9D9D9"/>
            <w:vAlign w:val="center"/>
          </w:tcPr>
          <w:p w:rsidR="00693D28" w:rsidRPr="0036453D" w:rsidRDefault="00693D28" w:rsidP="0036453D">
            <w:pPr>
              <w:pStyle w:val="TableParagraph"/>
              <w:spacing w:before="7"/>
              <w:ind w:left="0"/>
              <w:jc w:val="center"/>
              <w:rPr>
                <w:sz w:val="18"/>
                <w:szCs w:val="18"/>
              </w:rPr>
            </w:pPr>
          </w:p>
          <w:p w:rsidR="00693D28" w:rsidRPr="0036453D" w:rsidRDefault="00693D28" w:rsidP="0036453D">
            <w:pPr>
              <w:pStyle w:val="TableParagraph"/>
              <w:spacing w:before="0" w:line="236" w:lineRule="exact"/>
              <w:ind w:left="1016" w:right="997"/>
              <w:jc w:val="center"/>
              <w:rPr>
                <w:sz w:val="18"/>
                <w:szCs w:val="18"/>
              </w:rPr>
            </w:pPr>
            <w:r w:rsidRPr="0036453D">
              <w:rPr>
                <w:sz w:val="18"/>
                <w:szCs w:val="18"/>
              </w:rPr>
              <w:t>Jordanien</w:t>
            </w:r>
          </w:p>
        </w:tc>
        <w:tc>
          <w:tcPr>
            <w:tcW w:w="3828" w:type="dxa"/>
          </w:tcPr>
          <w:p w:rsidR="00693D28" w:rsidRPr="0036453D" w:rsidRDefault="00693D28" w:rsidP="000D4D79">
            <w:pPr>
              <w:pStyle w:val="TableParagraph"/>
              <w:ind w:left="13"/>
              <w:jc w:val="center"/>
              <w:rPr>
                <w:sz w:val="18"/>
                <w:szCs w:val="18"/>
              </w:rPr>
            </w:pPr>
            <w:r w:rsidRPr="0036453D">
              <w:rPr>
                <w:sz w:val="18"/>
                <w:szCs w:val="18"/>
              </w:rPr>
              <w:t>1</w:t>
            </w:r>
          </w:p>
        </w:tc>
      </w:tr>
      <w:tr w:rsidR="00693D28" w:rsidTr="00CD3414">
        <w:trPr>
          <w:trHeight w:val="505"/>
        </w:trPr>
        <w:tc>
          <w:tcPr>
            <w:tcW w:w="3543" w:type="dxa"/>
            <w:shd w:val="clear" w:color="auto" w:fill="D9D9D9"/>
            <w:vAlign w:val="center"/>
          </w:tcPr>
          <w:p w:rsidR="00693D28" w:rsidRPr="0036453D" w:rsidRDefault="00693D28" w:rsidP="0036453D">
            <w:pPr>
              <w:pStyle w:val="TableParagraph"/>
              <w:spacing w:before="10"/>
              <w:ind w:left="0"/>
              <w:jc w:val="center"/>
              <w:rPr>
                <w:sz w:val="18"/>
                <w:szCs w:val="18"/>
              </w:rPr>
            </w:pPr>
          </w:p>
          <w:p w:rsidR="00693D28" w:rsidRPr="0036453D" w:rsidRDefault="00693D28" w:rsidP="0036453D">
            <w:pPr>
              <w:pStyle w:val="TableParagraph"/>
              <w:spacing w:before="0" w:line="234" w:lineRule="exact"/>
              <w:ind w:left="1016" w:right="998"/>
              <w:jc w:val="center"/>
              <w:rPr>
                <w:sz w:val="18"/>
                <w:szCs w:val="18"/>
              </w:rPr>
            </w:pPr>
            <w:r w:rsidRPr="0036453D">
              <w:rPr>
                <w:sz w:val="18"/>
                <w:szCs w:val="18"/>
              </w:rPr>
              <w:t>staatenlos</w:t>
            </w:r>
          </w:p>
        </w:tc>
        <w:tc>
          <w:tcPr>
            <w:tcW w:w="3828" w:type="dxa"/>
          </w:tcPr>
          <w:p w:rsidR="00693D28" w:rsidRPr="0036453D" w:rsidRDefault="00693D28" w:rsidP="000D4D79">
            <w:pPr>
              <w:pStyle w:val="TableParagraph"/>
              <w:ind w:left="13"/>
              <w:jc w:val="center"/>
              <w:rPr>
                <w:sz w:val="18"/>
                <w:szCs w:val="18"/>
              </w:rPr>
            </w:pPr>
            <w:r w:rsidRPr="0036453D">
              <w:rPr>
                <w:sz w:val="18"/>
                <w:szCs w:val="18"/>
              </w:rPr>
              <w:t>1</w:t>
            </w:r>
          </w:p>
        </w:tc>
      </w:tr>
    </w:tbl>
    <w:p w:rsidR="00693D28" w:rsidRDefault="00693D28" w:rsidP="00693D28">
      <w:pPr>
        <w:pStyle w:val="LTAntwortRessortText"/>
        <w:ind w:left="0"/>
      </w:pPr>
    </w:p>
    <w:p w:rsidR="00230E2B" w:rsidRDefault="00230E2B">
      <w:bookmarkStart w:id="46" w:name="Frage_Nr_22_Ende"/>
      <w:bookmarkEnd w:id="4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2"/>
        <w:gridCol w:w="5774"/>
      </w:tblGrid>
      <w:tr w:rsidR="00230E2B" w:rsidTr="007B0B33">
        <w:tc>
          <w:tcPr>
            <w:tcW w:w="2050" w:type="dxa"/>
          </w:tcPr>
          <w:p w:rsidR="00230E2B" w:rsidRDefault="00230E2B" w:rsidP="00230E2B">
            <w:pPr>
              <w:pStyle w:val="LTAnfrageInitiator"/>
            </w:pPr>
            <w:r>
              <w:lastRenderedPageBreak/>
              <w:t>Abgeordneter</w:t>
            </w:r>
            <w:r>
              <w:rPr>
                <w:b/>
              </w:rPr>
              <w:br/>
              <w:t>Florian</w:t>
            </w:r>
            <w:r w:rsidR="0036453D">
              <w:rPr>
                <w:b/>
              </w:rPr>
              <w:t xml:space="preserve"> von</w:t>
            </w:r>
            <w:r>
              <w:rPr>
                <w:b/>
              </w:rPr>
              <w:br/>
              <w:t>Brunn</w:t>
            </w:r>
            <w:r>
              <w:rPr>
                <w:b/>
              </w:rPr>
              <w:br/>
            </w:r>
            <w:r>
              <w:t>(SPD)</w:t>
            </w:r>
            <w:bookmarkStart w:id="47" w:name="Frage_Nr_23"/>
            <w:bookmarkEnd w:id="47"/>
          </w:p>
        </w:tc>
        <w:tc>
          <w:tcPr>
            <w:tcW w:w="7200" w:type="dxa"/>
          </w:tcPr>
          <w:p w:rsidR="00230E2B" w:rsidRDefault="000F5738" w:rsidP="00230E2B">
            <w:pPr>
              <w:pStyle w:val="LTAnfrageText"/>
            </w:pPr>
            <w:r w:rsidRPr="000F5738">
              <w:rPr>
                <w:szCs w:val="24"/>
              </w:rPr>
              <w:t>Nachdem mit dem aktuellen Missbrauchsgutachten bereits das zweite Gutachten zu Fällen von sexualisierter Gewalt und sog. Missbrauch in der Erzdiözese München und Freising vorgelegt wurde und laut Presseberichten offenbar erst 2018 diesbezüglich staatsanwaltliche Ermittlungen aufgenommen wurden, frage ich die Staatsregierung, welche (Vor-)Ermittlungen wurden seit der Veröffentlichung des o. g. Gutachtens 2010 bis heute gegen mutmaßliche Täter und gegen Verantwortliche bzw. kirchliche Entscheidungsträger eingeleitet (bitte unter Nennung aller Details inklusive Inhalt, Datum und Verlauf des Verfahrens), welche (Vor-)Ermittlungen gegen hohe kirchliche Entscheidungsträger, insbesondere auch Friedrich Wetter, Papst Emeritus Benedikt XVI. bzw. Josef Ratzinger, Reinhard Kardinal Marx und Lorenz Wolf, wurden eingeleitet (bitte unter Nennung aller Details inklusive Inhalt, Datum und Verlauf des Verfahrens), und – nachdem meine letzte Anfrage nach diesem Sachverhalt unzureichend beantwortet wurde –, welche Staatsminister und Mitglieder der Staatsregierung wurden seit dem o. g. Gutachten von 2010 über die bekannten Missbrauchsfälle in der Erzdiözese oder das Verhalten der verantwortlichen kirchlichen Entscheidungsträger informiert (bitte unter Nennung aller Details wie Inhalt, Fall und Datum sowie Name des Mitglieds der Staatsregierung)?</w:t>
            </w:r>
          </w:p>
        </w:tc>
      </w:tr>
    </w:tbl>
    <w:p w:rsidR="00230E2B" w:rsidRDefault="00230E2B" w:rsidP="00230E2B">
      <w:pPr>
        <w:pStyle w:val="LTUeberschrAntwortRessort"/>
      </w:pPr>
      <w:r>
        <w:t>Antwort des Staatsministeriums der Justiz</w:t>
      </w:r>
    </w:p>
    <w:p w:rsidR="00230E2B" w:rsidRDefault="00230E2B" w:rsidP="00CC5F28">
      <w:pPr>
        <w:pStyle w:val="LTAntwortRessortText"/>
      </w:pPr>
      <w:r>
        <w:t>Zu der Frage nach seit dem Jahr 2010 eingeleiteten (Vor-)Ermittlungsverfahren ist</w:t>
      </w:r>
      <w:r w:rsidR="00CC5F28">
        <w:t xml:space="preserve"> </w:t>
      </w:r>
      <w:r>
        <w:t>darauf hinzuweisen, dass Ermittlungs- und Strafverfahren im Zusammenhang mit</w:t>
      </w:r>
      <w:r w:rsidR="00CC5F28">
        <w:t xml:space="preserve"> </w:t>
      </w:r>
      <w:r>
        <w:t>sexuellem Missbrauch durch Kirchenangehörige als solche im Fachverfahren</w:t>
      </w:r>
      <w:r w:rsidR="00CC5F28">
        <w:t xml:space="preserve"> </w:t>
      </w:r>
      <w:r>
        <w:t xml:space="preserve">web.sta, </w:t>
      </w:r>
      <w:r w:rsidR="00062A75">
        <w:t>das</w:t>
      </w:r>
      <w:r>
        <w:t xml:space="preserve"> in Bayern und in acht weiteren Bundesländern bei den Staatsanwaltschaften</w:t>
      </w:r>
      <w:r w:rsidR="00CC5F28">
        <w:t xml:space="preserve"> </w:t>
      </w:r>
      <w:r>
        <w:t>verwendet wird, nicht gesondert statistisch erfasst werden. Die Frage</w:t>
      </w:r>
      <w:r w:rsidR="00CC5F28">
        <w:t xml:space="preserve"> </w:t>
      </w:r>
      <w:r>
        <w:t>könnte nur umfassend beantwortet werden, wenn alle relevanten Verfahrensakten</w:t>
      </w:r>
      <w:r w:rsidR="00CC5F28">
        <w:t xml:space="preserve"> </w:t>
      </w:r>
      <w:r>
        <w:t>händisch durchgesehen werden. Dies ist innerhalb der für die Beantwortung der</w:t>
      </w:r>
      <w:r w:rsidR="00CC5F28">
        <w:t xml:space="preserve"> </w:t>
      </w:r>
      <w:r>
        <w:t>Anfrage zur Verfügung ste</w:t>
      </w:r>
      <w:r w:rsidR="00CC5F28">
        <w:t>henden Zeit nicht durchführbar.</w:t>
      </w:r>
    </w:p>
    <w:p w:rsidR="00230E2B" w:rsidRDefault="00230E2B" w:rsidP="00230E2B">
      <w:pPr>
        <w:pStyle w:val="LTAntwortRessortText"/>
      </w:pPr>
      <w:r>
        <w:t>Ergänzend ist darauf hinzuweisen, dass Ermittlungsakten nach Ablauf der Aufbewahrungsfrist</w:t>
      </w:r>
      <w:r w:rsidR="00CC5F28">
        <w:t xml:space="preserve"> </w:t>
      </w:r>
      <w:r>
        <w:t>ausgesondert und die Verfahren im staatsanwaltschaftlichen Datenbestand</w:t>
      </w:r>
      <w:r w:rsidR="00CC5F28">
        <w:t xml:space="preserve"> </w:t>
      </w:r>
      <w:r>
        <w:t>automatisiert gelöscht werden. Die Aufbewahrungsfristen folgen dem Gedanken,</w:t>
      </w:r>
      <w:r w:rsidR="00CC5F28">
        <w:t xml:space="preserve"> </w:t>
      </w:r>
      <w:r>
        <w:t>Verfahrensakten grundsätzlich nur so lange aufzubewahren, wie dies für</w:t>
      </w:r>
      <w:r w:rsidR="00CC5F28">
        <w:t xml:space="preserve"> </w:t>
      </w:r>
      <w:r>
        <w:t>die Zwecke des Strafverfahrens erforderlich ist. Beispielsweise beträgt die Aufbewahrungsfrist</w:t>
      </w:r>
      <w:r w:rsidR="00CC5F28">
        <w:t xml:space="preserve"> </w:t>
      </w:r>
      <w:r>
        <w:t>bei Ermittlungsverfahren in den Fällen der Verfahrensbeendigung</w:t>
      </w:r>
      <w:r w:rsidR="00CC5F28">
        <w:t xml:space="preserve"> </w:t>
      </w:r>
      <w:r>
        <w:t>durch die Staatsanwaltschaft, insbesondere Einstellungsverfügungen (z.</w:t>
      </w:r>
      <w:r w:rsidR="00062A75">
        <w:t> </w:t>
      </w:r>
      <w:r>
        <w:t>B. wegen</w:t>
      </w:r>
      <w:r w:rsidR="00CC5F28">
        <w:t xml:space="preserve"> </w:t>
      </w:r>
      <w:r>
        <w:t>Verjährung oder Tod des Beschuldigten), regelmäßig fünf Jahre und beginnt mit</w:t>
      </w:r>
      <w:r w:rsidR="00CC5F28">
        <w:t xml:space="preserve"> </w:t>
      </w:r>
      <w:r>
        <w:t>Ablauf des Jahres, in dem die verfahrensbeendigende Entscheidung getroffen</w:t>
      </w:r>
      <w:r w:rsidR="00CC5F28">
        <w:t xml:space="preserve"> </w:t>
      </w:r>
      <w:r>
        <w:t>wurde (§§ 3 Ab</w:t>
      </w:r>
      <w:r w:rsidR="00062A75">
        <w:t>s.</w:t>
      </w:r>
      <w:r>
        <w:t xml:space="preserve"> 1 </w:t>
      </w:r>
      <w:r w:rsidR="00062A75">
        <w:t>Seite</w:t>
      </w:r>
      <w:r>
        <w:t xml:space="preserve"> 2, 1 </w:t>
      </w:r>
      <w:r w:rsidR="00062A75">
        <w:t xml:space="preserve">Aufbewahrungsverordnung – </w:t>
      </w:r>
      <w:r>
        <w:t>AufbewV i.</w:t>
      </w:r>
      <w:r w:rsidR="00062A75">
        <w:t> </w:t>
      </w:r>
      <w:r>
        <w:t>V.</w:t>
      </w:r>
      <w:r w:rsidR="00062A75">
        <w:t> </w:t>
      </w:r>
      <w:r>
        <w:t>m. Kennziffer 622 der Anlage). Recherchen</w:t>
      </w:r>
      <w:r w:rsidR="00CC5F28">
        <w:t xml:space="preserve"> </w:t>
      </w:r>
      <w:r>
        <w:t>für einen Zeitraum von über 10 Jahren sind bereits aus diesem Grunde nicht</w:t>
      </w:r>
      <w:r w:rsidR="00CC5F28">
        <w:t xml:space="preserve"> </w:t>
      </w:r>
      <w:r>
        <w:t>möglich.</w:t>
      </w:r>
    </w:p>
    <w:p w:rsidR="00230E2B" w:rsidRDefault="00230E2B" w:rsidP="00230E2B">
      <w:pPr>
        <w:pStyle w:val="LTAntwortRessortText"/>
      </w:pPr>
      <w:r>
        <w:t>Bei der Staatsanwaltschaft München I wird derzeit ein umfangreicher Vorermittlungsvorgang</w:t>
      </w:r>
      <w:r w:rsidR="00CC5F28">
        <w:t xml:space="preserve"> </w:t>
      </w:r>
      <w:r>
        <w:t>geführt, der alle von der Kanzlei Westpfahl Spilker Wastl übermittelten</w:t>
      </w:r>
      <w:r w:rsidR="00CC5F28">
        <w:t xml:space="preserve"> </w:t>
      </w:r>
      <w:r>
        <w:t>Unterlagen betreffend kirchliche Verantwortungsträger umfasst. In diesen Unterlagen</w:t>
      </w:r>
      <w:r w:rsidR="00CC5F28">
        <w:t xml:space="preserve"> </w:t>
      </w:r>
      <w:r>
        <w:t>sind nach Auskunft der Staatsanwaltschaft München I auch die Personen</w:t>
      </w:r>
      <w:r w:rsidR="00CC5F28">
        <w:t xml:space="preserve"> </w:t>
      </w:r>
      <w:r>
        <w:lastRenderedPageBreak/>
        <w:t>Kardinal Wetter, Papst em. Benedikt XVI. / Kardinal Ratzinger, Kardinal Marx und</w:t>
      </w:r>
      <w:r w:rsidR="00CC5F28">
        <w:t xml:space="preserve"> </w:t>
      </w:r>
      <w:r>
        <w:t>Lorenz Wolf genannt. Die Staatsanwaltschaft München I wird zeitnah entscheiden,</w:t>
      </w:r>
      <w:r w:rsidR="00CC5F28">
        <w:t xml:space="preserve"> </w:t>
      </w:r>
      <w:r>
        <w:t>ob hinsichtlich einzelner Personen ein Ermittlungsverfahren einzuleiten ist.</w:t>
      </w:r>
    </w:p>
    <w:p w:rsidR="00230E2B" w:rsidRDefault="00230E2B" w:rsidP="00230E2B">
      <w:pPr>
        <w:pStyle w:val="LTAntwortRessortText"/>
      </w:pPr>
      <w:r>
        <w:t>Aufgrund der Anfrage wurden 58 hier vorliegende Berichtsvorgänge zu einzelnen</w:t>
      </w:r>
      <w:r w:rsidR="00CC5F28">
        <w:t xml:space="preserve"> </w:t>
      </w:r>
      <w:r>
        <w:t>Ermittlungsverfahren der Staatsanwaltschaften betreffend sexuellen Missbrauch</w:t>
      </w:r>
      <w:r w:rsidR="00CC5F28">
        <w:t xml:space="preserve"> </w:t>
      </w:r>
      <w:r>
        <w:t>im Bereich der Erzdiözese München und Freising seit 2010 gesichtet. In einem</w:t>
      </w:r>
      <w:r w:rsidR="00CC5F28">
        <w:t xml:space="preserve"> </w:t>
      </w:r>
      <w:r>
        <w:t>Fall, der eine Anzeige gegen einen Hausvater eines Caritas Kinderdorfes wegen</w:t>
      </w:r>
      <w:r w:rsidR="00CC5F28">
        <w:t xml:space="preserve"> </w:t>
      </w:r>
      <w:r>
        <w:t>sexuellen Missbrauchs Schutzbefohlener betraf, konnte eine Vorlage des Berichtsvorgangs</w:t>
      </w:r>
      <w:r w:rsidR="00CC5F28">
        <w:t xml:space="preserve"> </w:t>
      </w:r>
      <w:r w:rsidR="00893D5F">
        <w:t xml:space="preserve">an den damaligen </w:t>
      </w:r>
      <w:r>
        <w:t xml:space="preserve">Staatsminister </w:t>
      </w:r>
      <w:r w:rsidR="00893D5F">
        <w:t xml:space="preserve">der Justiz </w:t>
      </w:r>
      <w:r>
        <w:t>Prof. Dr. Bausback am 31. Januar 2014 festgestellt</w:t>
      </w:r>
      <w:r w:rsidR="00CC5F28">
        <w:t xml:space="preserve"> </w:t>
      </w:r>
      <w:r>
        <w:t>werden. Weitere Hinweise auf eine Vorlage von Berichten zu Einzelsachen</w:t>
      </w:r>
      <w:r w:rsidR="00CC5F28">
        <w:t xml:space="preserve"> </w:t>
      </w:r>
      <w:r>
        <w:t>betreffend sexuellen Missbrauch im Bereich der Erzdiözese München und Freising</w:t>
      </w:r>
      <w:r w:rsidR="00CC5F28">
        <w:t xml:space="preserve"> </w:t>
      </w:r>
      <w:r>
        <w:t>seit 2010 an den jeweiligen Staatsminister der Justiz ergab die Sichtung der genannten</w:t>
      </w:r>
      <w:r w:rsidR="00CC5F28">
        <w:t xml:space="preserve"> </w:t>
      </w:r>
      <w:r>
        <w:t>Vorgänge nicht. Allerdings kann aufgrund der beschränkten Recherchemöglichkeiten</w:t>
      </w:r>
      <w:r w:rsidR="00CC5F28">
        <w:t xml:space="preserve"> </w:t>
      </w:r>
      <w:r>
        <w:t>und der Kürze der Zeit nicht sicher gewährleistet werden, dass alle</w:t>
      </w:r>
      <w:r w:rsidR="00CC5F28">
        <w:t xml:space="preserve"> </w:t>
      </w:r>
      <w:r>
        <w:t>relevanten Vorgänge in die Sichtung einbezogen wurden.</w:t>
      </w:r>
    </w:p>
    <w:p w:rsidR="00230E2B" w:rsidRDefault="00230E2B" w:rsidP="00230E2B">
      <w:pPr>
        <w:pStyle w:val="LTAntwortRessortText"/>
      </w:pPr>
      <w:r>
        <w:t xml:space="preserve">Überdies wurde </w:t>
      </w:r>
      <w:r w:rsidR="00893D5F">
        <w:t xml:space="preserve">der damalige </w:t>
      </w:r>
      <w:r>
        <w:t xml:space="preserve">Staatsminister Prof. </w:t>
      </w:r>
      <w:r w:rsidR="00893D5F">
        <w:t xml:space="preserve">Dr. </w:t>
      </w:r>
      <w:r>
        <w:t>Bausback am 7. November 2018 über</w:t>
      </w:r>
      <w:r w:rsidR="00CC5F28">
        <w:t xml:space="preserve"> </w:t>
      </w:r>
      <w:r>
        <w:t>die aufgrund der MHG-Studie ergriffenen Maßnahmen der bayerischen Staatsanwaltschaften,</w:t>
      </w:r>
      <w:r w:rsidR="00CC5F28">
        <w:t xml:space="preserve"> </w:t>
      </w:r>
      <w:r>
        <w:t>insbesondere die Aufforderung an die Diözesen zur Herausgabe von</w:t>
      </w:r>
      <w:r w:rsidR="00CC5F28">
        <w:t xml:space="preserve"> </w:t>
      </w:r>
      <w:r>
        <w:t>Akten, in allgemeiner Form, d.</w:t>
      </w:r>
      <w:r w:rsidR="00E45A54">
        <w:t> </w:t>
      </w:r>
      <w:r>
        <w:t>h. ohne Informationen zu den konkreten einzelnen</w:t>
      </w:r>
      <w:r w:rsidR="00CC5F28">
        <w:t xml:space="preserve"> </w:t>
      </w:r>
      <w:r>
        <w:t>Fällen, unterrichtet. Über das diesbezügliche Vorgehen der Staatsanwaltschaften</w:t>
      </w:r>
      <w:r w:rsidR="00CC5F28">
        <w:t xml:space="preserve"> </w:t>
      </w:r>
      <w:r>
        <w:t xml:space="preserve">wurde auch </w:t>
      </w:r>
      <w:r w:rsidR="00893D5F">
        <w:t>Staatsminister der Justiz Georg</w:t>
      </w:r>
      <w:r>
        <w:t xml:space="preserve"> Eisenreich am 28. Dezember 2018 unterrichtet.</w:t>
      </w:r>
      <w:r w:rsidR="00CC5F28">
        <w:t xml:space="preserve"> </w:t>
      </w:r>
      <w:r>
        <w:t>Dieser wurde in der Folge in statistisch zusammengefasster Form über die Ergebnisse</w:t>
      </w:r>
      <w:r w:rsidR="00CC5F28">
        <w:t xml:space="preserve"> </w:t>
      </w:r>
      <w:r>
        <w:t>der Auswertung der der MHG-Studie zugrundeliegenden Unterlagen informiert.</w:t>
      </w:r>
      <w:r w:rsidR="00CC5F28">
        <w:t xml:space="preserve"> </w:t>
      </w:r>
      <w:r>
        <w:t xml:space="preserve">Ebenso wurde </w:t>
      </w:r>
      <w:r w:rsidR="00E45A54">
        <w:t>Herr Staatsminister Eisenreich – soweit bereits vorliegend –</w:t>
      </w:r>
      <w:r w:rsidR="00CC5F28">
        <w:t xml:space="preserve"> </w:t>
      </w:r>
      <w:r>
        <w:t>über das Ergebnis der Prüfung der von der Kanzlei Westphal Spilker Wastl vorgelegten</w:t>
      </w:r>
      <w:r w:rsidR="00CC5F28">
        <w:t xml:space="preserve"> </w:t>
      </w:r>
      <w:r>
        <w:t>Unterlagen durch die Staatsanwaltschaft in statistisch zusammengefasster</w:t>
      </w:r>
      <w:r w:rsidR="00CC5F28">
        <w:t xml:space="preserve"> </w:t>
      </w:r>
      <w:r>
        <w:t>Form informiert. Hinsichtlich der von der Kanzlei Westphal Spilker Wastl an die</w:t>
      </w:r>
      <w:r w:rsidR="00CC5F28">
        <w:t xml:space="preserve"> </w:t>
      </w:r>
      <w:r>
        <w:t>Staatsanwaltschaft München I im August und November 2021 vorgelegten Unterlagen</w:t>
      </w:r>
      <w:r w:rsidR="00CC5F28">
        <w:t xml:space="preserve"> </w:t>
      </w:r>
      <w:r>
        <w:t>zu insgesamt 42 kirchlichen Verantwortungsträgern ist die Prüfung der</w:t>
      </w:r>
      <w:r w:rsidR="00CC5F28">
        <w:t xml:space="preserve"> </w:t>
      </w:r>
      <w:r>
        <w:t>Staatsanwaltschaft, ob und inwieweit Ermittlungsverfahren einzuleiten sind, noch</w:t>
      </w:r>
      <w:r w:rsidR="00CC5F28">
        <w:t xml:space="preserve"> </w:t>
      </w:r>
      <w:r>
        <w:t>nicht abgeschlossen.</w:t>
      </w:r>
    </w:p>
    <w:p w:rsidR="00230E2B" w:rsidRDefault="00230E2B">
      <w:bookmarkStart w:id="48" w:name="Frage_Nr_23_Ende"/>
      <w:bookmarkEnd w:id="4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9"/>
        <w:gridCol w:w="5787"/>
      </w:tblGrid>
      <w:tr w:rsidR="00230E2B" w:rsidTr="007B0B33">
        <w:tc>
          <w:tcPr>
            <w:tcW w:w="2050" w:type="dxa"/>
          </w:tcPr>
          <w:p w:rsidR="00230E2B" w:rsidRDefault="00230E2B" w:rsidP="00230E2B">
            <w:pPr>
              <w:pStyle w:val="LTAnfrageInitiator"/>
            </w:pPr>
            <w:r>
              <w:lastRenderedPageBreak/>
              <w:t>Abgeordneter</w:t>
            </w:r>
            <w:r>
              <w:rPr>
                <w:b/>
              </w:rPr>
              <w:br/>
              <w:t>Martin</w:t>
            </w:r>
            <w:r>
              <w:rPr>
                <w:b/>
              </w:rPr>
              <w:br/>
              <w:t>Hagen</w:t>
            </w:r>
            <w:r>
              <w:rPr>
                <w:b/>
              </w:rPr>
              <w:br/>
            </w:r>
            <w:r>
              <w:t>(FDP)</w:t>
            </w:r>
            <w:bookmarkStart w:id="49" w:name="Frage_Nr_24"/>
            <w:bookmarkEnd w:id="49"/>
          </w:p>
        </w:tc>
        <w:tc>
          <w:tcPr>
            <w:tcW w:w="7200" w:type="dxa"/>
          </w:tcPr>
          <w:p w:rsidR="00230E2B" w:rsidRDefault="0012007F" w:rsidP="00FD2CB9">
            <w:pPr>
              <w:pStyle w:val="LTAnfrageText"/>
            </w:pPr>
            <w:r w:rsidRPr="0012007F">
              <w:rPr>
                <w:szCs w:val="24"/>
              </w:rPr>
              <w:t>Vor dem Hintergrund des aktuellen Missbrauchsgutachtens im Bereich der Erzdiözese München und Freising, welches die Rechtsanwaltskanzlei Westpfahl Spilker Wastl erstellt hat und der dort auf Seite 1158 wiedergegebenen Darstellung, „Dr. Wolf hat gegenüber den Gutachtern in der Zeitzeugenbefragung angegeben, Verdachtsfälle prinzipiell an die staatlichen Strafverfolgungsbehörden weitergeleitet zu haben“, frage ich die Staatsregierung, welche durch Prälat Dr. Lorenz Wolf (un)mittelbar an die Staatsanwaltschaft weitergeleiteten Verdachtsfälle sie im Zeitraum der Antwortfrist benennen kann (bitte ggfs. im Einzelnen möglichst aussagekräftig – inklusive daraufhin erfolgter Ermittlungen und Rechtsfolgen – darstellen), welche weiteren Verfahren bzw. (Vor-)Ermittlungen in Folge des Gutachtens gegen mutmaßliche Täter oder sonstige Beteiligte der Missbrauchsfälle eingeleitet worden sind und welche neuen Erkenntnisse sich bezüglich der in Drs. 18/17271 dargestellten Ermittlungen seit Mai 2021 ergeben haben?</w:t>
            </w:r>
          </w:p>
        </w:tc>
      </w:tr>
    </w:tbl>
    <w:p w:rsidR="00230E2B" w:rsidRDefault="00230E2B" w:rsidP="00230E2B">
      <w:pPr>
        <w:pStyle w:val="LTUeberschrAntwortRessort"/>
      </w:pPr>
      <w:r>
        <w:t>Antwort des Staatsministeriums der Justiz</w:t>
      </w:r>
    </w:p>
    <w:p w:rsidR="00230E2B" w:rsidRDefault="00230E2B" w:rsidP="00230E2B">
      <w:pPr>
        <w:pStyle w:val="LTAntwortRessortText"/>
      </w:pPr>
      <w:r>
        <w:t>Soweit sich die Anfrage auf von Prälat Dr. Wolf weitergeleitete Verdachtsfälle bezieht,</w:t>
      </w:r>
      <w:r w:rsidR="00FD2CB9">
        <w:t xml:space="preserve"> </w:t>
      </w:r>
      <w:r>
        <w:t>lassen sich die angefragten Daten der Geschäftsstatistik der Staatsanwaltschaft</w:t>
      </w:r>
      <w:r w:rsidR="00FD2CB9">
        <w:t xml:space="preserve"> </w:t>
      </w:r>
      <w:r>
        <w:t>nicht entnehmen, da diese keine Aussage zur Person des Anzeigeerstatters</w:t>
      </w:r>
      <w:r w:rsidR="00FD2CB9">
        <w:t xml:space="preserve"> </w:t>
      </w:r>
      <w:r>
        <w:t>trifft. Auch eine Recherche unter Verwendung des Fachverfahrens web.sta führt</w:t>
      </w:r>
      <w:r w:rsidR="00FD2CB9">
        <w:t xml:space="preserve"> </w:t>
      </w:r>
      <w:r>
        <w:t>zu keinen aussagekräftigen Ergebnissen, da nicht bekannt ist, wer im Einzelfall als</w:t>
      </w:r>
      <w:r w:rsidR="00FD2CB9">
        <w:t xml:space="preserve"> </w:t>
      </w:r>
      <w:r>
        <w:t>Anzeigeerstatter im EDV-System erfasst ist, Prä</w:t>
      </w:r>
      <w:r w:rsidR="0038161E">
        <w:t>lat Dr. Wolf persönlich oder z. </w:t>
      </w:r>
      <w:r>
        <w:t>B.</w:t>
      </w:r>
      <w:r w:rsidR="00FD2CB9">
        <w:t xml:space="preserve"> </w:t>
      </w:r>
      <w:r>
        <w:t>das Erzbischöfliche Ordinariat München. Eine Beantwortung der Anfrage könnte</w:t>
      </w:r>
      <w:r w:rsidR="00FD2CB9">
        <w:t xml:space="preserve"> </w:t>
      </w:r>
      <w:r>
        <w:t>daher nur auf Grundlage einer händischen Auswertung aller in Betracht kommenden</w:t>
      </w:r>
      <w:r w:rsidR="00FD2CB9">
        <w:t xml:space="preserve"> </w:t>
      </w:r>
      <w:r>
        <w:t>Akten gewonnen werden, welche in der Kürze der verfügbaren Zeit nicht</w:t>
      </w:r>
      <w:r w:rsidR="00FD2CB9">
        <w:t xml:space="preserve"> </w:t>
      </w:r>
      <w:r>
        <w:t>durchführbar ist. Ergänzend ist darauf hinzuweisen, dass Ermittlungsakten nach</w:t>
      </w:r>
      <w:r w:rsidR="00FD2CB9">
        <w:t xml:space="preserve"> </w:t>
      </w:r>
      <w:r>
        <w:t>Ablauf der Aufbewahrungsfrist ausgesondert und die Verfahren im staatsanwaltschaftlichen</w:t>
      </w:r>
      <w:r w:rsidR="00FD2CB9">
        <w:t xml:space="preserve"> </w:t>
      </w:r>
      <w:r>
        <w:t>Datenbestand automatisiert gelösch</w:t>
      </w:r>
      <w:r w:rsidR="00FD2CB9">
        <w:t>t werden. Die Aufbewahrungsfris</w:t>
      </w:r>
      <w:r>
        <w:t>ten folgen dem Gedanken, Verfahrensakten grundsätzlich nur so lange aufzubewahren,</w:t>
      </w:r>
      <w:r w:rsidR="00FD2CB9">
        <w:t xml:space="preserve"> </w:t>
      </w:r>
      <w:r>
        <w:t>wie dies für die Zwecke des Strafverfahrens erforderlich ist. Beispielsweise</w:t>
      </w:r>
      <w:r w:rsidR="00FD2CB9">
        <w:t xml:space="preserve"> </w:t>
      </w:r>
      <w:r>
        <w:t>beträgt die Aufbewahrungsfrist bei Ermittlungsverfahren in den Fällen der</w:t>
      </w:r>
      <w:r w:rsidR="00FD2CB9">
        <w:t xml:space="preserve"> </w:t>
      </w:r>
      <w:r>
        <w:t>Verfahrensbeendigung durch die Staatsanwaltschaft, insbesondere Einstellungsverfügungen</w:t>
      </w:r>
      <w:r w:rsidR="00FD2CB9">
        <w:t xml:space="preserve"> </w:t>
      </w:r>
      <w:r>
        <w:t>(z.</w:t>
      </w:r>
      <w:r w:rsidR="0038161E">
        <w:t> </w:t>
      </w:r>
      <w:r>
        <w:t>B. wegen Verjährung oder Tod des Beschuldigten), regelmäßig</w:t>
      </w:r>
      <w:r w:rsidR="00FD2CB9">
        <w:t xml:space="preserve"> </w:t>
      </w:r>
      <w:r>
        <w:t>fünf Jahre und beginnt mit Ablauf des Jahres, in dem die verfahrensbeendigende</w:t>
      </w:r>
      <w:r w:rsidR="00FD2CB9">
        <w:t xml:space="preserve"> </w:t>
      </w:r>
      <w:r>
        <w:t>Entscheidung getroffen wurde (§§ 3 Ab</w:t>
      </w:r>
      <w:r w:rsidR="0038161E">
        <w:t>s.</w:t>
      </w:r>
      <w:r>
        <w:t xml:space="preserve"> 1 </w:t>
      </w:r>
      <w:r w:rsidR="0038161E">
        <w:t>Seite</w:t>
      </w:r>
      <w:r>
        <w:t xml:space="preserve"> 2, 1 </w:t>
      </w:r>
      <w:r w:rsidR="0038161E">
        <w:t xml:space="preserve">Aufbewahrungsverordnung – </w:t>
      </w:r>
      <w:r>
        <w:t>AufbewV i.</w:t>
      </w:r>
      <w:r w:rsidR="0038161E">
        <w:t> </w:t>
      </w:r>
      <w:r>
        <w:t>V.</w:t>
      </w:r>
      <w:r w:rsidR="0038161E">
        <w:t> </w:t>
      </w:r>
      <w:r>
        <w:t>m. Kennziffer 622</w:t>
      </w:r>
      <w:r w:rsidR="00FD2CB9">
        <w:t xml:space="preserve"> </w:t>
      </w:r>
      <w:r>
        <w:t>der Anlage). Recherchen für länger zurückliegende Zeiträume sind daher in diesen</w:t>
      </w:r>
      <w:r w:rsidR="00FD2CB9">
        <w:t xml:space="preserve"> </w:t>
      </w:r>
      <w:r>
        <w:t>Fällen nicht möglich.</w:t>
      </w:r>
    </w:p>
    <w:p w:rsidR="00230E2B" w:rsidRDefault="00230E2B" w:rsidP="00230E2B">
      <w:pPr>
        <w:pStyle w:val="LTAntwortRessortText"/>
      </w:pPr>
      <w:r>
        <w:t>Die Erzdiözese München und Freising hat über die Kanzlei Westphal Spilker Wastl</w:t>
      </w:r>
      <w:r w:rsidR="00FD2CB9">
        <w:t xml:space="preserve"> </w:t>
      </w:r>
      <w:r>
        <w:t>bereits vor Vorstellung des Gutachtens am 20. Januar 2022 der Staatsanwaltschaft</w:t>
      </w:r>
      <w:r w:rsidR="00FD2CB9">
        <w:t xml:space="preserve"> </w:t>
      </w:r>
      <w:r>
        <w:t>München I umfangreiche Unterlagen zu Missbrauchsfällen vorgelegt; nach</w:t>
      </w:r>
      <w:r w:rsidR="00FD2CB9">
        <w:t xml:space="preserve"> </w:t>
      </w:r>
      <w:r>
        <w:t>Auskunft der Staatsanwaltschaft München I wurden laut Aussage von Kanzleivertretern</w:t>
      </w:r>
      <w:r w:rsidR="00FD2CB9">
        <w:t xml:space="preserve"> </w:t>
      </w:r>
      <w:r>
        <w:t>alle dort bekannten Missbrauchsfälle vorgelegt. Daher sei nicht zu erwarten,</w:t>
      </w:r>
      <w:r w:rsidR="00FD2CB9">
        <w:t xml:space="preserve"> </w:t>
      </w:r>
      <w:r>
        <w:t>dass in Folge des Gutachtens noch weitere Verfahren eingeleitet werden. Die</w:t>
      </w:r>
      <w:r w:rsidR="00FD2CB9">
        <w:t xml:space="preserve"> </w:t>
      </w:r>
      <w:r>
        <w:t>Staatsanwaltschaft München I gleicht jedoch aktuell die bereits vorgelegten Unterlagen</w:t>
      </w:r>
      <w:r w:rsidR="00FD2CB9">
        <w:t xml:space="preserve"> </w:t>
      </w:r>
      <w:r>
        <w:t>mit dem Inhalt des nunmehr veröffentlichten Gutachtens ab.</w:t>
      </w:r>
    </w:p>
    <w:p w:rsidR="00230E2B" w:rsidRDefault="00230E2B" w:rsidP="00230E2B">
      <w:pPr>
        <w:pStyle w:val="LTAntwortRessortText"/>
      </w:pPr>
      <w:r>
        <w:lastRenderedPageBreak/>
        <w:t>Zur Auswertung der von der Kanzlei Westphal Spilker Wastl vorgelegten Unterlagen</w:t>
      </w:r>
      <w:r w:rsidR="00FD2CB9">
        <w:t xml:space="preserve"> </w:t>
      </w:r>
      <w:r>
        <w:t>zu Verdachtsfällen sexuellen Missbrauchs hat die Staatsanwaltschaft München</w:t>
      </w:r>
      <w:r w:rsidR="00FD2CB9">
        <w:t xml:space="preserve"> </w:t>
      </w:r>
      <w:r>
        <w:t>I Ende Dezember 2021 mitgeteilt, dass insgesamt 657 Datensätze betreffend</w:t>
      </w:r>
      <w:r w:rsidR="00FD2CB9">
        <w:t xml:space="preserve"> </w:t>
      </w:r>
      <w:r>
        <w:t>mögliche unmittelbare Täter gesichtet worden seien; hierbei ergaben sich in 334</w:t>
      </w:r>
      <w:r w:rsidR="00FD2CB9">
        <w:t xml:space="preserve"> </w:t>
      </w:r>
      <w:r>
        <w:t>Fällen Anhaltspunkte für verfolgbare Straftaten. Deren nähere Überprüfung erbrachte</w:t>
      </w:r>
      <w:r w:rsidR="00FD2CB9">
        <w:t xml:space="preserve"> </w:t>
      </w:r>
      <w:r>
        <w:t>nach Mitteilung der Staatsanwaltschaft München I folgendes Ergebni</w:t>
      </w:r>
      <w:r w:rsidR="00FD2CB9">
        <w:t>s.</w:t>
      </w:r>
    </w:p>
    <w:p w:rsidR="00230E2B" w:rsidRDefault="00230E2B" w:rsidP="00C2558D">
      <w:pPr>
        <w:pStyle w:val="LTAntwortRessortText"/>
      </w:pPr>
      <w:r>
        <w:t>a) In 18 Fällen waren die Betroffenen bereits verstorben.</w:t>
      </w:r>
    </w:p>
    <w:p w:rsidR="00230E2B" w:rsidRDefault="00230E2B" w:rsidP="00C2558D">
      <w:pPr>
        <w:pStyle w:val="LTAntwortRessortText"/>
      </w:pPr>
      <w:r>
        <w:t>b) In 78 Fällen waren die zugrundeliegenden Sachverhalte bereits zu einem</w:t>
      </w:r>
      <w:r w:rsidR="00FD2CB9">
        <w:t xml:space="preserve"> </w:t>
      </w:r>
      <w:r>
        <w:t>früheren Zeitpunkt von einer Staatsanwaltschaft geprüft worden.</w:t>
      </w:r>
    </w:p>
    <w:p w:rsidR="00230E2B" w:rsidRDefault="00230E2B" w:rsidP="00C2558D">
      <w:pPr>
        <w:pStyle w:val="LTAntwortRessortText"/>
      </w:pPr>
      <w:r>
        <w:t>c) In 63 Fällen war Verjährung eingetreten.</w:t>
      </w:r>
    </w:p>
    <w:p w:rsidR="00230E2B" w:rsidRDefault="00230E2B" w:rsidP="00C2558D">
      <w:pPr>
        <w:pStyle w:val="LTAntwortRessortText"/>
      </w:pPr>
      <w:r>
        <w:t>d) In 38 Fällen wurden Vorermittlungsverfahren eingeleitet, welche entweder</w:t>
      </w:r>
      <w:r w:rsidR="00FD2CB9">
        <w:t xml:space="preserve"> </w:t>
      </w:r>
      <w:r>
        <w:t>nach § 152 Ab</w:t>
      </w:r>
      <w:r w:rsidR="0038161E">
        <w:t>s.</w:t>
      </w:r>
      <w:r>
        <w:t xml:space="preserve"> 2 </w:t>
      </w:r>
      <w:r w:rsidR="0038161E">
        <w:t>der Strafprozessordnung (stopp)</w:t>
      </w:r>
      <w:r>
        <w:t xml:space="preserve"> bzw. § 170 Ab</w:t>
      </w:r>
      <w:r w:rsidR="0038161E">
        <w:t>s.</w:t>
      </w:r>
      <w:r>
        <w:t xml:space="preserve"> 2 StPO eingestellt oder an eine</w:t>
      </w:r>
      <w:r w:rsidR="00FD2CB9">
        <w:t xml:space="preserve"> </w:t>
      </w:r>
      <w:r>
        <w:t>andere Staatsanwaltschaft abgegeben wurden.</w:t>
      </w:r>
    </w:p>
    <w:p w:rsidR="00230E2B" w:rsidRDefault="00230E2B" w:rsidP="00C2558D">
      <w:pPr>
        <w:pStyle w:val="LTAntwortRessortText"/>
      </w:pPr>
      <w:r>
        <w:t>e) In drei Fällen wurden Ermittlungsverfahren eingeleitet, zwischenzeitlich</w:t>
      </w:r>
      <w:r w:rsidR="00FD2CB9">
        <w:t xml:space="preserve"> </w:t>
      </w:r>
      <w:r>
        <w:t>aber gemäß § 170 Ab</w:t>
      </w:r>
      <w:r w:rsidR="00904A8C">
        <w:t>s.</w:t>
      </w:r>
      <w:r>
        <w:t xml:space="preserve"> 2 StPO eingestellt.</w:t>
      </w:r>
    </w:p>
    <w:p w:rsidR="00FD2CB9" w:rsidRDefault="00230E2B" w:rsidP="00C2558D">
      <w:pPr>
        <w:pStyle w:val="LTAntwortRessortText"/>
      </w:pPr>
      <w:r>
        <w:t>f) In 134 Fällen bestand mangels konkreter Hinweise auf Straftaten kein Anlass</w:t>
      </w:r>
      <w:r w:rsidR="00FD2CB9">
        <w:t xml:space="preserve"> </w:t>
      </w:r>
      <w:r>
        <w:t>für (Vor-)Ermittlungen.</w:t>
      </w:r>
    </w:p>
    <w:p w:rsidR="00230E2B" w:rsidRDefault="00230E2B" w:rsidP="00230E2B">
      <w:pPr>
        <w:pStyle w:val="LTAntwortRessortText"/>
      </w:pPr>
      <w:r>
        <w:t>Die Überprüfung weiterer 42 Datensätze betreffend kirchliche Verantwortungsträger</w:t>
      </w:r>
      <w:r w:rsidR="00FD2CB9">
        <w:t xml:space="preserve"> </w:t>
      </w:r>
      <w:r>
        <w:t>durch die Staatsanwaltschaft München I dauert derzeit noch an</w:t>
      </w:r>
      <w:r w:rsidR="00904A8C">
        <w:t>.</w:t>
      </w:r>
    </w:p>
    <w:p w:rsidR="00230E2B" w:rsidRDefault="00230E2B">
      <w:bookmarkStart w:id="50" w:name="Frage_Nr_24_Ende"/>
      <w:bookmarkEnd w:id="5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230E2B" w:rsidTr="007B0B33">
        <w:tc>
          <w:tcPr>
            <w:tcW w:w="2050" w:type="dxa"/>
          </w:tcPr>
          <w:p w:rsidR="00230E2B" w:rsidRDefault="00230E2B" w:rsidP="00230E2B">
            <w:pPr>
              <w:pStyle w:val="LTAnfrageInitiator"/>
            </w:pPr>
            <w:r>
              <w:lastRenderedPageBreak/>
              <w:t>Abgeordneter</w:t>
            </w:r>
            <w:r>
              <w:rPr>
                <w:b/>
              </w:rPr>
              <w:br/>
              <w:t>Jürgen</w:t>
            </w:r>
            <w:r>
              <w:rPr>
                <w:b/>
              </w:rPr>
              <w:br/>
              <w:t>Mistol</w:t>
            </w:r>
            <w:r>
              <w:rPr>
                <w:b/>
              </w:rPr>
              <w:br/>
            </w:r>
            <w:r>
              <w:t>(BÜNDNIS 90/DIE GRÜNEN)</w:t>
            </w:r>
            <w:bookmarkStart w:id="51" w:name="Frage_Nr_25"/>
            <w:bookmarkEnd w:id="51"/>
          </w:p>
        </w:tc>
        <w:tc>
          <w:tcPr>
            <w:tcW w:w="7200" w:type="dxa"/>
          </w:tcPr>
          <w:p w:rsidR="00230E2B" w:rsidRDefault="00A903E1" w:rsidP="00230E2B">
            <w:pPr>
              <w:pStyle w:val="LTAnfrageText"/>
            </w:pPr>
            <w:r w:rsidRPr="00A903E1">
              <w:rPr>
                <w:szCs w:val="24"/>
              </w:rPr>
              <w:t>Ich frage die Staatsregierung, ob sie es für zulässig hält, dass im Rahmen der Befragung zur Erstellung von Mietspiegeln Kriterien der Barrierefreiheit in Wohnungen als Ausstattungsmerkmal einfließen, die ausschließlich mit einem Nutzen für Menschen mit Mobilitätseinschränkung verbunden sind (beispielsweise das Vorhandensein einer bodengleichen/ebenerdigen Dusche), ist das mit dem Allgemeinen Gleichbehandlungsgesetz (AGG) vereinbar und sieht sie hier gegebenenfalls Änderungsbedarf?</w:t>
            </w:r>
          </w:p>
        </w:tc>
      </w:tr>
    </w:tbl>
    <w:p w:rsidR="00230E2B" w:rsidRDefault="00230E2B" w:rsidP="00230E2B">
      <w:pPr>
        <w:pStyle w:val="LTUeberschrAntwortRessort"/>
      </w:pPr>
      <w:r>
        <w:t>Antwort des Staatsministeriums der Justiz</w:t>
      </w:r>
    </w:p>
    <w:p w:rsidR="00230E2B" w:rsidRDefault="00230E2B" w:rsidP="00230E2B">
      <w:pPr>
        <w:pStyle w:val="LTAntwortRessortText"/>
      </w:pPr>
      <w:r>
        <w:t>Die Inhalte von Mietspiegeln richten sich nach den Vorgaben des Bundesrechts,</w:t>
      </w:r>
      <w:r w:rsidR="008F47CA">
        <w:t xml:space="preserve"> </w:t>
      </w:r>
      <w:r>
        <w:t>insbesondere den mietrechtlichen Vorschriften des Bürgerlichen Gesetzbuchs</w:t>
      </w:r>
      <w:r w:rsidR="008F47CA">
        <w:t xml:space="preserve"> </w:t>
      </w:r>
      <w:r w:rsidR="00FF654B">
        <w:t>(558 </w:t>
      </w:r>
      <w:r>
        <w:t>ff. BGB).</w:t>
      </w:r>
    </w:p>
    <w:p w:rsidR="00230E2B" w:rsidRDefault="00230E2B" w:rsidP="00230E2B">
      <w:pPr>
        <w:pStyle w:val="LTAntwortRessortText"/>
      </w:pPr>
      <w:r>
        <w:t>Mietspiegel dienen grundsätzlich der Erfassung und Wiedergabe der ortsüblichen</w:t>
      </w:r>
      <w:r w:rsidR="008F47CA">
        <w:t xml:space="preserve"> </w:t>
      </w:r>
      <w:r>
        <w:t>Vergleichsmiete (§ 558c Ab</w:t>
      </w:r>
      <w:r w:rsidR="00FF654B">
        <w:t>s.</w:t>
      </w:r>
      <w:r>
        <w:t xml:space="preserve"> 1 BGB). Nach ihrer gesetzlichen Definition bestimmt</w:t>
      </w:r>
      <w:r w:rsidR="008F47CA">
        <w:t xml:space="preserve"> </w:t>
      </w:r>
      <w:r>
        <w:t>sich die ortsübliche Vergleichsmiete nach den üblichen Entgelten, die in der jeweiligen</w:t>
      </w:r>
      <w:r w:rsidR="008F47CA">
        <w:t xml:space="preserve"> </w:t>
      </w:r>
      <w:r>
        <w:t>Gemeinde oder einer vergleichbaren Gemeinde für Wohnraum vergleichbarer</w:t>
      </w:r>
      <w:r w:rsidR="008F47CA">
        <w:t xml:space="preserve"> </w:t>
      </w:r>
      <w:r>
        <w:t>Art, Größe, Ausstattung, Beschaffenheit und Lage einschließlich der energetischen</w:t>
      </w:r>
      <w:r w:rsidR="008F47CA">
        <w:t xml:space="preserve"> </w:t>
      </w:r>
      <w:r>
        <w:t>Ausstattung und Beschaffenheit in den letzten sechs Jahren vereinbart</w:t>
      </w:r>
      <w:r w:rsidR="008F47CA">
        <w:t xml:space="preserve"> </w:t>
      </w:r>
      <w:r>
        <w:t>oder, von betriebskostenbedingten Erhöhungen abgesehen, geändert worden sind</w:t>
      </w:r>
      <w:r w:rsidR="008F47CA">
        <w:t xml:space="preserve"> </w:t>
      </w:r>
      <w:r w:rsidR="00FF654B">
        <w:t>(§ 558 Abs.</w:t>
      </w:r>
      <w:r>
        <w:t xml:space="preserve"> 2 Satz 1 BGB).</w:t>
      </w:r>
    </w:p>
    <w:p w:rsidR="00230E2B" w:rsidRDefault="00230E2B" w:rsidP="00230E2B">
      <w:pPr>
        <w:pStyle w:val="LTAntwortRessortText"/>
      </w:pPr>
      <w:r>
        <w:t>Der barrierefreie Ausbau einer Wohnung hat fü</w:t>
      </w:r>
      <w:r w:rsidR="00C2558D">
        <w:t>r Mieter jedenfalls einen potenz</w:t>
      </w:r>
      <w:r>
        <w:t>iellen</w:t>
      </w:r>
      <w:r w:rsidR="008F47CA">
        <w:t xml:space="preserve"> </w:t>
      </w:r>
      <w:r>
        <w:t>Nutzen und ist für Vermieter in der Regel mit zusätzlichen Kosten verbunden.</w:t>
      </w:r>
      <w:r w:rsidR="008F47CA">
        <w:t xml:space="preserve"> </w:t>
      </w:r>
      <w:r>
        <w:t>Zu den Ausstattungsmerkmalen einer Wohnung, die für die Mietpreisbildung und</w:t>
      </w:r>
      <w:r w:rsidR="008F47CA">
        <w:t xml:space="preserve"> </w:t>
      </w:r>
      <w:r>
        <w:t>damit für die ortsübliche Vergleichsmiete mitbestimmend sind, gehört daher auch</w:t>
      </w:r>
      <w:r w:rsidR="008F47CA">
        <w:t xml:space="preserve"> </w:t>
      </w:r>
      <w:r>
        <w:t>das Vorliegen einer alters- oder behinderte</w:t>
      </w:r>
      <w:r w:rsidR="00FF654B">
        <w:t>ngerechten Ausstattung (vgl. z. </w:t>
      </w:r>
      <w:r>
        <w:t>B. die</w:t>
      </w:r>
      <w:r w:rsidR="008F47CA">
        <w:t xml:space="preserve"> </w:t>
      </w:r>
      <w:r>
        <w:t>Hinweise zur Erstellung von Mietspiegeln des Bundesinstituts für Bau-, Stadt- und</w:t>
      </w:r>
      <w:r w:rsidR="008F47CA">
        <w:t xml:space="preserve"> </w:t>
      </w:r>
      <w:r>
        <w:t xml:space="preserve">Raumforschung, 3. Auflage 2020, </w:t>
      </w:r>
      <w:r w:rsidR="008F47CA">
        <w:t>Seite</w:t>
      </w:r>
      <w:r w:rsidR="00FF654B">
        <w:t xml:space="preserve"> 41</w:t>
      </w:r>
      <w:r w:rsidR="00FF654B" w:rsidRPr="00FF654B">
        <w:rPr>
          <w:rStyle w:val="LTGrundtextZchn"/>
        </w:rPr>
        <w:t>, Abruf am 1. Februar 2022</w:t>
      </w:r>
      <w:r>
        <w:t>)</w:t>
      </w:r>
      <w:r w:rsidR="00FF654B">
        <w:rPr>
          <w:rStyle w:val="Funotenzeichen"/>
        </w:rPr>
        <w:footnoteReference w:id="2"/>
      </w:r>
      <w:r>
        <w:t>. Die Berücksichtigung</w:t>
      </w:r>
      <w:r w:rsidR="008F47CA">
        <w:t xml:space="preserve"> </w:t>
      </w:r>
      <w:r>
        <w:t>von persönlichen Eigenschaften oder besonderen Bedürfnissen des</w:t>
      </w:r>
      <w:r w:rsidR="008F47CA">
        <w:t xml:space="preserve"> </w:t>
      </w:r>
      <w:r>
        <w:t>Mieters, die letztlich zur Ungleichbehandlung bestimmter Mietergruppen führen</w:t>
      </w:r>
      <w:r w:rsidR="008F47CA">
        <w:t xml:space="preserve"> </w:t>
      </w:r>
      <w:r>
        <w:t>würde, ist dagegen durch den abschließenden gesetzlichen Kriterienkatalog in</w:t>
      </w:r>
      <w:r w:rsidR="008F47CA">
        <w:t xml:space="preserve"> </w:t>
      </w:r>
      <w:r w:rsidR="00FF654B">
        <w:t>§ 558 </w:t>
      </w:r>
      <w:r>
        <w:t>Ab</w:t>
      </w:r>
      <w:r w:rsidR="008F47CA">
        <w:t>s.</w:t>
      </w:r>
      <w:r w:rsidR="00FF654B">
        <w:t> 2 </w:t>
      </w:r>
      <w:r>
        <w:t>Satz 1 BGB ausgeschlossen.</w:t>
      </w:r>
    </w:p>
    <w:p w:rsidR="00230E2B" w:rsidRDefault="00230E2B" w:rsidP="00230E2B">
      <w:pPr>
        <w:pStyle w:val="LTAntwortRessortText"/>
      </w:pPr>
      <w:r>
        <w:t>Die ortsübliche Vergleichsmiete ist maßgeblich für die gesetzlichen Mietobergrenzen</w:t>
      </w:r>
      <w:r w:rsidR="008F47CA">
        <w:t xml:space="preserve"> </w:t>
      </w:r>
      <w:r>
        <w:t>im Rahmen der Mietpreisbremse (§§ 556d ff. BGB) und der Vorschriften über</w:t>
      </w:r>
      <w:r w:rsidR="008F47CA">
        <w:t xml:space="preserve"> </w:t>
      </w:r>
      <w:r>
        <w:t>Mieterhöhungen (§§ 558 ff. BGB). Insoweit gewährleisten die in § 558 Ab</w:t>
      </w:r>
      <w:r w:rsidR="008F47CA">
        <w:t>s.</w:t>
      </w:r>
      <w:r>
        <w:t xml:space="preserve"> 2</w:t>
      </w:r>
      <w:r w:rsidR="008F47CA">
        <w:t xml:space="preserve"> </w:t>
      </w:r>
      <w:r w:rsidR="00FF654B">
        <w:t>Satz </w:t>
      </w:r>
      <w:r>
        <w:t>1 BGB genannten Wohnwertmerkmale, dass für sachlich vergleichbare Wohnungen</w:t>
      </w:r>
      <w:r w:rsidR="008F47CA">
        <w:t xml:space="preserve"> </w:t>
      </w:r>
      <w:r>
        <w:t>einheitliche Mietobergrenzen gelten, während für sachlich ungleiche Wohnungen</w:t>
      </w:r>
      <w:r w:rsidR="008F47CA">
        <w:t xml:space="preserve"> </w:t>
      </w:r>
      <w:r>
        <w:t>entsprechend unterschiedliche Mieten verlangt werden können. Dies begegnet</w:t>
      </w:r>
      <w:r w:rsidR="008F47CA">
        <w:t xml:space="preserve"> </w:t>
      </w:r>
      <w:r>
        <w:t>mit Blick auf das verfassungsrechtliche Gleichbehandlungsgebot (Art. 3</w:t>
      </w:r>
      <w:r w:rsidR="008F47CA">
        <w:t xml:space="preserve"> </w:t>
      </w:r>
      <w:r>
        <w:t>Ab</w:t>
      </w:r>
      <w:r w:rsidR="008F47CA">
        <w:t>s.</w:t>
      </w:r>
      <w:r>
        <w:t xml:space="preserve"> 1 Grundgesetz) und das zivilrechtliche Benachteiligungsverbot nach dem Allgemeinen</w:t>
      </w:r>
      <w:r w:rsidR="008F47CA">
        <w:t xml:space="preserve"> </w:t>
      </w:r>
      <w:r>
        <w:t>Gleichbehandlungsgesetz (§§ 19 ff. AGG) keinen Bedenken.</w:t>
      </w:r>
    </w:p>
    <w:p w:rsidR="00230E2B" w:rsidRDefault="00230E2B" w:rsidP="00230E2B">
      <w:pPr>
        <w:pStyle w:val="LTAntwortRessortText"/>
      </w:pPr>
      <w:r>
        <w:lastRenderedPageBreak/>
        <w:t>Das zivilrechtliche Benachteiligungsverbot (§§ 19 ff. AGG) ist darüber hinaus</w:t>
      </w:r>
      <w:r w:rsidR="008F47CA">
        <w:t xml:space="preserve"> </w:t>
      </w:r>
      <w:r>
        <w:t>schon deshalb nicht einschlägig, weil es sich bei Mietspiegeln nicht um rechtliche</w:t>
      </w:r>
      <w:r w:rsidR="008F47CA">
        <w:t xml:space="preserve"> </w:t>
      </w:r>
      <w:r>
        <w:t>Schuldverhältnisse handelt.</w:t>
      </w:r>
    </w:p>
    <w:p w:rsidR="00230E2B" w:rsidRDefault="00230E2B">
      <w:bookmarkStart w:id="52" w:name="Frage_Nr_25_Ende"/>
      <w:bookmarkEnd w:id="5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230E2B" w:rsidTr="007B0B33">
        <w:tc>
          <w:tcPr>
            <w:tcW w:w="2050" w:type="dxa"/>
          </w:tcPr>
          <w:p w:rsidR="00230E2B" w:rsidRDefault="00230E2B" w:rsidP="00230E2B">
            <w:pPr>
              <w:pStyle w:val="LTAnfrageInitiator"/>
            </w:pPr>
            <w:r>
              <w:lastRenderedPageBreak/>
              <w:t>Abgeordnete</w:t>
            </w:r>
            <w:r>
              <w:rPr>
                <w:b/>
              </w:rPr>
              <w:br/>
              <w:t>Ursula</w:t>
            </w:r>
            <w:r>
              <w:rPr>
                <w:b/>
              </w:rPr>
              <w:br/>
              <w:t>Sowa</w:t>
            </w:r>
            <w:r>
              <w:rPr>
                <w:b/>
              </w:rPr>
              <w:br/>
            </w:r>
            <w:r>
              <w:t>(BÜNDNIS 90/DIE GRÜNEN)</w:t>
            </w:r>
            <w:bookmarkStart w:id="53" w:name="Frage_Nr_26"/>
            <w:bookmarkEnd w:id="53"/>
          </w:p>
        </w:tc>
        <w:tc>
          <w:tcPr>
            <w:tcW w:w="7200" w:type="dxa"/>
          </w:tcPr>
          <w:p w:rsidR="00230E2B" w:rsidRDefault="00F11070" w:rsidP="00230E2B">
            <w:pPr>
              <w:pStyle w:val="LTAnfrageText"/>
            </w:pPr>
            <w:r w:rsidRPr="00F11070">
              <w:rPr>
                <w:szCs w:val="24"/>
              </w:rPr>
              <w:t>In Bezug auf das Abschiebegefängnis in Hof für 150 Inhaftierte, frage ich die Staatsregierung, wie viele Personalstellen (aufgeschlüsselt nach Funktion/Aufgaben) für die Einrichtung im Personalplan aktuell besetzt sind, wie viele Inhaftierte waren an jedem Tag seit meiner letzten Anfrage zum Plenum (Stand 29.11.2021) in der Haftanstalt untergebracht (Angaben pro Tag) und wie lange ist die Aufenthaltsdauer der Inhaftierten (keine Durchschnitts-, sondern absolute Angaben)?</w:t>
            </w:r>
          </w:p>
        </w:tc>
      </w:tr>
    </w:tbl>
    <w:p w:rsidR="00230E2B" w:rsidRDefault="00230E2B" w:rsidP="00230E2B">
      <w:pPr>
        <w:pStyle w:val="LTUeberschrAntwortRessort"/>
      </w:pPr>
      <w:r>
        <w:t>Antwort des Staatsministeriums der Justiz</w:t>
      </w:r>
    </w:p>
    <w:p w:rsidR="00230E2B" w:rsidRDefault="00230E2B" w:rsidP="00230E2B">
      <w:pPr>
        <w:pStyle w:val="LTAntwortRessortText"/>
      </w:pPr>
      <w:r>
        <w:t>Im Zusammenhang mit der Errichtung der Einrichtung für Abschiebungshaft bei</w:t>
      </w:r>
      <w:r w:rsidR="00AD1C35">
        <w:t xml:space="preserve"> </w:t>
      </w:r>
      <w:r>
        <w:t>der Justizvollzugsanstalt Hof wurden vom Landtag über den bestehenden</w:t>
      </w:r>
      <w:r w:rsidR="00AD1C35">
        <w:t xml:space="preserve"> </w:t>
      </w:r>
      <w:r>
        <w:t>Personalbestand der Justizvollzugsanstalt Hof hinaus zusätzliche Planstellen</w:t>
      </w:r>
      <w:r w:rsidR="00AD1C35">
        <w:t xml:space="preserve"> </w:t>
      </w:r>
      <w:r>
        <w:t>ausgebracht. Diese dienen zum Betrieb der Einrichtung für Abschiebungshaft,</w:t>
      </w:r>
      <w:r w:rsidR="00AD1C35">
        <w:t xml:space="preserve"> </w:t>
      </w:r>
      <w:r>
        <w:t>aber zum Teil (etwa im Bereich der Verwaltung und der Fachdienste) zugleich</w:t>
      </w:r>
      <w:r w:rsidR="00AD1C35">
        <w:t xml:space="preserve"> </w:t>
      </w:r>
      <w:r>
        <w:t>dem Betrieb der Hauptanstalt, die zum 1. Januar 2019 verselbstständigt</w:t>
      </w:r>
      <w:r w:rsidR="00AD1C35">
        <w:t xml:space="preserve"> </w:t>
      </w:r>
      <w:r>
        <w:t>wurde. Insgesamt wurden bisher (Stand 1. Februar 2022) auf die neu ausgebrachten</w:t>
      </w:r>
      <w:r w:rsidR="00AD1C35">
        <w:t xml:space="preserve"> </w:t>
      </w:r>
      <w:r>
        <w:t>Planstellen wie folgt Bewerber eingestellt bzw. versetzt:</w:t>
      </w:r>
    </w:p>
    <w:p w:rsidR="00230E2B" w:rsidRDefault="00230E2B" w:rsidP="00230E2B">
      <w:pPr>
        <w:pStyle w:val="LTAntwortRessortText"/>
      </w:pPr>
    </w:p>
    <w:tbl>
      <w:tblPr>
        <w:tblStyle w:val="TableNormal"/>
        <w:tblW w:w="0" w:type="auto"/>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09"/>
        <w:gridCol w:w="2127"/>
      </w:tblGrid>
      <w:tr w:rsidR="00AD1C35" w:rsidRPr="006613E7" w:rsidTr="00BC5DAC">
        <w:trPr>
          <w:trHeight w:val="551"/>
        </w:trPr>
        <w:tc>
          <w:tcPr>
            <w:tcW w:w="2409" w:type="dxa"/>
            <w:shd w:val="clear" w:color="auto" w:fill="D9D9D9"/>
          </w:tcPr>
          <w:p w:rsidR="00AD1C35" w:rsidRPr="006613E7" w:rsidRDefault="00AD1C35" w:rsidP="000D4D79">
            <w:pPr>
              <w:pStyle w:val="TableParagraph"/>
              <w:spacing w:before="0"/>
              <w:ind w:left="0"/>
              <w:rPr>
                <w:rFonts w:ascii="Times New Roman"/>
                <w:sz w:val="18"/>
              </w:rPr>
            </w:pPr>
          </w:p>
        </w:tc>
        <w:tc>
          <w:tcPr>
            <w:tcW w:w="2127" w:type="dxa"/>
            <w:shd w:val="clear" w:color="auto" w:fill="D9D9D9"/>
            <w:vAlign w:val="center"/>
          </w:tcPr>
          <w:p w:rsidR="00AD1C35" w:rsidRPr="006613E7" w:rsidRDefault="00AD1C35" w:rsidP="006613E7">
            <w:pPr>
              <w:pStyle w:val="TableParagraph"/>
              <w:spacing w:before="146"/>
              <w:ind w:right="729"/>
              <w:jc w:val="right"/>
              <w:rPr>
                <w:b/>
                <w:sz w:val="18"/>
              </w:rPr>
            </w:pPr>
            <w:r w:rsidRPr="006613E7">
              <w:rPr>
                <w:b/>
                <w:sz w:val="18"/>
              </w:rPr>
              <w:t>Einstellungen</w:t>
            </w:r>
          </w:p>
        </w:tc>
      </w:tr>
      <w:tr w:rsidR="00AD1C35" w:rsidRPr="006613E7" w:rsidTr="00BC5DAC">
        <w:trPr>
          <w:trHeight w:val="373"/>
        </w:trPr>
        <w:tc>
          <w:tcPr>
            <w:tcW w:w="2409" w:type="dxa"/>
            <w:shd w:val="clear" w:color="auto" w:fill="D9D9D9"/>
            <w:vAlign w:val="center"/>
          </w:tcPr>
          <w:p w:rsidR="00AD1C35" w:rsidRPr="006613E7" w:rsidRDefault="00AD1C35" w:rsidP="006613E7">
            <w:pPr>
              <w:pStyle w:val="TableParagraph"/>
              <w:spacing w:before="117" w:line="236" w:lineRule="exact"/>
              <w:rPr>
                <w:b/>
                <w:sz w:val="18"/>
                <w:szCs w:val="18"/>
              </w:rPr>
            </w:pPr>
            <w:r w:rsidRPr="006613E7">
              <w:rPr>
                <w:b/>
                <w:sz w:val="18"/>
                <w:szCs w:val="18"/>
              </w:rPr>
              <w:t>Verwaltung</w:t>
            </w:r>
          </w:p>
        </w:tc>
        <w:tc>
          <w:tcPr>
            <w:tcW w:w="2127" w:type="dxa"/>
            <w:vAlign w:val="center"/>
          </w:tcPr>
          <w:p w:rsidR="00AD1C35" w:rsidRPr="006613E7" w:rsidRDefault="00AD1C35" w:rsidP="006613E7">
            <w:pPr>
              <w:pStyle w:val="TableParagraph"/>
              <w:spacing w:before="57"/>
              <w:ind w:left="15" w:hanging="171"/>
              <w:jc w:val="center"/>
              <w:rPr>
                <w:b/>
                <w:sz w:val="18"/>
                <w:szCs w:val="18"/>
              </w:rPr>
            </w:pPr>
            <w:r w:rsidRPr="006613E7">
              <w:rPr>
                <w:b/>
                <w:sz w:val="18"/>
                <w:szCs w:val="18"/>
              </w:rPr>
              <w:t>9</w:t>
            </w:r>
          </w:p>
        </w:tc>
      </w:tr>
      <w:tr w:rsidR="00AD1C35" w:rsidRPr="006613E7" w:rsidTr="00BC5DAC">
        <w:trPr>
          <w:trHeight w:val="395"/>
        </w:trPr>
        <w:tc>
          <w:tcPr>
            <w:tcW w:w="2409" w:type="dxa"/>
            <w:shd w:val="clear" w:color="auto" w:fill="D9D9D9"/>
            <w:vAlign w:val="center"/>
          </w:tcPr>
          <w:p w:rsidR="00AD1C35" w:rsidRPr="006613E7" w:rsidRDefault="00AD1C35" w:rsidP="006613E7">
            <w:pPr>
              <w:pStyle w:val="TableParagraph"/>
              <w:spacing w:before="139" w:line="236" w:lineRule="exact"/>
              <w:rPr>
                <w:b/>
                <w:sz w:val="18"/>
                <w:szCs w:val="18"/>
              </w:rPr>
            </w:pPr>
            <w:r w:rsidRPr="006613E7">
              <w:rPr>
                <w:b/>
                <w:sz w:val="18"/>
                <w:szCs w:val="18"/>
              </w:rPr>
              <w:t>Ärzte</w:t>
            </w:r>
          </w:p>
        </w:tc>
        <w:tc>
          <w:tcPr>
            <w:tcW w:w="2127" w:type="dxa"/>
            <w:vAlign w:val="center"/>
          </w:tcPr>
          <w:p w:rsidR="00AD1C35" w:rsidRPr="006613E7" w:rsidRDefault="00AD1C35" w:rsidP="006613E7">
            <w:pPr>
              <w:pStyle w:val="TableParagraph"/>
              <w:spacing w:before="67"/>
              <w:ind w:left="15" w:hanging="171"/>
              <w:jc w:val="center"/>
              <w:rPr>
                <w:b/>
                <w:sz w:val="18"/>
                <w:szCs w:val="18"/>
              </w:rPr>
            </w:pPr>
            <w:r w:rsidRPr="006613E7">
              <w:rPr>
                <w:b/>
                <w:sz w:val="18"/>
                <w:szCs w:val="18"/>
              </w:rPr>
              <w:t>1</w:t>
            </w:r>
          </w:p>
        </w:tc>
      </w:tr>
      <w:tr w:rsidR="00AD1C35" w:rsidRPr="006613E7" w:rsidTr="00BC5DAC">
        <w:trPr>
          <w:trHeight w:val="397"/>
        </w:trPr>
        <w:tc>
          <w:tcPr>
            <w:tcW w:w="2409" w:type="dxa"/>
            <w:shd w:val="clear" w:color="auto" w:fill="D9D9D9"/>
            <w:vAlign w:val="center"/>
          </w:tcPr>
          <w:p w:rsidR="00AD1C35" w:rsidRPr="006613E7" w:rsidRDefault="00AD1C35" w:rsidP="006613E7">
            <w:pPr>
              <w:pStyle w:val="TableParagraph"/>
              <w:spacing w:before="139" w:line="239" w:lineRule="exact"/>
              <w:rPr>
                <w:b/>
                <w:sz w:val="18"/>
                <w:szCs w:val="18"/>
              </w:rPr>
            </w:pPr>
            <w:r w:rsidRPr="006613E7">
              <w:rPr>
                <w:b/>
                <w:sz w:val="18"/>
                <w:szCs w:val="18"/>
              </w:rPr>
              <w:t>Pfarrer</w:t>
            </w:r>
          </w:p>
        </w:tc>
        <w:tc>
          <w:tcPr>
            <w:tcW w:w="2127" w:type="dxa"/>
            <w:vAlign w:val="center"/>
          </w:tcPr>
          <w:p w:rsidR="00AD1C35" w:rsidRPr="006613E7" w:rsidRDefault="00AD1C35" w:rsidP="006613E7">
            <w:pPr>
              <w:pStyle w:val="TableParagraph"/>
              <w:spacing w:before="69"/>
              <w:ind w:left="15" w:hanging="171"/>
              <w:jc w:val="center"/>
              <w:rPr>
                <w:b/>
                <w:sz w:val="18"/>
                <w:szCs w:val="18"/>
              </w:rPr>
            </w:pPr>
            <w:r w:rsidRPr="006613E7">
              <w:rPr>
                <w:b/>
                <w:sz w:val="18"/>
                <w:szCs w:val="18"/>
              </w:rPr>
              <w:t>2</w:t>
            </w:r>
          </w:p>
        </w:tc>
      </w:tr>
      <w:tr w:rsidR="00AD1C35" w:rsidRPr="006613E7" w:rsidTr="00BC5DAC">
        <w:trPr>
          <w:trHeight w:val="395"/>
        </w:trPr>
        <w:tc>
          <w:tcPr>
            <w:tcW w:w="2409" w:type="dxa"/>
            <w:shd w:val="clear" w:color="auto" w:fill="D9D9D9"/>
            <w:vAlign w:val="center"/>
          </w:tcPr>
          <w:p w:rsidR="00AD1C35" w:rsidRPr="006613E7" w:rsidRDefault="00AD1C35" w:rsidP="006613E7">
            <w:pPr>
              <w:pStyle w:val="TableParagraph"/>
              <w:spacing w:before="139" w:line="236" w:lineRule="exact"/>
              <w:rPr>
                <w:b/>
                <w:sz w:val="18"/>
                <w:szCs w:val="18"/>
              </w:rPr>
            </w:pPr>
            <w:r w:rsidRPr="006613E7">
              <w:rPr>
                <w:b/>
                <w:sz w:val="18"/>
                <w:szCs w:val="18"/>
              </w:rPr>
              <w:t>Psychologen</w:t>
            </w:r>
          </w:p>
        </w:tc>
        <w:tc>
          <w:tcPr>
            <w:tcW w:w="2127" w:type="dxa"/>
            <w:vAlign w:val="center"/>
          </w:tcPr>
          <w:p w:rsidR="00AD1C35" w:rsidRPr="006613E7" w:rsidRDefault="00AD1C35" w:rsidP="006613E7">
            <w:pPr>
              <w:pStyle w:val="TableParagraph"/>
              <w:spacing w:before="67"/>
              <w:ind w:left="15" w:hanging="171"/>
              <w:jc w:val="center"/>
              <w:rPr>
                <w:b/>
                <w:sz w:val="18"/>
                <w:szCs w:val="18"/>
              </w:rPr>
            </w:pPr>
            <w:r w:rsidRPr="006613E7">
              <w:rPr>
                <w:b/>
                <w:sz w:val="18"/>
                <w:szCs w:val="18"/>
              </w:rPr>
              <w:t>1</w:t>
            </w:r>
          </w:p>
        </w:tc>
      </w:tr>
      <w:tr w:rsidR="00AD1C35" w:rsidRPr="006613E7" w:rsidTr="00BC5DAC">
        <w:trPr>
          <w:trHeight w:val="395"/>
        </w:trPr>
        <w:tc>
          <w:tcPr>
            <w:tcW w:w="2409" w:type="dxa"/>
            <w:shd w:val="clear" w:color="auto" w:fill="D9D9D9"/>
            <w:vAlign w:val="center"/>
          </w:tcPr>
          <w:p w:rsidR="00AD1C35" w:rsidRPr="006613E7" w:rsidRDefault="00AD1C35" w:rsidP="006613E7">
            <w:pPr>
              <w:pStyle w:val="TableParagraph"/>
              <w:spacing w:before="139" w:line="236" w:lineRule="exact"/>
              <w:rPr>
                <w:b/>
                <w:sz w:val="18"/>
                <w:szCs w:val="18"/>
              </w:rPr>
            </w:pPr>
            <w:r w:rsidRPr="006613E7">
              <w:rPr>
                <w:b/>
                <w:sz w:val="18"/>
                <w:szCs w:val="18"/>
              </w:rPr>
              <w:t>Lehrer</w:t>
            </w:r>
          </w:p>
        </w:tc>
        <w:tc>
          <w:tcPr>
            <w:tcW w:w="2127" w:type="dxa"/>
            <w:vAlign w:val="center"/>
          </w:tcPr>
          <w:p w:rsidR="00AD1C35" w:rsidRPr="006613E7" w:rsidRDefault="00AD1C35" w:rsidP="006613E7">
            <w:pPr>
              <w:pStyle w:val="TableParagraph"/>
              <w:spacing w:before="67"/>
              <w:ind w:left="15" w:hanging="171"/>
              <w:jc w:val="center"/>
              <w:rPr>
                <w:b/>
                <w:sz w:val="18"/>
                <w:szCs w:val="18"/>
              </w:rPr>
            </w:pPr>
            <w:r w:rsidRPr="006613E7">
              <w:rPr>
                <w:b/>
                <w:sz w:val="18"/>
                <w:szCs w:val="18"/>
              </w:rPr>
              <w:t>0</w:t>
            </w:r>
          </w:p>
        </w:tc>
      </w:tr>
      <w:tr w:rsidR="00AD1C35" w:rsidRPr="006613E7" w:rsidTr="00BC5DAC">
        <w:trPr>
          <w:trHeight w:val="397"/>
        </w:trPr>
        <w:tc>
          <w:tcPr>
            <w:tcW w:w="2409" w:type="dxa"/>
            <w:shd w:val="clear" w:color="auto" w:fill="D9D9D9"/>
            <w:vAlign w:val="center"/>
          </w:tcPr>
          <w:p w:rsidR="00AD1C35" w:rsidRPr="006613E7" w:rsidRDefault="00AD1C35" w:rsidP="006613E7">
            <w:pPr>
              <w:pStyle w:val="TableParagraph"/>
              <w:spacing w:before="139" w:line="239" w:lineRule="exact"/>
              <w:rPr>
                <w:b/>
                <w:sz w:val="18"/>
                <w:szCs w:val="18"/>
              </w:rPr>
            </w:pPr>
            <w:r w:rsidRPr="006613E7">
              <w:rPr>
                <w:b/>
                <w:sz w:val="18"/>
                <w:szCs w:val="18"/>
              </w:rPr>
              <w:t>Sozialdienst</w:t>
            </w:r>
          </w:p>
        </w:tc>
        <w:tc>
          <w:tcPr>
            <w:tcW w:w="2127" w:type="dxa"/>
            <w:vAlign w:val="center"/>
          </w:tcPr>
          <w:p w:rsidR="00AD1C35" w:rsidRPr="006613E7" w:rsidRDefault="00AD1C35" w:rsidP="006613E7">
            <w:pPr>
              <w:pStyle w:val="TableParagraph"/>
              <w:spacing w:before="69"/>
              <w:ind w:left="15" w:hanging="171"/>
              <w:jc w:val="center"/>
              <w:rPr>
                <w:b/>
                <w:sz w:val="18"/>
                <w:szCs w:val="18"/>
              </w:rPr>
            </w:pPr>
            <w:r w:rsidRPr="006613E7">
              <w:rPr>
                <w:b/>
                <w:sz w:val="18"/>
                <w:szCs w:val="18"/>
              </w:rPr>
              <w:t>3</w:t>
            </w:r>
          </w:p>
        </w:tc>
      </w:tr>
      <w:tr w:rsidR="00AD1C35" w:rsidRPr="006613E7" w:rsidTr="00BC5DAC">
        <w:trPr>
          <w:trHeight w:val="395"/>
        </w:trPr>
        <w:tc>
          <w:tcPr>
            <w:tcW w:w="2409" w:type="dxa"/>
            <w:shd w:val="clear" w:color="auto" w:fill="D9D9D9"/>
            <w:vAlign w:val="center"/>
          </w:tcPr>
          <w:p w:rsidR="00AD1C35" w:rsidRPr="006613E7" w:rsidRDefault="00AD1C35" w:rsidP="006613E7">
            <w:pPr>
              <w:pStyle w:val="TableParagraph"/>
              <w:spacing w:before="139" w:line="236" w:lineRule="exact"/>
              <w:rPr>
                <w:b/>
                <w:sz w:val="18"/>
                <w:szCs w:val="18"/>
              </w:rPr>
            </w:pPr>
            <w:r w:rsidRPr="006613E7">
              <w:rPr>
                <w:b/>
                <w:sz w:val="18"/>
                <w:szCs w:val="18"/>
              </w:rPr>
              <w:t>Allgemeiner Vollzugsdienst</w:t>
            </w:r>
          </w:p>
        </w:tc>
        <w:tc>
          <w:tcPr>
            <w:tcW w:w="2127" w:type="dxa"/>
            <w:vAlign w:val="center"/>
          </w:tcPr>
          <w:p w:rsidR="00AD1C35" w:rsidRPr="006613E7" w:rsidRDefault="00AD1C35" w:rsidP="006613E7">
            <w:pPr>
              <w:pStyle w:val="TableParagraph"/>
              <w:spacing w:before="67"/>
              <w:ind w:left="-15" w:right="728" w:firstLine="567"/>
              <w:jc w:val="center"/>
              <w:rPr>
                <w:b/>
                <w:sz w:val="18"/>
                <w:szCs w:val="18"/>
              </w:rPr>
            </w:pPr>
            <w:r w:rsidRPr="006613E7">
              <w:rPr>
                <w:b/>
                <w:sz w:val="18"/>
                <w:szCs w:val="18"/>
              </w:rPr>
              <w:t>59</w:t>
            </w:r>
          </w:p>
        </w:tc>
      </w:tr>
      <w:tr w:rsidR="00AD1C35" w:rsidRPr="006613E7" w:rsidTr="00BC5DAC">
        <w:trPr>
          <w:trHeight w:val="395"/>
        </w:trPr>
        <w:tc>
          <w:tcPr>
            <w:tcW w:w="2409" w:type="dxa"/>
            <w:shd w:val="clear" w:color="auto" w:fill="D9D9D9"/>
            <w:vAlign w:val="center"/>
          </w:tcPr>
          <w:p w:rsidR="00AD1C35" w:rsidRPr="006613E7" w:rsidRDefault="00AD1C35" w:rsidP="006613E7">
            <w:pPr>
              <w:pStyle w:val="TableParagraph"/>
              <w:spacing w:before="139" w:line="236" w:lineRule="exact"/>
              <w:rPr>
                <w:b/>
                <w:sz w:val="18"/>
                <w:szCs w:val="18"/>
              </w:rPr>
            </w:pPr>
            <w:r w:rsidRPr="006613E7">
              <w:rPr>
                <w:b/>
                <w:sz w:val="18"/>
                <w:szCs w:val="18"/>
              </w:rPr>
              <w:t>Werkdienst</w:t>
            </w:r>
          </w:p>
        </w:tc>
        <w:tc>
          <w:tcPr>
            <w:tcW w:w="2127" w:type="dxa"/>
            <w:vAlign w:val="center"/>
          </w:tcPr>
          <w:p w:rsidR="00AD1C35" w:rsidRPr="006613E7" w:rsidRDefault="00AD1C35" w:rsidP="006613E7">
            <w:pPr>
              <w:pStyle w:val="TableParagraph"/>
              <w:spacing w:before="67"/>
              <w:ind w:left="15" w:hanging="171"/>
              <w:jc w:val="center"/>
              <w:rPr>
                <w:b/>
                <w:sz w:val="18"/>
                <w:szCs w:val="18"/>
              </w:rPr>
            </w:pPr>
            <w:r w:rsidRPr="006613E7">
              <w:rPr>
                <w:b/>
                <w:sz w:val="18"/>
                <w:szCs w:val="18"/>
              </w:rPr>
              <w:t>3</w:t>
            </w:r>
          </w:p>
        </w:tc>
      </w:tr>
      <w:tr w:rsidR="00AD1C35" w:rsidRPr="006613E7" w:rsidTr="00BC5DAC">
        <w:trPr>
          <w:trHeight w:val="397"/>
        </w:trPr>
        <w:tc>
          <w:tcPr>
            <w:tcW w:w="2409" w:type="dxa"/>
            <w:shd w:val="clear" w:color="auto" w:fill="D9D9D9"/>
            <w:vAlign w:val="center"/>
          </w:tcPr>
          <w:p w:rsidR="00AD1C35" w:rsidRPr="006613E7" w:rsidRDefault="00AD1C35" w:rsidP="006613E7">
            <w:pPr>
              <w:pStyle w:val="TableParagraph"/>
              <w:spacing w:before="138" w:line="239" w:lineRule="exact"/>
              <w:rPr>
                <w:b/>
                <w:sz w:val="18"/>
                <w:szCs w:val="18"/>
              </w:rPr>
            </w:pPr>
            <w:r w:rsidRPr="006613E7">
              <w:rPr>
                <w:b/>
                <w:sz w:val="18"/>
                <w:szCs w:val="18"/>
              </w:rPr>
              <w:t>Krankenpflegedienst</w:t>
            </w:r>
          </w:p>
        </w:tc>
        <w:tc>
          <w:tcPr>
            <w:tcW w:w="2127" w:type="dxa"/>
            <w:vAlign w:val="center"/>
          </w:tcPr>
          <w:p w:rsidR="00AD1C35" w:rsidRPr="006613E7" w:rsidRDefault="00AD1C35" w:rsidP="006613E7">
            <w:pPr>
              <w:pStyle w:val="TableParagraph"/>
              <w:spacing w:before="69"/>
              <w:ind w:left="15" w:hanging="171"/>
              <w:jc w:val="center"/>
              <w:rPr>
                <w:b/>
                <w:sz w:val="18"/>
                <w:szCs w:val="18"/>
              </w:rPr>
            </w:pPr>
            <w:r w:rsidRPr="006613E7">
              <w:rPr>
                <w:b/>
                <w:sz w:val="18"/>
                <w:szCs w:val="18"/>
              </w:rPr>
              <w:t>5</w:t>
            </w:r>
          </w:p>
        </w:tc>
      </w:tr>
    </w:tbl>
    <w:tbl>
      <w:tblPr>
        <w:tblStyle w:val="TableNormal1"/>
        <w:tblW w:w="0" w:type="auto"/>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09"/>
        <w:gridCol w:w="2127"/>
      </w:tblGrid>
      <w:tr w:rsidR="00AD1C35" w:rsidRPr="006613E7" w:rsidTr="00BC5DAC">
        <w:trPr>
          <w:trHeight w:val="177"/>
        </w:trPr>
        <w:tc>
          <w:tcPr>
            <w:tcW w:w="2409" w:type="dxa"/>
            <w:tcBorders>
              <w:top w:val="nil"/>
            </w:tcBorders>
            <w:shd w:val="clear" w:color="auto" w:fill="D9D9D9"/>
            <w:vAlign w:val="center"/>
          </w:tcPr>
          <w:p w:rsidR="00AD1C35" w:rsidRPr="006613E7" w:rsidRDefault="00AD1C35" w:rsidP="006613E7">
            <w:pPr>
              <w:pStyle w:val="TableParagraph"/>
              <w:spacing w:before="7"/>
              <w:ind w:left="0"/>
              <w:rPr>
                <w:sz w:val="18"/>
                <w:szCs w:val="18"/>
              </w:rPr>
            </w:pPr>
          </w:p>
          <w:p w:rsidR="00AD1C35" w:rsidRPr="006613E7" w:rsidRDefault="00AD1C35" w:rsidP="006613E7">
            <w:pPr>
              <w:pStyle w:val="TableParagraph"/>
              <w:spacing w:before="0" w:line="239" w:lineRule="exact"/>
              <w:rPr>
                <w:b/>
                <w:sz w:val="18"/>
                <w:szCs w:val="18"/>
              </w:rPr>
            </w:pPr>
            <w:r w:rsidRPr="006613E7">
              <w:rPr>
                <w:b/>
                <w:sz w:val="18"/>
                <w:szCs w:val="18"/>
              </w:rPr>
              <w:t>Gesamt</w:t>
            </w:r>
          </w:p>
        </w:tc>
        <w:tc>
          <w:tcPr>
            <w:tcW w:w="2127" w:type="dxa"/>
            <w:tcBorders>
              <w:top w:val="nil"/>
            </w:tcBorders>
            <w:vAlign w:val="center"/>
          </w:tcPr>
          <w:p w:rsidR="00AD1C35" w:rsidRPr="006613E7" w:rsidRDefault="00AD1C35" w:rsidP="006613E7">
            <w:pPr>
              <w:pStyle w:val="TableParagraph"/>
              <w:spacing w:before="146"/>
              <w:ind w:right="728" w:firstLine="483"/>
              <w:jc w:val="center"/>
              <w:rPr>
                <w:b/>
                <w:sz w:val="18"/>
                <w:szCs w:val="18"/>
              </w:rPr>
            </w:pPr>
            <w:r w:rsidRPr="006613E7">
              <w:rPr>
                <w:b/>
                <w:sz w:val="18"/>
                <w:szCs w:val="18"/>
              </w:rPr>
              <w:t>83</w:t>
            </w:r>
          </w:p>
        </w:tc>
      </w:tr>
    </w:tbl>
    <w:p w:rsidR="00230E2B" w:rsidRDefault="00230E2B" w:rsidP="00AD1C35">
      <w:pPr>
        <w:pStyle w:val="LTAntwortRessortText"/>
        <w:ind w:left="0"/>
      </w:pPr>
    </w:p>
    <w:p w:rsidR="00230E2B" w:rsidRDefault="00230E2B" w:rsidP="00230E2B">
      <w:pPr>
        <w:pStyle w:val="LTAntwortRessortText"/>
      </w:pPr>
      <w:r>
        <w:t>Die taggenaue Belegung der Einrichtung für Abschiebungshaft bei der Justizvollzugsanstalt</w:t>
      </w:r>
      <w:r w:rsidR="00AD1C35">
        <w:t xml:space="preserve"> </w:t>
      </w:r>
      <w:r>
        <w:t>Hof im Zeitraum 30. November 2021 bis 31. Januar 2022 ist nachfolgender</w:t>
      </w:r>
      <w:r w:rsidR="00AD1C35">
        <w:t xml:space="preserve"> </w:t>
      </w:r>
      <w:r>
        <w:t>Tabelle zu entnehmen:</w:t>
      </w:r>
    </w:p>
    <w:p w:rsidR="00230E2B" w:rsidRDefault="00230E2B" w:rsidP="00230E2B">
      <w:pPr>
        <w:pStyle w:val="LTAntwortRessortText"/>
      </w:pPr>
    </w:p>
    <w:tbl>
      <w:tblPr>
        <w:tblStyle w:val="TableNormal"/>
        <w:tblW w:w="0" w:type="auto"/>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78"/>
        <w:gridCol w:w="3542"/>
      </w:tblGrid>
      <w:tr w:rsidR="00AD1C35" w:rsidRPr="00DC0E42" w:rsidTr="00BC5DAC">
        <w:trPr>
          <w:trHeight w:val="551"/>
        </w:trPr>
        <w:tc>
          <w:tcPr>
            <w:tcW w:w="2978" w:type="dxa"/>
            <w:shd w:val="clear" w:color="auto" w:fill="D9D9D9"/>
          </w:tcPr>
          <w:p w:rsidR="00AD1C35" w:rsidRPr="00DC0E42" w:rsidRDefault="00AD1C35" w:rsidP="000D4D79">
            <w:pPr>
              <w:pStyle w:val="TableParagraph"/>
              <w:spacing w:before="172"/>
              <w:rPr>
                <w:b/>
                <w:sz w:val="18"/>
                <w:szCs w:val="18"/>
              </w:rPr>
            </w:pPr>
            <w:r w:rsidRPr="00DC0E42">
              <w:rPr>
                <w:b/>
                <w:sz w:val="18"/>
                <w:szCs w:val="18"/>
              </w:rPr>
              <w:lastRenderedPageBreak/>
              <w:t>Datum</w:t>
            </w:r>
          </w:p>
        </w:tc>
        <w:tc>
          <w:tcPr>
            <w:tcW w:w="3542" w:type="dxa"/>
            <w:shd w:val="clear" w:color="auto" w:fill="D9D9D9"/>
            <w:vAlign w:val="center"/>
          </w:tcPr>
          <w:p w:rsidR="00AD1C35" w:rsidRPr="00DC0E42" w:rsidRDefault="00DC0E42" w:rsidP="00DC0E42">
            <w:pPr>
              <w:pStyle w:val="TableParagraph"/>
              <w:spacing w:before="16"/>
              <w:ind w:left="870" w:right="65" w:hanging="773"/>
              <w:jc w:val="center"/>
              <w:rPr>
                <w:b/>
                <w:sz w:val="18"/>
                <w:szCs w:val="18"/>
              </w:rPr>
            </w:pPr>
            <w:r>
              <w:rPr>
                <w:b/>
                <w:sz w:val="18"/>
                <w:szCs w:val="18"/>
              </w:rPr>
              <w:t>Anzahl der Abschie</w:t>
            </w:r>
            <w:r w:rsidR="00AD1C35" w:rsidRPr="00DC0E42">
              <w:rPr>
                <w:b/>
                <w:sz w:val="18"/>
                <w:szCs w:val="18"/>
              </w:rPr>
              <w:t>bungsgefangenen</w:t>
            </w:r>
          </w:p>
        </w:tc>
      </w:tr>
      <w:tr w:rsidR="00AD1C35" w:rsidRPr="00DC0E42" w:rsidTr="00BC5DAC">
        <w:trPr>
          <w:trHeight w:val="373"/>
        </w:trPr>
        <w:tc>
          <w:tcPr>
            <w:tcW w:w="2978" w:type="dxa"/>
            <w:shd w:val="clear" w:color="auto" w:fill="D9D9D9"/>
          </w:tcPr>
          <w:p w:rsidR="00AD1C35" w:rsidRPr="00DC0E42" w:rsidRDefault="00AD1C35" w:rsidP="000D4D79">
            <w:pPr>
              <w:pStyle w:val="TableParagraph"/>
              <w:spacing w:line="239" w:lineRule="exact"/>
              <w:rPr>
                <w:b/>
                <w:sz w:val="18"/>
                <w:szCs w:val="18"/>
              </w:rPr>
            </w:pPr>
            <w:r w:rsidRPr="00DC0E42">
              <w:rPr>
                <w:b/>
                <w:sz w:val="18"/>
                <w:szCs w:val="18"/>
              </w:rPr>
              <w:t>30.11.2021</w:t>
            </w:r>
          </w:p>
        </w:tc>
        <w:tc>
          <w:tcPr>
            <w:tcW w:w="3542" w:type="dxa"/>
          </w:tcPr>
          <w:p w:rsidR="00AD1C35" w:rsidRPr="00DC0E42" w:rsidRDefault="00AD1C35" w:rsidP="00BC5DAC">
            <w:pPr>
              <w:pStyle w:val="TableParagraph"/>
              <w:spacing w:before="57"/>
              <w:ind w:right="728"/>
              <w:jc w:val="center"/>
              <w:rPr>
                <w:sz w:val="18"/>
                <w:szCs w:val="18"/>
              </w:rPr>
            </w:pPr>
            <w:r w:rsidRPr="00DC0E42">
              <w:rPr>
                <w:sz w:val="18"/>
                <w:szCs w:val="18"/>
              </w:rPr>
              <w:t>54</w:t>
            </w:r>
          </w:p>
        </w:tc>
      </w:tr>
      <w:tr w:rsidR="00AD1C35" w:rsidRPr="00DC0E42" w:rsidTr="00BC5DAC">
        <w:trPr>
          <w:trHeight w:val="371"/>
        </w:trPr>
        <w:tc>
          <w:tcPr>
            <w:tcW w:w="2978" w:type="dxa"/>
            <w:shd w:val="clear" w:color="auto" w:fill="D9D9D9"/>
          </w:tcPr>
          <w:p w:rsidR="00AD1C35" w:rsidRPr="00DC0E42" w:rsidRDefault="00AD1C35" w:rsidP="000D4D79">
            <w:pPr>
              <w:pStyle w:val="TableParagraph"/>
              <w:spacing w:line="236" w:lineRule="exact"/>
              <w:rPr>
                <w:b/>
                <w:sz w:val="18"/>
                <w:szCs w:val="18"/>
              </w:rPr>
            </w:pPr>
            <w:r w:rsidRPr="00DC0E42">
              <w:rPr>
                <w:b/>
                <w:sz w:val="18"/>
                <w:szCs w:val="18"/>
              </w:rPr>
              <w:t>01.12.2021</w:t>
            </w:r>
          </w:p>
        </w:tc>
        <w:tc>
          <w:tcPr>
            <w:tcW w:w="3542" w:type="dxa"/>
          </w:tcPr>
          <w:p w:rsidR="00AD1C35" w:rsidRPr="00DC0E42" w:rsidRDefault="00AD1C35" w:rsidP="00BC5DAC">
            <w:pPr>
              <w:pStyle w:val="TableParagraph"/>
              <w:spacing w:before="57"/>
              <w:ind w:right="728"/>
              <w:jc w:val="center"/>
              <w:rPr>
                <w:sz w:val="18"/>
                <w:szCs w:val="18"/>
              </w:rPr>
            </w:pPr>
            <w:r w:rsidRPr="00DC0E42">
              <w:rPr>
                <w:sz w:val="18"/>
                <w:szCs w:val="18"/>
              </w:rPr>
              <w:t>52</w:t>
            </w:r>
          </w:p>
        </w:tc>
      </w:tr>
      <w:tr w:rsidR="00AD1C35" w:rsidRPr="00DC0E42" w:rsidTr="00BC5DAC">
        <w:trPr>
          <w:trHeight w:val="374"/>
        </w:trPr>
        <w:tc>
          <w:tcPr>
            <w:tcW w:w="2978" w:type="dxa"/>
            <w:shd w:val="clear" w:color="auto" w:fill="D9D9D9"/>
          </w:tcPr>
          <w:p w:rsidR="00AD1C35" w:rsidRPr="00DC0E42" w:rsidRDefault="00AD1C35" w:rsidP="000D4D79">
            <w:pPr>
              <w:pStyle w:val="TableParagraph"/>
              <w:spacing w:before="118" w:line="236" w:lineRule="exact"/>
              <w:rPr>
                <w:b/>
                <w:sz w:val="18"/>
                <w:szCs w:val="18"/>
              </w:rPr>
            </w:pPr>
            <w:r w:rsidRPr="00DC0E42">
              <w:rPr>
                <w:b/>
                <w:sz w:val="18"/>
                <w:szCs w:val="18"/>
              </w:rPr>
              <w:t>02.12.2021</w:t>
            </w:r>
          </w:p>
        </w:tc>
        <w:tc>
          <w:tcPr>
            <w:tcW w:w="3542" w:type="dxa"/>
          </w:tcPr>
          <w:p w:rsidR="00AD1C35" w:rsidRPr="00DC0E42" w:rsidRDefault="00AD1C35" w:rsidP="00BC5DAC">
            <w:pPr>
              <w:pStyle w:val="TableParagraph"/>
              <w:spacing w:before="60"/>
              <w:ind w:right="728"/>
              <w:jc w:val="center"/>
              <w:rPr>
                <w:sz w:val="18"/>
                <w:szCs w:val="18"/>
              </w:rPr>
            </w:pPr>
            <w:r w:rsidRPr="00DC0E42">
              <w:rPr>
                <w:sz w:val="18"/>
                <w:szCs w:val="18"/>
              </w:rPr>
              <w:t>53</w:t>
            </w:r>
          </w:p>
        </w:tc>
      </w:tr>
      <w:tr w:rsidR="00AD1C35" w:rsidRPr="00DC0E42" w:rsidTr="00BC5DAC">
        <w:trPr>
          <w:trHeight w:val="373"/>
        </w:trPr>
        <w:tc>
          <w:tcPr>
            <w:tcW w:w="2978" w:type="dxa"/>
            <w:shd w:val="clear" w:color="auto" w:fill="D9D9D9"/>
          </w:tcPr>
          <w:p w:rsidR="00AD1C35" w:rsidRPr="00DC0E42" w:rsidRDefault="00AD1C35" w:rsidP="000D4D79">
            <w:pPr>
              <w:pStyle w:val="TableParagraph"/>
              <w:spacing w:line="239" w:lineRule="exact"/>
              <w:rPr>
                <w:b/>
                <w:sz w:val="18"/>
                <w:szCs w:val="18"/>
              </w:rPr>
            </w:pPr>
            <w:r w:rsidRPr="00DC0E42">
              <w:rPr>
                <w:b/>
                <w:sz w:val="18"/>
                <w:szCs w:val="18"/>
              </w:rPr>
              <w:t>03.12.2021</w:t>
            </w:r>
          </w:p>
        </w:tc>
        <w:tc>
          <w:tcPr>
            <w:tcW w:w="3542" w:type="dxa"/>
          </w:tcPr>
          <w:p w:rsidR="00AD1C35" w:rsidRPr="00DC0E42" w:rsidRDefault="00AD1C35" w:rsidP="00BC5DAC">
            <w:pPr>
              <w:pStyle w:val="TableParagraph"/>
              <w:spacing w:before="57"/>
              <w:ind w:right="728"/>
              <w:jc w:val="center"/>
              <w:rPr>
                <w:sz w:val="18"/>
                <w:szCs w:val="18"/>
              </w:rPr>
            </w:pPr>
            <w:r w:rsidRPr="00DC0E42">
              <w:rPr>
                <w:sz w:val="18"/>
                <w:szCs w:val="18"/>
              </w:rPr>
              <w:t>53</w:t>
            </w:r>
          </w:p>
        </w:tc>
      </w:tr>
      <w:tr w:rsidR="00AD1C35" w:rsidRPr="00DC0E42" w:rsidTr="00BC5DAC">
        <w:trPr>
          <w:trHeight w:val="373"/>
        </w:trPr>
        <w:tc>
          <w:tcPr>
            <w:tcW w:w="2978" w:type="dxa"/>
            <w:shd w:val="clear" w:color="auto" w:fill="D9D9D9"/>
          </w:tcPr>
          <w:p w:rsidR="00AD1C35" w:rsidRPr="00DC0E42" w:rsidRDefault="00AD1C35" w:rsidP="000D4D79">
            <w:pPr>
              <w:pStyle w:val="TableParagraph"/>
              <w:spacing w:line="239" w:lineRule="exact"/>
              <w:rPr>
                <w:b/>
                <w:sz w:val="18"/>
                <w:szCs w:val="18"/>
              </w:rPr>
            </w:pPr>
            <w:r w:rsidRPr="00DC0E42">
              <w:rPr>
                <w:b/>
                <w:sz w:val="18"/>
                <w:szCs w:val="18"/>
              </w:rPr>
              <w:t>04.12.2021</w:t>
            </w:r>
          </w:p>
        </w:tc>
        <w:tc>
          <w:tcPr>
            <w:tcW w:w="3542" w:type="dxa"/>
          </w:tcPr>
          <w:p w:rsidR="00AD1C35" w:rsidRPr="00DC0E42" w:rsidRDefault="00AD1C35" w:rsidP="00BC5DAC">
            <w:pPr>
              <w:pStyle w:val="TableParagraph"/>
              <w:spacing w:before="57"/>
              <w:ind w:right="728"/>
              <w:jc w:val="center"/>
              <w:rPr>
                <w:sz w:val="18"/>
                <w:szCs w:val="18"/>
              </w:rPr>
            </w:pPr>
            <w:r w:rsidRPr="00DC0E42">
              <w:rPr>
                <w:sz w:val="18"/>
                <w:szCs w:val="18"/>
              </w:rPr>
              <w:t>56</w:t>
            </w:r>
          </w:p>
        </w:tc>
      </w:tr>
      <w:tr w:rsidR="00AD1C35" w:rsidRPr="00DC0E42" w:rsidTr="00BC5DAC">
        <w:trPr>
          <w:trHeight w:val="371"/>
        </w:trPr>
        <w:tc>
          <w:tcPr>
            <w:tcW w:w="2978" w:type="dxa"/>
            <w:shd w:val="clear" w:color="auto" w:fill="D9D9D9"/>
          </w:tcPr>
          <w:p w:rsidR="00AD1C35" w:rsidRPr="00DC0E42" w:rsidRDefault="00AD1C35" w:rsidP="000D4D79">
            <w:pPr>
              <w:pStyle w:val="TableParagraph"/>
              <w:spacing w:line="236" w:lineRule="exact"/>
              <w:rPr>
                <w:b/>
                <w:sz w:val="18"/>
                <w:szCs w:val="18"/>
              </w:rPr>
            </w:pPr>
            <w:r w:rsidRPr="00DC0E42">
              <w:rPr>
                <w:b/>
                <w:sz w:val="18"/>
                <w:szCs w:val="18"/>
              </w:rPr>
              <w:t>05.12.2021</w:t>
            </w:r>
          </w:p>
        </w:tc>
        <w:tc>
          <w:tcPr>
            <w:tcW w:w="3542" w:type="dxa"/>
          </w:tcPr>
          <w:p w:rsidR="00AD1C35" w:rsidRPr="00DC0E42" w:rsidRDefault="00AD1C35" w:rsidP="00BC5DAC">
            <w:pPr>
              <w:pStyle w:val="TableParagraph"/>
              <w:spacing w:before="57"/>
              <w:ind w:right="728"/>
              <w:jc w:val="center"/>
              <w:rPr>
                <w:sz w:val="18"/>
                <w:szCs w:val="18"/>
              </w:rPr>
            </w:pPr>
            <w:r w:rsidRPr="00DC0E42">
              <w:rPr>
                <w:sz w:val="18"/>
                <w:szCs w:val="18"/>
              </w:rPr>
              <w:t>56</w:t>
            </w:r>
          </w:p>
        </w:tc>
      </w:tr>
      <w:tr w:rsidR="00AD1C35" w:rsidRPr="00DC0E42" w:rsidTr="00BC5DAC">
        <w:trPr>
          <w:trHeight w:val="373"/>
        </w:trPr>
        <w:tc>
          <w:tcPr>
            <w:tcW w:w="2978" w:type="dxa"/>
            <w:shd w:val="clear" w:color="auto" w:fill="D9D9D9"/>
          </w:tcPr>
          <w:p w:rsidR="00AD1C35" w:rsidRPr="00DC0E42" w:rsidRDefault="00AD1C35" w:rsidP="000D4D79">
            <w:pPr>
              <w:pStyle w:val="TableParagraph"/>
              <w:spacing w:before="117" w:line="236" w:lineRule="exact"/>
              <w:rPr>
                <w:b/>
                <w:sz w:val="18"/>
                <w:szCs w:val="18"/>
              </w:rPr>
            </w:pPr>
            <w:r w:rsidRPr="00DC0E42">
              <w:rPr>
                <w:b/>
                <w:sz w:val="18"/>
                <w:szCs w:val="18"/>
              </w:rPr>
              <w:t>06.12.2021</w:t>
            </w:r>
          </w:p>
        </w:tc>
        <w:tc>
          <w:tcPr>
            <w:tcW w:w="3542" w:type="dxa"/>
          </w:tcPr>
          <w:p w:rsidR="00AD1C35" w:rsidRPr="00DC0E42" w:rsidRDefault="00AD1C35" w:rsidP="00BC5DAC">
            <w:pPr>
              <w:pStyle w:val="TableParagraph"/>
              <w:spacing w:before="59"/>
              <w:ind w:right="728"/>
              <w:jc w:val="center"/>
              <w:rPr>
                <w:sz w:val="18"/>
                <w:szCs w:val="18"/>
              </w:rPr>
            </w:pPr>
            <w:r w:rsidRPr="00DC0E42">
              <w:rPr>
                <w:sz w:val="18"/>
                <w:szCs w:val="18"/>
              </w:rPr>
              <w:t>57</w:t>
            </w:r>
          </w:p>
        </w:tc>
      </w:tr>
      <w:tr w:rsidR="00AD1C35" w:rsidRPr="00DC0E42" w:rsidTr="00BC5DAC">
        <w:trPr>
          <w:trHeight w:val="373"/>
        </w:trPr>
        <w:tc>
          <w:tcPr>
            <w:tcW w:w="2978" w:type="dxa"/>
            <w:shd w:val="clear" w:color="auto" w:fill="D9D9D9"/>
          </w:tcPr>
          <w:p w:rsidR="00AD1C35" w:rsidRPr="00DC0E42" w:rsidRDefault="00AD1C35" w:rsidP="000D4D79">
            <w:pPr>
              <w:pStyle w:val="TableParagraph"/>
              <w:spacing w:line="239" w:lineRule="exact"/>
              <w:rPr>
                <w:b/>
                <w:sz w:val="18"/>
                <w:szCs w:val="18"/>
              </w:rPr>
            </w:pPr>
            <w:r w:rsidRPr="00DC0E42">
              <w:rPr>
                <w:b/>
                <w:sz w:val="18"/>
                <w:szCs w:val="18"/>
              </w:rPr>
              <w:t>07.12.2021</w:t>
            </w:r>
          </w:p>
        </w:tc>
        <w:tc>
          <w:tcPr>
            <w:tcW w:w="3542" w:type="dxa"/>
          </w:tcPr>
          <w:p w:rsidR="00AD1C35" w:rsidRPr="00DC0E42" w:rsidRDefault="00AD1C35" w:rsidP="00BC5DAC">
            <w:pPr>
              <w:pStyle w:val="TableParagraph"/>
              <w:spacing w:before="57"/>
              <w:ind w:right="728"/>
              <w:jc w:val="center"/>
              <w:rPr>
                <w:sz w:val="18"/>
                <w:szCs w:val="18"/>
              </w:rPr>
            </w:pPr>
            <w:r w:rsidRPr="00DC0E42">
              <w:rPr>
                <w:sz w:val="18"/>
                <w:szCs w:val="18"/>
              </w:rPr>
              <w:t>55</w:t>
            </w:r>
          </w:p>
        </w:tc>
      </w:tr>
      <w:tr w:rsidR="00AD1C35" w:rsidRPr="00DC0E42" w:rsidTr="00BC5DAC">
        <w:trPr>
          <w:trHeight w:val="373"/>
        </w:trPr>
        <w:tc>
          <w:tcPr>
            <w:tcW w:w="2978" w:type="dxa"/>
            <w:shd w:val="clear" w:color="auto" w:fill="D9D9D9"/>
          </w:tcPr>
          <w:p w:rsidR="00AD1C35" w:rsidRPr="00DC0E42" w:rsidRDefault="00AD1C35" w:rsidP="000D4D79">
            <w:pPr>
              <w:pStyle w:val="TableParagraph"/>
              <w:spacing w:line="239" w:lineRule="exact"/>
              <w:rPr>
                <w:b/>
                <w:sz w:val="18"/>
                <w:szCs w:val="18"/>
              </w:rPr>
            </w:pPr>
            <w:r w:rsidRPr="00DC0E42">
              <w:rPr>
                <w:b/>
                <w:sz w:val="18"/>
                <w:szCs w:val="18"/>
              </w:rPr>
              <w:t>08.12.2021</w:t>
            </w:r>
          </w:p>
        </w:tc>
        <w:tc>
          <w:tcPr>
            <w:tcW w:w="3542" w:type="dxa"/>
          </w:tcPr>
          <w:p w:rsidR="00AD1C35" w:rsidRPr="00DC0E42" w:rsidRDefault="00AD1C35" w:rsidP="00BC5DAC">
            <w:pPr>
              <w:pStyle w:val="TableParagraph"/>
              <w:spacing w:before="57"/>
              <w:ind w:right="728"/>
              <w:jc w:val="center"/>
              <w:rPr>
                <w:sz w:val="18"/>
                <w:szCs w:val="18"/>
              </w:rPr>
            </w:pPr>
            <w:r w:rsidRPr="00DC0E42">
              <w:rPr>
                <w:sz w:val="18"/>
                <w:szCs w:val="18"/>
              </w:rPr>
              <w:t>52</w:t>
            </w:r>
          </w:p>
        </w:tc>
      </w:tr>
      <w:tr w:rsidR="00AD1C35" w:rsidRPr="00DC0E42" w:rsidTr="00BC5DAC">
        <w:trPr>
          <w:trHeight w:val="371"/>
        </w:trPr>
        <w:tc>
          <w:tcPr>
            <w:tcW w:w="2978" w:type="dxa"/>
            <w:shd w:val="clear" w:color="auto" w:fill="D9D9D9"/>
          </w:tcPr>
          <w:p w:rsidR="00AD1C35" w:rsidRPr="00DC0E42" w:rsidRDefault="00AD1C35" w:rsidP="000D4D79">
            <w:pPr>
              <w:pStyle w:val="TableParagraph"/>
              <w:spacing w:line="236" w:lineRule="exact"/>
              <w:rPr>
                <w:b/>
                <w:sz w:val="18"/>
                <w:szCs w:val="18"/>
              </w:rPr>
            </w:pPr>
            <w:r w:rsidRPr="00DC0E42">
              <w:rPr>
                <w:b/>
                <w:sz w:val="18"/>
                <w:szCs w:val="18"/>
              </w:rPr>
              <w:t>09.12.2021</w:t>
            </w:r>
          </w:p>
        </w:tc>
        <w:tc>
          <w:tcPr>
            <w:tcW w:w="3542" w:type="dxa"/>
          </w:tcPr>
          <w:p w:rsidR="00AD1C35" w:rsidRPr="00DC0E42" w:rsidRDefault="00AD1C35" w:rsidP="00BC5DAC">
            <w:pPr>
              <w:pStyle w:val="TableParagraph"/>
              <w:spacing w:before="57"/>
              <w:ind w:right="728"/>
              <w:jc w:val="center"/>
              <w:rPr>
                <w:sz w:val="18"/>
                <w:szCs w:val="18"/>
              </w:rPr>
            </w:pPr>
            <w:r w:rsidRPr="00DC0E42">
              <w:rPr>
                <w:sz w:val="18"/>
                <w:szCs w:val="18"/>
              </w:rPr>
              <w:t>53</w:t>
            </w:r>
          </w:p>
        </w:tc>
      </w:tr>
      <w:tr w:rsidR="00AD1C35" w:rsidRPr="00DC0E42" w:rsidTr="00BC5DAC">
        <w:trPr>
          <w:trHeight w:val="373"/>
        </w:trPr>
        <w:tc>
          <w:tcPr>
            <w:tcW w:w="2978" w:type="dxa"/>
            <w:shd w:val="clear" w:color="auto" w:fill="D9D9D9"/>
          </w:tcPr>
          <w:p w:rsidR="00AD1C35" w:rsidRPr="00DC0E42" w:rsidRDefault="00AD1C35" w:rsidP="000D4D79">
            <w:pPr>
              <w:pStyle w:val="TableParagraph"/>
              <w:spacing w:before="117" w:line="236" w:lineRule="exact"/>
              <w:rPr>
                <w:b/>
                <w:sz w:val="18"/>
                <w:szCs w:val="18"/>
              </w:rPr>
            </w:pPr>
            <w:r w:rsidRPr="00DC0E42">
              <w:rPr>
                <w:b/>
                <w:sz w:val="18"/>
                <w:szCs w:val="18"/>
              </w:rPr>
              <w:t>10.12.2021</w:t>
            </w:r>
          </w:p>
        </w:tc>
        <w:tc>
          <w:tcPr>
            <w:tcW w:w="3542" w:type="dxa"/>
          </w:tcPr>
          <w:p w:rsidR="00AD1C35" w:rsidRPr="00DC0E42" w:rsidRDefault="00AD1C35" w:rsidP="00BC5DAC">
            <w:pPr>
              <w:pStyle w:val="TableParagraph"/>
              <w:spacing w:before="59"/>
              <w:ind w:right="728"/>
              <w:jc w:val="center"/>
              <w:rPr>
                <w:sz w:val="18"/>
                <w:szCs w:val="18"/>
              </w:rPr>
            </w:pPr>
            <w:r w:rsidRPr="00DC0E42">
              <w:rPr>
                <w:sz w:val="18"/>
                <w:szCs w:val="18"/>
              </w:rPr>
              <w:t>53</w:t>
            </w:r>
          </w:p>
        </w:tc>
      </w:tr>
      <w:tr w:rsidR="00AD1C35" w:rsidRPr="00DC0E42" w:rsidTr="00BC5DAC">
        <w:trPr>
          <w:trHeight w:val="374"/>
        </w:trPr>
        <w:tc>
          <w:tcPr>
            <w:tcW w:w="2978" w:type="dxa"/>
            <w:shd w:val="clear" w:color="auto" w:fill="D9D9D9"/>
          </w:tcPr>
          <w:p w:rsidR="00AD1C35" w:rsidRPr="00DC0E42" w:rsidRDefault="00AD1C35" w:rsidP="000D4D79">
            <w:pPr>
              <w:pStyle w:val="TableParagraph"/>
              <w:spacing w:line="239" w:lineRule="exact"/>
              <w:rPr>
                <w:b/>
                <w:sz w:val="18"/>
                <w:szCs w:val="18"/>
              </w:rPr>
            </w:pPr>
            <w:r w:rsidRPr="00DC0E42">
              <w:rPr>
                <w:b/>
                <w:sz w:val="18"/>
                <w:szCs w:val="18"/>
              </w:rPr>
              <w:t>11.12.2021</w:t>
            </w:r>
          </w:p>
        </w:tc>
        <w:tc>
          <w:tcPr>
            <w:tcW w:w="3542" w:type="dxa"/>
          </w:tcPr>
          <w:p w:rsidR="00AD1C35" w:rsidRPr="00DC0E42" w:rsidRDefault="00AD1C35" w:rsidP="00BC5DAC">
            <w:pPr>
              <w:pStyle w:val="TableParagraph"/>
              <w:spacing w:before="57"/>
              <w:ind w:right="728"/>
              <w:jc w:val="center"/>
              <w:rPr>
                <w:sz w:val="18"/>
                <w:szCs w:val="18"/>
              </w:rPr>
            </w:pPr>
            <w:r w:rsidRPr="00DC0E42">
              <w:rPr>
                <w:sz w:val="18"/>
                <w:szCs w:val="18"/>
              </w:rPr>
              <w:t>50</w:t>
            </w:r>
          </w:p>
        </w:tc>
      </w:tr>
      <w:tr w:rsidR="00AD1C35" w:rsidRPr="00DC0E42" w:rsidTr="00BC5DAC">
        <w:trPr>
          <w:trHeight w:val="373"/>
        </w:trPr>
        <w:tc>
          <w:tcPr>
            <w:tcW w:w="2978" w:type="dxa"/>
            <w:shd w:val="clear" w:color="auto" w:fill="D9D9D9"/>
          </w:tcPr>
          <w:p w:rsidR="00AD1C35" w:rsidRPr="00DC0E42" w:rsidRDefault="00AD1C35" w:rsidP="000D4D79">
            <w:pPr>
              <w:pStyle w:val="TableParagraph"/>
              <w:spacing w:line="239" w:lineRule="exact"/>
              <w:rPr>
                <w:b/>
                <w:sz w:val="18"/>
                <w:szCs w:val="18"/>
              </w:rPr>
            </w:pPr>
            <w:r w:rsidRPr="00DC0E42">
              <w:rPr>
                <w:b/>
                <w:sz w:val="18"/>
                <w:szCs w:val="18"/>
              </w:rPr>
              <w:t>12.12.2021</w:t>
            </w:r>
          </w:p>
        </w:tc>
        <w:tc>
          <w:tcPr>
            <w:tcW w:w="3542" w:type="dxa"/>
          </w:tcPr>
          <w:p w:rsidR="00AD1C35" w:rsidRPr="00DC0E42" w:rsidRDefault="00AD1C35" w:rsidP="00BC5DAC">
            <w:pPr>
              <w:pStyle w:val="TableParagraph"/>
              <w:spacing w:before="57"/>
              <w:ind w:right="728"/>
              <w:jc w:val="center"/>
              <w:rPr>
                <w:sz w:val="18"/>
                <w:szCs w:val="18"/>
              </w:rPr>
            </w:pPr>
            <w:r w:rsidRPr="00DC0E42">
              <w:rPr>
                <w:sz w:val="18"/>
                <w:szCs w:val="18"/>
              </w:rPr>
              <w:t>51</w:t>
            </w:r>
          </w:p>
        </w:tc>
      </w:tr>
      <w:tr w:rsidR="00AD1C35" w:rsidRPr="00DC0E42" w:rsidTr="00BC5DAC">
        <w:trPr>
          <w:trHeight w:val="371"/>
        </w:trPr>
        <w:tc>
          <w:tcPr>
            <w:tcW w:w="2978" w:type="dxa"/>
            <w:shd w:val="clear" w:color="auto" w:fill="D9D9D9"/>
          </w:tcPr>
          <w:p w:rsidR="00AD1C35" w:rsidRPr="00DC0E42" w:rsidRDefault="00AD1C35" w:rsidP="000D4D79">
            <w:pPr>
              <w:pStyle w:val="TableParagraph"/>
              <w:spacing w:line="236" w:lineRule="exact"/>
              <w:rPr>
                <w:b/>
                <w:sz w:val="18"/>
                <w:szCs w:val="18"/>
              </w:rPr>
            </w:pPr>
            <w:r w:rsidRPr="00DC0E42">
              <w:rPr>
                <w:b/>
                <w:sz w:val="18"/>
                <w:szCs w:val="18"/>
              </w:rPr>
              <w:t>13.12.2021</w:t>
            </w:r>
          </w:p>
        </w:tc>
        <w:tc>
          <w:tcPr>
            <w:tcW w:w="3542" w:type="dxa"/>
          </w:tcPr>
          <w:p w:rsidR="00AD1C35" w:rsidRPr="00DC0E42" w:rsidRDefault="00AD1C35" w:rsidP="00BC5DAC">
            <w:pPr>
              <w:pStyle w:val="TableParagraph"/>
              <w:spacing w:before="57"/>
              <w:ind w:right="728"/>
              <w:jc w:val="center"/>
              <w:rPr>
                <w:sz w:val="18"/>
                <w:szCs w:val="18"/>
              </w:rPr>
            </w:pPr>
            <w:r w:rsidRPr="00DC0E42">
              <w:rPr>
                <w:sz w:val="18"/>
                <w:szCs w:val="18"/>
              </w:rPr>
              <w:t>52</w:t>
            </w:r>
          </w:p>
        </w:tc>
      </w:tr>
      <w:tr w:rsidR="00AD1C35" w:rsidRPr="00DC0E42" w:rsidTr="00BC5DAC">
        <w:trPr>
          <w:trHeight w:val="373"/>
        </w:trPr>
        <w:tc>
          <w:tcPr>
            <w:tcW w:w="2978" w:type="dxa"/>
            <w:shd w:val="clear" w:color="auto" w:fill="D9D9D9"/>
          </w:tcPr>
          <w:p w:rsidR="00AD1C35" w:rsidRPr="00DC0E42" w:rsidRDefault="00AD1C35" w:rsidP="000D4D79">
            <w:pPr>
              <w:pStyle w:val="TableParagraph"/>
              <w:spacing w:before="117" w:line="236" w:lineRule="exact"/>
              <w:rPr>
                <w:b/>
                <w:sz w:val="18"/>
                <w:szCs w:val="18"/>
              </w:rPr>
            </w:pPr>
            <w:r w:rsidRPr="00DC0E42">
              <w:rPr>
                <w:b/>
                <w:sz w:val="18"/>
                <w:szCs w:val="18"/>
              </w:rPr>
              <w:t>14.12.2021</w:t>
            </w:r>
          </w:p>
        </w:tc>
        <w:tc>
          <w:tcPr>
            <w:tcW w:w="3542" w:type="dxa"/>
          </w:tcPr>
          <w:p w:rsidR="00AD1C35" w:rsidRPr="00DC0E42" w:rsidRDefault="00AD1C35" w:rsidP="00BC5DAC">
            <w:pPr>
              <w:pStyle w:val="TableParagraph"/>
              <w:spacing w:before="59"/>
              <w:ind w:right="728"/>
              <w:jc w:val="center"/>
              <w:rPr>
                <w:sz w:val="18"/>
                <w:szCs w:val="18"/>
              </w:rPr>
            </w:pPr>
            <w:r w:rsidRPr="00DC0E42">
              <w:rPr>
                <w:sz w:val="18"/>
                <w:szCs w:val="18"/>
              </w:rPr>
              <w:t>50</w:t>
            </w:r>
          </w:p>
        </w:tc>
      </w:tr>
      <w:tr w:rsidR="00AD1C35" w:rsidRPr="00DC0E42" w:rsidTr="00BC5DAC">
        <w:trPr>
          <w:trHeight w:val="373"/>
        </w:trPr>
        <w:tc>
          <w:tcPr>
            <w:tcW w:w="2978" w:type="dxa"/>
            <w:shd w:val="clear" w:color="auto" w:fill="D9D9D9"/>
          </w:tcPr>
          <w:p w:rsidR="00AD1C35" w:rsidRPr="00DC0E42" w:rsidRDefault="00AD1C35" w:rsidP="000D4D79">
            <w:pPr>
              <w:pStyle w:val="TableParagraph"/>
              <w:spacing w:line="239" w:lineRule="exact"/>
              <w:rPr>
                <w:b/>
                <w:sz w:val="18"/>
                <w:szCs w:val="18"/>
              </w:rPr>
            </w:pPr>
            <w:r w:rsidRPr="00DC0E42">
              <w:rPr>
                <w:b/>
                <w:sz w:val="18"/>
                <w:szCs w:val="18"/>
              </w:rPr>
              <w:t>15.12.2021</w:t>
            </w:r>
          </w:p>
        </w:tc>
        <w:tc>
          <w:tcPr>
            <w:tcW w:w="3542" w:type="dxa"/>
          </w:tcPr>
          <w:p w:rsidR="00AD1C35" w:rsidRPr="00DC0E42" w:rsidRDefault="00AD1C35" w:rsidP="00BC5DAC">
            <w:pPr>
              <w:pStyle w:val="TableParagraph"/>
              <w:spacing w:before="57"/>
              <w:ind w:right="728"/>
              <w:jc w:val="center"/>
              <w:rPr>
                <w:sz w:val="18"/>
                <w:szCs w:val="18"/>
              </w:rPr>
            </w:pPr>
            <w:r w:rsidRPr="00DC0E42">
              <w:rPr>
                <w:sz w:val="18"/>
                <w:szCs w:val="18"/>
              </w:rPr>
              <w:t>47</w:t>
            </w:r>
          </w:p>
        </w:tc>
      </w:tr>
      <w:tr w:rsidR="00AD1C35" w:rsidRPr="00DC0E42" w:rsidTr="00BC5DAC">
        <w:trPr>
          <w:trHeight w:val="371"/>
        </w:trPr>
        <w:tc>
          <w:tcPr>
            <w:tcW w:w="2978" w:type="dxa"/>
            <w:shd w:val="clear" w:color="auto" w:fill="D9D9D9"/>
          </w:tcPr>
          <w:p w:rsidR="00AD1C35" w:rsidRPr="00DC0E42" w:rsidRDefault="00AD1C35" w:rsidP="000D4D79">
            <w:pPr>
              <w:pStyle w:val="TableParagraph"/>
              <w:spacing w:line="236" w:lineRule="exact"/>
              <w:rPr>
                <w:b/>
                <w:sz w:val="18"/>
                <w:szCs w:val="18"/>
              </w:rPr>
            </w:pPr>
            <w:r w:rsidRPr="00DC0E42">
              <w:rPr>
                <w:b/>
                <w:sz w:val="18"/>
                <w:szCs w:val="18"/>
              </w:rPr>
              <w:t>16.12.2021</w:t>
            </w:r>
          </w:p>
        </w:tc>
        <w:tc>
          <w:tcPr>
            <w:tcW w:w="3542" w:type="dxa"/>
          </w:tcPr>
          <w:p w:rsidR="00AD1C35" w:rsidRPr="00DC0E42" w:rsidRDefault="00AD1C35" w:rsidP="00BC5DAC">
            <w:pPr>
              <w:pStyle w:val="TableParagraph"/>
              <w:spacing w:before="57"/>
              <w:ind w:right="728"/>
              <w:jc w:val="center"/>
              <w:rPr>
                <w:sz w:val="18"/>
                <w:szCs w:val="18"/>
              </w:rPr>
            </w:pPr>
            <w:r w:rsidRPr="00DC0E42">
              <w:rPr>
                <w:sz w:val="18"/>
                <w:szCs w:val="18"/>
              </w:rPr>
              <w:t>43</w:t>
            </w:r>
          </w:p>
        </w:tc>
      </w:tr>
      <w:tr w:rsidR="00AD1C35" w:rsidRPr="00DC0E42" w:rsidTr="00BC5DAC">
        <w:trPr>
          <w:trHeight w:val="373"/>
        </w:trPr>
        <w:tc>
          <w:tcPr>
            <w:tcW w:w="2978" w:type="dxa"/>
            <w:shd w:val="clear" w:color="auto" w:fill="D9D9D9"/>
          </w:tcPr>
          <w:p w:rsidR="00AD1C35" w:rsidRPr="00DC0E42" w:rsidRDefault="00AD1C35" w:rsidP="000D4D79">
            <w:pPr>
              <w:pStyle w:val="TableParagraph"/>
              <w:spacing w:before="117" w:line="236" w:lineRule="exact"/>
              <w:rPr>
                <w:b/>
                <w:sz w:val="18"/>
                <w:szCs w:val="18"/>
              </w:rPr>
            </w:pPr>
            <w:r w:rsidRPr="00DC0E42">
              <w:rPr>
                <w:b/>
                <w:sz w:val="18"/>
                <w:szCs w:val="18"/>
              </w:rPr>
              <w:t>17.12.2021</w:t>
            </w:r>
          </w:p>
        </w:tc>
        <w:tc>
          <w:tcPr>
            <w:tcW w:w="3542" w:type="dxa"/>
          </w:tcPr>
          <w:p w:rsidR="00AD1C35" w:rsidRPr="00DC0E42" w:rsidRDefault="00AD1C35" w:rsidP="00BC5DAC">
            <w:pPr>
              <w:pStyle w:val="TableParagraph"/>
              <w:spacing w:before="59"/>
              <w:ind w:right="728"/>
              <w:jc w:val="center"/>
              <w:rPr>
                <w:sz w:val="18"/>
                <w:szCs w:val="18"/>
              </w:rPr>
            </w:pPr>
            <w:r w:rsidRPr="00DC0E42">
              <w:rPr>
                <w:sz w:val="18"/>
                <w:szCs w:val="18"/>
              </w:rPr>
              <w:t>42</w:t>
            </w:r>
          </w:p>
        </w:tc>
      </w:tr>
      <w:tr w:rsidR="00AD1C35" w:rsidRPr="00DC0E42" w:rsidTr="00BC5DAC">
        <w:trPr>
          <w:trHeight w:val="373"/>
        </w:trPr>
        <w:tc>
          <w:tcPr>
            <w:tcW w:w="2978" w:type="dxa"/>
            <w:shd w:val="clear" w:color="auto" w:fill="D9D9D9"/>
          </w:tcPr>
          <w:p w:rsidR="00AD1C35" w:rsidRPr="00DC0E42" w:rsidRDefault="00AD1C35" w:rsidP="000D4D79">
            <w:pPr>
              <w:pStyle w:val="TableParagraph"/>
              <w:spacing w:before="117" w:line="236" w:lineRule="exact"/>
              <w:rPr>
                <w:b/>
                <w:sz w:val="18"/>
                <w:szCs w:val="18"/>
              </w:rPr>
            </w:pPr>
            <w:r w:rsidRPr="00DC0E42">
              <w:rPr>
                <w:b/>
                <w:sz w:val="18"/>
                <w:szCs w:val="18"/>
              </w:rPr>
              <w:t>18.12.2021</w:t>
            </w:r>
          </w:p>
        </w:tc>
        <w:tc>
          <w:tcPr>
            <w:tcW w:w="3542" w:type="dxa"/>
          </w:tcPr>
          <w:p w:rsidR="00AD1C35" w:rsidRPr="00DC0E42" w:rsidRDefault="00AD1C35" w:rsidP="00BC5DAC">
            <w:pPr>
              <w:pStyle w:val="TableParagraph"/>
              <w:spacing w:before="59"/>
              <w:ind w:right="728"/>
              <w:jc w:val="center"/>
              <w:rPr>
                <w:sz w:val="18"/>
                <w:szCs w:val="18"/>
              </w:rPr>
            </w:pPr>
            <w:r w:rsidRPr="00DC0E42">
              <w:rPr>
                <w:sz w:val="18"/>
                <w:szCs w:val="18"/>
              </w:rPr>
              <w:t>42</w:t>
            </w:r>
          </w:p>
        </w:tc>
      </w:tr>
      <w:tr w:rsidR="00AD1C35" w:rsidRPr="00DC0E42" w:rsidTr="00BC5DAC">
        <w:trPr>
          <w:trHeight w:val="373"/>
        </w:trPr>
        <w:tc>
          <w:tcPr>
            <w:tcW w:w="2978" w:type="dxa"/>
            <w:shd w:val="clear" w:color="auto" w:fill="D9D9D9"/>
          </w:tcPr>
          <w:p w:rsidR="00AD1C35" w:rsidRPr="00DC0E42" w:rsidRDefault="00AD1C35" w:rsidP="000D4D79">
            <w:pPr>
              <w:pStyle w:val="TableParagraph"/>
              <w:spacing w:line="239" w:lineRule="exact"/>
              <w:rPr>
                <w:b/>
                <w:sz w:val="18"/>
                <w:szCs w:val="18"/>
              </w:rPr>
            </w:pPr>
            <w:r w:rsidRPr="00DC0E42">
              <w:rPr>
                <w:b/>
                <w:sz w:val="18"/>
                <w:szCs w:val="18"/>
              </w:rPr>
              <w:t>19.12.2021</w:t>
            </w:r>
          </w:p>
        </w:tc>
        <w:tc>
          <w:tcPr>
            <w:tcW w:w="3542" w:type="dxa"/>
          </w:tcPr>
          <w:p w:rsidR="00AD1C35" w:rsidRPr="00DC0E42" w:rsidRDefault="00AD1C35" w:rsidP="00BC5DAC">
            <w:pPr>
              <w:pStyle w:val="TableParagraph"/>
              <w:spacing w:before="57"/>
              <w:ind w:right="728"/>
              <w:jc w:val="center"/>
              <w:rPr>
                <w:sz w:val="18"/>
                <w:szCs w:val="18"/>
              </w:rPr>
            </w:pPr>
            <w:r w:rsidRPr="00DC0E42">
              <w:rPr>
                <w:sz w:val="18"/>
                <w:szCs w:val="18"/>
              </w:rPr>
              <w:t>43</w:t>
            </w:r>
          </w:p>
        </w:tc>
      </w:tr>
      <w:tr w:rsidR="00AD1C35" w:rsidRPr="00DC0E42" w:rsidTr="00BC5DAC">
        <w:trPr>
          <w:trHeight w:val="371"/>
        </w:trPr>
        <w:tc>
          <w:tcPr>
            <w:tcW w:w="2978" w:type="dxa"/>
            <w:shd w:val="clear" w:color="auto" w:fill="D9D9D9"/>
          </w:tcPr>
          <w:p w:rsidR="00AD1C35" w:rsidRPr="00DC0E42" w:rsidRDefault="00AD1C35" w:rsidP="000D4D79">
            <w:pPr>
              <w:pStyle w:val="TableParagraph"/>
              <w:spacing w:line="236" w:lineRule="exact"/>
              <w:rPr>
                <w:b/>
                <w:sz w:val="18"/>
                <w:szCs w:val="18"/>
              </w:rPr>
            </w:pPr>
            <w:r w:rsidRPr="00DC0E42">
              <w:rPr>
                <w:b/>
                <w:sz w:val="18"/>
                <w:szCs w:val="18"/>
              </w:rPr>
              <w:t>20.12.2021</w:t>
            </w:r>
          </w:p>
        </w:tc>
        <w:tc>
          <w:tcPr>
            <w:tcW w:w="3542" w:type="dxa"/>
          </w:tcPr>
          <w:p w:rsidR="00AD1C35" w:rsidRPr="00DC0E42" w:rsidRDefault="00AD1C35" w:rsidP="00BC5DAC">
            <w:pPr>
              <w:pStyle w:val="TableParagraph"/>
              <w:spacing w:before="58"/>
              <w:ind w:right="728"/>
              <w:jc w:val="center"/>
              <w:rPr>
                <w:sz w:val="18"/>
                <w:szCs w:val="18"/>
              </w:rPr>
            </w:pPr>
            <w:r w:rsidRPr="00DC0E42">
              <w:rPr>
                <w:sz w:val="18"/>
                <w:szCs w:val="18"/>
              </w:rPr>
              <w:t>46</w:t>
            </w:r>
          </w:p>
        </w:tc>
      </w:tr>
      <w:tr w:rsidR="00AD1C35" w:rsidRPr="00DC0E42" w:rsidTr="00BC5DAC">
        <w:trPr>
          <w:trHeight w:val="373"/>
        </w:trPr>
        <w:tc>
          <w:tcPr>
            <w:tcW w:w="2978" w:type="dxa"/>
            <w:shd w:val="clear" w:color="auto" w:fill="D9D9D9"/>
          </w:tcPr>
          <w:p w:rsidR="00AD1C35" w:rsidRPr="00DC0E42" w:rsidRDefault="00AD1C35" w:rsidP="000D4D79">
            <w:pPr>
              <w:pStyle w:val="TableParagraph"/>
              <w:spacing w:before="117" w:line="236" w:lineRule="exact"/>
              <w:rPr>
                <w:b/>
                <w:sz w:val="18"/>
                <w:szCs w:val="18"/>
              </w:rPr>
            </w:pPr>
            <w:r w:rsidRPr="00DC0E42">
              <w:rPr>
                <w:b/>
                <w:sz w:val="18"/>
                <w:szCs w:val="18"/>
              </w:rPr>
              <w:t>21.12.2021</w:t>
            </w:r>
          </w:p>
        </w:tc>
        <w:tc>
          <w:tcPr>
            <w:tcW w:w="3542" w:type="dxa"/>
          </w:tcPr>
          <w:p w:rsidR="00AD1C35" w:rsidRPr="00DC0E42" w:rsidRDefault="00AD1C35" w:rsidP="00BC5DAC">
            <w:pPr>
              <w:pStyle w:val="TableParagraph"/>
              <w:spacing w:before="59"/>
              <w:ind w:right="728"/>
              <w:jc w:val="center"/>
              <w:rPr>
                <w:sz w:val="18"/>
                <w:szCs w:val="18"/>
              </w:rPr>
            </w:pPr>
            <w:r w:rsidRPr="00DC0E42">
              <w:rPr>
                <w:sz w:val="18"/>
                <w:szCs w:val="18"/>
              </w:rPr>
              <w:t>46</w:t>
            </w:r>
          </w:p>
        </w:tc>
      </w:tr>
      <w:tr w:rsidR="00AD1C35" w:rsidRPr="00DC0E42" w:rsidTr="00BC5DAC">
        <w:trPr>
          <w:trHeight w:val="373"/>
        </w:trPr>
        <w:tc>
          <w:tcPr>
            <w:tcW w:w="2978" w:type="dxa"/>
            <w:shd w:val="clear" w:color="auto" w:fill="D9D9D9"/>
          </w:tcPr>
          <w:p w:rsidR="00AD1C35" w:rsidRPr="00DC0E42" w:rsidRDefault="00AD1C35" w:rsidP="000D4D79">
            <w:pPr>
              <w:pStyle w:val="TableParagraph"/>
              <w:spacing w:before="117" w:line="236" w:lineRule="exact"/>
              <w:rPr>
                <w:b/>
                <w:sz w:val="18"/>
                <w:szCs w:val="18"/>
              </w:rPr>
            </w:pPr>
            <w:r w:rsidRPr="00DC0E42">
              <w:rPr>
                <w:b/>
                <w:sz w:val="18"/>
                <w:szCs w:val="18"/>
              </w:rPr>
              <w:t>22.12.2021</w:t>
            </w:r>
          </w:p>
        </w:tc>
        <w:tc>
          <w:tcPr>
            <w:tcW w:w="3542" w:type="dxa"/>
          </w:tcPr>
          <w:p w:rsidR="00AD1C35" w:rsidRPr="00DC0E42" w:rsidRDefault="00AD1C35" w:rsidP="00BC5DAC">
            <w:pPr>
              <w:pStyle w:val="TableParagraph"/>
              <w:spacing w:before="59"/>
              <w:ind w:right="728"/>
              <w:jc w:val="center"/>
              <w:rPr>
                <w:sz w:val="18"/>
                <w:szCs w:val="18"/>
              </w:rPr>
            </w:pPr>
            <w:r w:rsidRPr="00DC0E42">
              <w:rPr>
                <w:sz w:val="18"/>
                <w:szCs w:val="18"/>
              </w:rPr>
              <w:t>46</w:t>
            </w:r>
          </w:p>
        </w:tc>
      </w:tr>
      <w:tr w:rsidR="00AD1C35" w:rsidRPr="00DC0E42" w:rsidTr="00BC5DAC">
        <w:trPr>
          <w:trHeight w:val="373"/>
        </w:trPr>
        <w:tc>
          <w:tcPr>
            <w:tcW w:w="2978" w:type="dxa"/>
            <w:shd w:val="clear" w:color="auto" w:fill="D9D9D9"/>
          </w:tcPr>
          <w:p w:rsidR="00AD1C35" w:rsidRPr="00DC0E42" w:rsidRDefault="00AD1C35" w:rsidP="000D4D79">
            <w:pPr>
              <w:pStyle w:val="TableParagraph"/>
              <w:spacing w:line="239" w:lineRule="exact"/>
              <w:rPr>
                <w:b/>
                <w:sz w:val="18"/>
                <w:szCs w:val="18"/>
              </w:rPr>
            </w:pPr>
            <w:r w:rsidRPr="00DC0E42">
              <w:rPr>
                <w:b/>
                <w:sz w:val="18"/>
                <w:szCs w:val="18"/>
              </w:rPr>
              <w:t>23.12.2021</w:t>
            </w:r>
          </w:p>
        </w:tc>
        <w:tc>
          <w:tcPr>
            <w:tcW w:w="3542" w:type="dxa"/>
          </w:tcPr>
          <w:p w:rsidR="00AD1C35" w:rsidRPr="00DC0E42" w:rsidRDefault="00AD1C35" w:rsidP="00BC5DAC">
            <w:pPr>
              <w:pStyle w:val="TableParagraph"/>
              <w:spacing w:before="57"/>
              <w:ind w:right="728"/>
              <w:jc w:val="center"/>
              <w:rPr>
                <w:sz w:val="18"/>
                <w:szCs w:val="18"/>
              </w:rPr>
            </w:pPr>
            <w:r w:rsidRPr="00DC0E42">
              <w:rPr>
                <w:sz w:val="18"/>
                <w:szCs w:val="18"/>
              </w:rPr>
              <w:t>39</w:t>
            </w:r>
          </w:p>
        </w:tc>
      </w:tr>
      <w:tr w:rsidR="00AD1C35" w:rsidRPr="00DC0E42" w:rsidTr="00BC5DAC">
        <w:trPr>
          <w:trHeight w:val="371"/>
        </w:trPr>
        <w:tc>
          <w:tcPr>
            <w:tcW w:w="2978" w:type="dxa"/>
            <w:shd w:val="clear" w:color="auto" w:fill="D9D9D9"/>
          </w:tcPr>
          <w:p w:rsidR="00AD1C35" w:rsidRPr="00DC0E42" w:rsidRDefault="00AD1C35" w:rsidP="000D4D79">
            <w:pPr>
              <w:pStyle w:val="TableParagraph"/>
              <w:spacing w:line="236" w:lineRule="exact"/>
              <w:rPr>
                <w:b/>
                <w:sz w:val="18"/>
                <w:szCs w:val="18"/>
              </w:rPr>
            </w:pPr>
            <w:r w:rsidRPr="00DC0E42">
              <w:rPr>
                <w:b/>
                <w:sz w:val="18"/>
                <w:szCs w:val="18"/>
              </w:rPr>
              <w:t>24.12.2021</w:t>
            </w:r>
          </w:p>
        </w:tc>
        <w:tc>
          <w:tcPr>
            <w:tcW w:w="3542" w:type="dxa"/>
          </w:tcPr>
          <w:p w:rsidR="00AD1C35" w:rsidRPr="00DC0E42" w:rsidRDefault="00AD1C35" w:rsidP="00BC5DAC">
            <w:pPr>
              <w:pStyle w:val="TableParagraph"/>
              <w:spacing w:before="57"/>
              <w:ind w:right="728"/>
              <w:jc w:val="center"/>
              <w:rPr>
                <w:sz w:val="18"/>
                <w:szCs w:val="18"/>
              </w:rPr>
            </w:pPr>
            <w:r w:rsidRPr="00DC0E42">
              <w:rPr>
                <w:sz w:val="18"/>
                <w:szCs w:val="18"/>
              </w:rPr>
              <w:t>38</w:t>
            </w:r>
          </w:p>
        </w:tc>
      </w:tr>
      <w:tr w:rsidR="00AD1C35" w:rsidRPr="00DC0E42" w:rsidTr="00BC5DAC">
        <w:trPr>
          <w:trHeight w:val="373"/>
        </w:trPr>
        <w:tc>
          <w:tcPr>
            <w:tcW w:w="2978" w:type="dxa"/>
            <w:shd w:val="clear" w:color="auto" w:fill="D9D9D9"/>
          </w:tcPr>
          <w:p w:rsidR="00AD1C35" w:rsidRPr="00DC0E42" w:rsidRDefault="00AD1C35" w:rsidP="000D4D79">
            <w:pPr>
              <w:pStyle w:val="TableParagraph"/>
              <w:spacing w:before="117" w:line="236" w:lineRule="exact"/>
              <w:rPr>
                <w:b/>
                <w:sz w:val="18"/>
                <w:szCs w:val="18"/>
              </w:rPr>
            </w:pPr>
            <w:r w:rsidRPr="00DC0E42">
              <w:rPr>
                <w:b/>
                <w:sz w:val="18"/>
                <w:szCs w:val="18"/>
              </w:rPr>
              <w:t>25.12.2021</w:t>
            </w:r>
          </w:p>
        </w:tc>
        <w:tc>
          <w:tcPr>
            <w:tcW w:w="3542" w:type="dxa"/>
          </w:tcPr>
          <w:p w:rsidR="00AD1C35" w:rsidRPr="00DC0E42" w:rsidRDefault="00AD1C35" w:rsidP="00BC5DAC">
            <w:pPr>
              <w:pStyle w:val="TableParagraph"/>
              <w:spacing w:before="59"/>
              <w:ind w:right="728"/>
              <w:jc w:val="center"/>
              <w:rPr>
                <w:sz w:val="18"/>
                <w:szCs w:val="18"/>
              </w:rPr>
            </w:pPr>
            <w:r w:rsidRPr="00DC0E42">
              <w:rPr>
                <w:sz w:val="18"/>
                <w:szCs w:val="18"/>
              </w:rPr>
              <w:t>42</w:t>
            </w:r>
          </w:p>
        </w:tc>
      </w:tr>
      <w:tr w:rsidR="00AD1C35" w:rsidRPr="00DC0E42" w:rsidTr="00BC5DAC">
        <w:trPr>
          <w:trHeight w:val="373"/>
        </w:trPr>
        <w:tc>
          <w:tcPr>
            <w:tcW w:w="2978" w:type="dxa"/>
            <w:shd w:val="clear" w:color="auto" w:fill="D9D9D9"/>
          </w:tcPr>
          <w:p w:rsidR="00AD1C35" w:rsidRPr="00DC0E42" w:rsidRDefault="00AD1C35" w:rsidP="00BC5DAC">
            <w:pPr>
              <w:pStyle w:val="TableParagraph"/>
              <w:spacing w:before="114" w:line="239" w:lineRule="exact"/>
              <w:rPr>
                <w:b/>
                <w:sz w:val="18"/>
                <w:szCs w:val="18"/>
              </w:rPr>
            </w:pPr>
            <w:r w:rsidRPr="00DC0E42">
              <w:rPr>
                <w:b/>
                <w:sz w:val="18"/>
                <w:szCs w:val="18"/>
              </w:rPr>
              <w:t>26.12.2021</w:t>
            </w:r>
          </w:p>
        </w:tc>
        <w:tc>
          <w:tcPr>
            <w:tcW w:w="3542" w:type="dxa"/>
          </w:tcPr>
          <w:p w:rsidR="00AD1C35" w:rsidRPr="00DC0E42" w:rsidRDefault="00AD1C35" w:rsidP="00BC5DAC">
            <w:pPr>
              <w:pStyle w:val="TableParagraph"/>
              <w:spacing w:before="57"/>
              <w:ind w:right="728"/>
              <w:jc w:val="center"/>
              <w:rPr>
                <w:sz w:val="18"/>
                <w:szCs w:val="18"/>
              </w:rPr>
            </w:pPr>
            <w:r w:rsidRPr="00DC0E42">
              <w:rPr>
                <w:sz w:val="18"/>
                <w:szCs w:val="18"/>
              </w:rPr>
              <w:t>42</w:t>
            </w:r>
          </w:p>
        </w:tc>
      </w:tr>
    </w:tbl>
    <w:tbl>
      <w:tblPr>
        <w:tblStyle w:val="TableNormal2"/>
        <w:tblW w:w="0" w:type="auto"/>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76"/>
        <w:gridCol w:w="3544"/>
      </w:tblGrid>
      <w:tr w:rsidR="00AD1C35" w:rsidTr="00BC5DAC">
        <w:trPr>
          <w:trHeight w:val="373"/>
        </w:trPr>
        <w:tc>
          <w:tcPr>
            <w:tcW w:w="2976" w:type="dxa"/>
            <w:tcBorders>
              <w:top w:val="nil"/>
            </w:tcBorders>
            <w:shd w:val="clear" w:color="auto" w:fill="D9D9D9"/>
          </w:tcPr>
          <w:p w:rsidR="00AD1C35" w:rsidRPr="00DC0E42" w:rsidRDefault="00AD1C35" w:rsidP="00BC5DAC">
            <w:pPr>
              <w:pStyle w:val="TableParagraph"/>
              <w:spacing w:line="239" w:lineRule="exact"/>
              <w:ind w:left="74"/>
              <w:rPr>
                <w:b/>
                <w:sz w:val="18"/>
              </w:rPr>
            </w:pPr>
            <w:r w:rsidRPr="00DC0E42">
              <w:rPr>
                <w:b/>
                <w:sz w:val="18"/>
              </w:rPr>
              <w:t>27.12.2021</w:t>
            </w:r>
          </w:p>
        </w:tc>
        <w:tc>
          <w:tcPr>
            <w:tcW w:w="3544" w:type="dxa"/>
            <w:tcBorders>
              <w:top w:val="nil"/>
            </w:tcBorders>
          </w:tcPr>
          <w:p w:rsidR="00AD1C35" w:rsidRPr="00DC0E42" w:rsidRDefault="00AD1C35" w:rsidP="00BC5DAC">
            <w:pPr>
              <w:pStyle w:val="TableParagraph"/>
              <w:spacing w:before="57"/>
              <w:ind w:right="719"/>
              <w:jc w:val="center"/>
              <w:rPr>
                <w:sz w:val="18"/>
              </w:rPr>
            </w:pPr>
            <w:r w:rsidRPr="00DC0E42">
              <w:rPr>
                <w:sz w:val="18"/>
              </w:rPr>
              <w:t>42</w:t>
            </w:r>
          </w:p>
        </w:tc>
      </w:tr>
      <w:tr w:rsidR="00AD1C35" w:rsidTr="00BC5DAC">
        <w:trPr>
          <w:trHeight w:val="371"/>
        </w:trPr>
        <w:tc>
          <w:tcPr>
            <w:tcW w:w="2976" w:type="dxa"/>
            <w:shd w:val="clear" w:color="auto" w:fill="D9D9D9"/>
          </w:tcPr>
          <w:p w:rsidR="00AD1C35" w:rsidRPr="00DC0E42" w:rsidRDefault="00AD1C35" w:rsidP="00BC5DAC">
            <w:pPr>
              <w:pStyle w:val="TableParagraph"/>
              <w:spacing w:line="236" w:lineRule="exact"/>
              <w:ind w:left="74"/>
              <w:rPr>
                <w:b/>
                <w:sz w:val="18"/>
              </w:rPr>
            </w:pPr>
            <w:r w:rsidRPr="00DC0E42">
              <w:rPr>
                <w:b/>
                <w:sz w:val="18"/>
              </w:rPr>
              <w:t>28.12.2021</w:t>
            </w:r>
          </w:p>
        </w:tc>
        <w:tc>
          <w:tcPr>
            <w:tcW w:w="3544" w:type="dxa"/>
          </w:tcPr>
          <w:p w:rsidR="00AD1C35" w:rsidRPr="00DC0E42" w:rsidRDefault="00AD1C35" w:rsidP="00BC5DAC">
            <w:pPr>
              <w:pStyle w:val="TableParagraph"/>
              <w:spacing w:before="57"/>
              <w:ind w:right="719"/>
              <w:jc w:val="center"/>
              <w:rPr>
                <w:sz w:val="18"/>
              </w:rPr>
            </w:pPr>
            <w:r w:rsidRPr="00DC0E42">
              <w:rPr>
                <w:sz w:val="18"/>
              </w:rPr>
              <w:t>42</w:t>
            </w:r>
          </w:p>
        </w:tc>
      </w:tr>
      <w:tr w:rsidR="00AD1C35" w:rsidTr="00BC5DAC">
        <w:trPr>
          <w:trHeight w:val="373"/>
        </w:trPr>
        <w:tc>
          <w:tcPr>
            <w:tcW w:w="2976" w:type="dxa"/>
            <w:shd w:val="clear" w:color="auto" w:fill="D9D9D9"/>
          </w:tcPr>
          <w:p w:rsidR="00AD1C35" w:rsidRPr="00DC0E42" w:rsidRDefault="00AD1C35" w:rsidP="00BC5DAC">
            <w:pPr>
              <w:pStyle w:val="TableParagraph"/>
              <w:spacing w:before="117" w:line="236" w:lineRule="exact"/>
              <w:ind w:left="74"/>
              <w:rPr>
                <w:b/>
                <w:sz w:val="18"/>
              </w:rPr>
            </w:pPr>
            <w:r w:rsidRPr="00DC0E42">
              <w:rPr>
                <w:b/>
                <w:sz w:val="18"/>
              </w:rPr>
              <w:t>29.12.2021</w:t>
            </w:r>
          </w:p>
        </w:tc>
        <w:tc>
          <w:tcPr>
            <w:tcW w:w="3544" w:type="dxa"/>
          </w:tcPr>
          <w:p w:rsidR="00AD1C35" w:rsidRPr="00DC0E42" w:rsidRDefault="00AD1C35" w:rsidP="00BC5DAC">
            <w:pPr>
              <w:pStyle w:val="TableParagraph"/>
              <w:spacing w:before="59"/>
              <w:ind w:right="719"/>
              <w:jc w:val="center"/>
              <w:rPr>
                <w:sz w:val="18"/>
              </w:rPr>
            </w:pPr>
            <w:r w:rsidRPr="00DC0E42">
              <w:rPr>
                <w:sz w:val="18"/>
              </w:rPr>
              <w:t>42</w:t>
            </w:r>
          </w:p>
        </w:tc>
      </w:tr>
      <w:tr w:rsidR="00AD1C35" w:rsidTr="00BC5DAC">
        <w:trPr>
          <w:trHeight w:val="373"/>
        </w:trPr>
        <w:tc>
          <w:tcPr>
            <w:tcW w:w="2976" w:type="dxa"/>
            <w:shd w:val="clear" w:color="auto" w:fill="D9D9D9"/>
          </w:tcPr>
          <w:p w:rsidR="00AD1C35" w:rsidRPr="00DC0E42" w:rsidRDefault="00AD1C35" w:rsidP="00BC5DAC">
            <w:pPr>
              <w:pStyle w:val="TableParagraph"/>
              <w:spacing w:line="239" w:lineRule="exact"/>
              <w:ind w:left="74"/>
              <w:rPr>
                <w:b/>
                <w:sz w:val="18"/>
              </w:rPr>
            </w:pPr>
            <w:r w:rsidRPr="00DC0E42">
              <w:rPr>
                <w:b/>
                <w:sz w:val="18"/>
              </w:rPr>
              <w:t>30.12.2021</w:t>
            </w:r>
          </w:p>
        </w:tc>
        <w:tc>
          <w:tcPr>
            <w:tcW w:w="3544" w:type="dxa"/>
          </w:tcPr>
          <w:p w:rsidR="00AD1C35" w:rsidRPr="00DC0E42" w:rsidRDefault="00AD1C35" w:rsidP="00BC5DAC">
            <w:pPr>
              <w:pStyle w:val="TableParagraph"/>
              <w:spacing w:before="57"/>
              <w:ind w:right="719"/>
              <w:jc w:val="center"/>
              <w:rPr>
                <w:sz w:val="18"/>
              </w:rPr>
            </w:pPr>
            <w:r w:rsidRPr="00DC0E42">
              <w:rPr>
                <w:sz w:val="18"/>
              </w:rPr>
              <w:t>44</w:t>
            </w:r>
          </w:p>
        </w:tc>
      </w:tr>
      <w:tr w:rsidR="00AD1C35" w:rsidRPr="00DC0E42" w:rsidTr="00BC5DAC">
        <w:trPr>
          <w:trHeight w:val="373"/>
        </w:trPr>
        <w:tc>
          <w:tcPr>
            <w:tcW w:w="2976" w:type="dxa"/>
            <w:shd w:val="clear" w:color="auto" w:fill="D9D9D9"/>
          </w:tcPr>
          <w:p w:rsidR="00AD1C35" w:rsidRPr="00DC0E42" w:rsidRDefault="00AD1C35" w:rsidP="000D4D79">
            <w:pPr>
              <w:pStyle w:val="TableParagraph"/>
              <w:spacing w:line="239" w:lineRule="exact"/>
              <w:ind w:left="74"/>
              <w:rPr>
                <w:b/>
                <w:sz w:val="18"/>
                <w:szCs w:val="18"/>
              </w:rPr>
            </w:pPr>
            <w:r w:rsidRPr="00DC0E42">
              <w:rPr>
                <w:b/>
                <w:sz w:val="18"/>
                <w:szCs w:val="18"/>
              </w:rPr>
              <w:lastRenderedPageBreak/>
              <w:t>31.12.2021</w:t>
            </w:r>
          </w:p>
        </w:tc>
        <w:tc>
          <w:tcPr>
            <w:tcW w:w="3544" w:type="dxa"/>
          </w:tcPr>
          <w:p w:rsidR="00AD1C35" w:rsidRPr="00DC0E42" w:rsidRDefault="00AD1C35" w:rsidP="00BC5DAC">
            <w:pPr>
              <w:pStyle w:val="TableParagraph"/>
              <w:spacing w:before="57"/>
              <w:ind w:right="719"/>
              <w:jc w:val="center"/>
              <w:rPr>
                <w:sz w:val="18"/>
                <w:szCs w:val="18"/>
              </w:rPr>
            </w:pPr>
            <w:r w:rsidRPr="00DC0E42">
              <w:rPr>
                <w:sz w:val="18"/>
                <w:szCs w:val="18"/>
              </w:rPr>
              <w:t>46</w:t>
            </w:r>
          </w:p>
        </w:tc>
      </w:tr>
      <w:tr w:rsidR="00AD1C35" w:rsidRPr="00DC0E42" w:rsidTr="00BC5DAC">
        <w:trPr>
          <w:trHeight w:val="371"/>
        </w:trPr>
        <w:tc>
          <w:tcPr>
            <w:tcW w:w="2976" w:type="dxa"/>
            <w:shd w:val="clear" w:color="auto" w:fill="D9D9D9"/>
          </w:tcPr>
          <w:p w:rsidR="00AD1C35" w:rsidRPr="00DC0E42" w:rsidRDefault="00AD1C35" w:rsidP="000D4D79">
            <w:pPr>
              <w:pStyle w:val="TableParagraph"/>
              <w:spacing w:line="236" w:lineRule="exact"/>
              <w:ind w:left="74"/>
              <w:rPr>
                <w:b/>
                <w:sz w:val="18"/>
                <w:szCs w:val="18"/>
              </w:rPr>
            </w:pPr>
            <w:r w:rsidRPr="00DC0E42">
              <w:rPr>
                <w:b/>
                <w:sz w:val="18"/>
                <w:szCs w:val="18"/>
              </w:rPr>
              <w:t>01.01.2022</w:t>
            </w:r>
          </w:p>
        </w:tc>
        <w:tc>
          <w:tcPr>
            <w:tcW w:w="3544" w:type="dxa"/>
          </w:tcPr>
          <w:p w:rsidR="00AD1C35" w:rsidRPr="00DC0E42" w:rsidRDefault="00AD1C35" w:rsidP="00BC5DAC">
            <w:pPr>
              <w:pStyle w:val="TableParagraph"/>
              <w:spacing w:before="57"/>
              <w:ind w:right="719"/>
              <w:jc w:val="center"/>
              <w:rPr>
                <w:sz w:val="18"/>
                <w:szCs w:val="18"/>
              </w:rPr>
            </w:pPr>
            <w:r w:rsidRPr="00DC0E42">
              <w:rPr>
                <w:sz w:val="18"/>
                <w:szCs w:val="18"/>
              </w:rPr>
              <w:t>48</w:t>
            </w:r>
          </w:p>
        </w:tc>
      </w:tr>
      <w:tr w:rsidR="00AD1C35" w:rsidRPr="00DC0E42" w:rsidTr="00BC5DAC">
        <w:trPr>
          <w:trHeight w:val="373"/>
        </w:trPr>
        <w:tc>
          <w:tcPr>
            <w:tcW w:w="2976" w:type="dxa"/>
            <w:shd w:val="clear" w:color="auto" w:fill="D9D9D9"/>
          </w:tcPr>
          <w:p w:rsidR="00AD1C35" w:rsidRPr="00DC0E42" w:rsidRDefault="00AD1C35" w:rsidP="000D4D79">
            <w:pPr>
              <w:pStyle w:val="TableParagraph"/>
              <w:spacing w:before="117" w:line="236" w:lineRule="exact"/>
              <w:ind w:left="74"/>
              <w:rPr>
                <w:b/>
                <w:sz w:val="18"/>
                <w:szCs w:val="18"/>
              </w:rPr>
            </w:pPr>
            <w:r w:rsidRPr="00DC0E42">
              <w:rPr>
                <w:b/>
                <w:sz w:val="18"/>
                <w:szCs w:val="18"/>
              </w:rPr>
              <w:t>02.01.2022</w:t>
            </w:r>
          </w:p>
        </w:tc>
        <w:tc>
          <w:tcPr>
            <w:tcW w:w="3544" w:type="dxa"/>
          </w:tcPr>
          <w:p w:rsidR="00AD1C35" w:rsidRPr="00DC0E42" w:rsidRDefault="00AD1C35" w:rsidP="00BC5DAC">
            <w:pPr>
              <w:pStyle w:val="TableParagraph"/>
              <w:spacing w:before="59"/>
              <w:ind w:right="719"/>
              <w:jc w:val="center"/>
              <w:rPr>
                <w:sz w:val="18"/>
                <w:szCs w:val="18"/>
              </w:rPr>
            </w:pPr>
            <w:r w:rsidRPr="00DC0E42">
              <w:rPr>
                <w:sz w:val="18"/>
                <w:szCs w:val="18"/>
              </w:rPr>
              <w:t>49</w:t>
            </w:r>
          </w:p>
        </w:tc>
      </w:tr>
      <w:tr w:rsidR="00AD1C35" w:rsidRPr="00DC0E42" w:rsidTr="00BC5DAC">
        <w:trPr>
          <w:trHeight w:val="373"/>
        </w:trPr>
        <w:tc>
          <w:tcPr>
            <w:tcW w:w="2976" w:type="dxa"/>
            <w:shd w:val="clear" w:color="auto" w:fill="D9D9D9"/>
          </w:tcPr>
          <w:p w:rsidR="00AD1C35" w:rsidRPr="00DC0E42" w:rsidRDefault="00AD1C35" w:rsidP="000D4D79">
            <w:pPr>
              <w:pStyle w:val="TableParagraph"/>
              <w:spacing w:line="239" w:lineRule="exact"/>
              <w:ind w:left="14"/>
              <w:rPr>
                <w:b/>
                <w:sz w:val="18"/>
                <w:szCs w:val="18"/>
              </w:rPr>
            </w:pPr>
            <w:r w:rsidRPr="00DC0E42">
              <w:rPr>
                <w:b/>
                <w:sz w:val="18"/>
                <w:szCs w:val="18"/>
              </w:rPr>
              <w:t>03.01.2022</w:t>
            </w:r>
          </w:p>
        </w:tc>
        <w:tc>
          <w:tcPr>
            <w:tcW w:w="3544" w:type="dxa"/>
          </w:tcPr>
          <w:p w:rsidR="00AD1C35" w:rsidRPr="00DC0E42" w:rsidRDefault="00AD1C35" w:rsidP="00BC5DAC">
            <w:pPr>
              <w:pStyle w:val="TableParagraph"/>
              <w:spacing w:before="57"/>
              <w:ind w:right="719"/>
              <w:jc w:val="center"/>
              <w:rPr>
                <w:sz w:val="18"/>
                <w:szCs w:val="18"/>
              </w:rPr>
            </w:pPr>
            <w:r w:rsidRPr="00DC0E42">
              <w:rPr>
                <w:sz w:val="18"/>
                <w:szCs w:val="18"/>
              </w:rPr>
              <w:t>53</w:t>
            </w:r>
          </w:p>
        </w:tc>
      </w:tr>
      <w:tr w:rsidR="00AD1C35" w:rsidRPr="00DC0E42" w:rsidTr="00BC5DAC">
        <w:trPr>
          <w:trHeight w:val="373"/>
        </w:trPr>
        <w:tc>
          <w:tcPr>
            <w:tcW w:w="2976" w:type="dxa"/>
            <w:shd w:val="clear" w:color="auto" w:fill="D9D9D9"/>
          </w:tcPr>
          <w:p w:rsidR="00AD1C35" w:rsidRPr="00DC0E42" w:rsidRDefault="00AD1C35" w:rsidP="000D4D79">
            <w:pPr>
              <w:pStyle w:val="TableParagraph"/>
              <w:spacing w:line="239" w:lineRule="exact"/>
              <w:ind w:left="14"/>
              <w:rPr>
                <w:b/>
                <w:sz w:val="18"/>
                <w:szCs w:val="18"/>
              </w:rPr>
            </w:pPr>
            <w:r w:rsidRPr="00DC0E42">
              <w:rPr>
                <w:b/>
                <w:sz w:val="18"/>
                <w:szCs w:val="18"/>
              </w:rPr>
              <w:t>04.01.2022</w:t>
            </w:r>
          </w:p>
        </w:tc>
        <w:tc>
          <w:tcPr>
            <w:tcW w:w="3544" w:type="dxa"/>
          </w:tcPr>
          <w:p w:rsidR="00AD1C35" w:rsidRPr="00DC0E42" w:rsidRDefault="00AD1C35" w:rsidP="00BC5DAC">
            <w:pPr>
              <w:pStyle w:val="TableParagraph"/>
              <w:spacing w:before="57"/>
              <w:ind w:right="719"/>
              <w:jc w:val="center"/>
              <w:rPr>
                <w:sz w:val="18"/>
                <w:szCs w:val="18"/>
              </w:rPr>
            </w:pPr>
            <w:r w:rsidRPr="00DC0E42">
              <w:rPr>
                <w:sz w:val="18"/>
                <w:szCs w:val="18"/>
              </w:rPr>
              <w:t>55</w:t>
            </w:r>
          </w:p>
        </w:tc>
      </w:tr>
      <w:tr w:rsidR="00AD1C35" w:rsidRPr="00DC0E42" w:rsidTr="00BC5DAC">
        <w:trPr>
          <w:trHeight w:val="371"/>
        </w:trPr>
        <w:tc>
          <w:tcPr>
            <w:tcW w:w="2976" w:type="dxa"/>
            <w:shd w:val="clear" w:color="auto" w:fill="D9D9D9"/>
          </w:tcPr>
          <w:p w:rsidR="00AD1C35" w:rsidRPr="00DC0E42" w:rsidRDefault="00AD1C35" w:rsidP="000D4D79">
            <w:pPr>
              <w:pStyle w:val="TableParagraph"/>
              <w:spacing w:line="236" w:lineRule="exact"/>
              <w:ind w:left="14"/>
              <w:rPr>
                <w:b/>
                <w:sz w:val="18"/>
                <w:szCs w:val="18"/>
              </w:rPr>
            </w:pPr>
            <w:r w:rsidRPr="00DC0E42">
              <w:rPr>
                <w:b/>
                <w:sz w:val="18"/>
                <w:szCs w:val="18"/>
              </w:rPr>
              <w:t>05.01.2022</w:t>
            </w:r>
          </w:p>
        </w:tc>
        <w:tc>
          <w:tcPr>
            <w:tcW w:w="3544" w:type="dxa"/>
          </w:tcPr>
          <w:p w:rsidR="00AD1C35" w:rsidRPr="00DC0E42" w:rsidRDefault="00AD1C35" w:rsidP="00BC5DAC">
            <w:pPr>
              <w:pStyle w:val="TableParagraph"/>
              <w:spacing w:before="57"/>
              <w:ind w:right="719"/>
              <w:jc w:val="center"/>
              <w:rPr>
                <w:sz w:val="18"/>
                <w:szCs w:val="18"/>
              </w:rPr>
            </w:pPr>
            <w:r w:rsidRPr="00DC0E42">
              <w:rPr>
                <w:sz w:val="18"/>
                <w:szCs w:val="18"/>
              </w:rPr>
              <w:t>55</w:t>
            </w:r>
          </w:p>
        </w:tc>
      </w:tr>
      <w:tr w:rsidR="00AD1C35" w:rsidRPr="00DC0E42" w:rsidTr="00BC5DAC">
        <w:trPr>
          <w:trHeight w:val="374"/>
        </w:trPr>
        <w:tc>
          <w:tcPr>
            <w:tcW w:w="2976" w:type="dxa"/>
            <w:shd w:val="clear" w:color="auto" w:fill="D9D9D9"/>
          </w:tcPr>
          <w:p w:rsidR="00AD1C35" w:rsidRPr="00DC0E42" w:rsidRDefault="00AD1C35" w:rsidP="000D4D79">
            <w:pPr>
              <w:pStyle w:val="TableParagraph"/>
              <w:spacing w:before="118" w:line="236" w:lineRule="exact"/>
              <w:ind w:left="14"/>
              <w:rPr>
                <w:b/>
                <w:sz w:val="18"/>
                <w:szCs w:val="18"/>
              </w:rPr>
            </w:pPr>
            <w:r w:rsidRPr="00DC0E42">
              <w:rPr>
                <w:b/>
                <w:sz w:val="18"/>
                <w:szCs w:val="18"/>
              </w:rPr>
              <w:t>06.01.2022</w:t>
            </w:r>
          </w:p>
        </w:tc>
        <w:tc>
          <w:tcPr>
            <w:tcW w:w="3544" w:type="dxa"/>
          </w:tcPr>
          <w:p w:rsidR="00AD1C35" w:rsidRPr="00DC0E42" w:rsidRDefault="00AD1C35" w:rsidP="00BC5DAC">
            <w:pPr>
              <w:pStyle w:val="TableParagraph"/>
              <w:spacing w:before="60"/>
              <w:ind w:right="719"/>
              <w:jc w:val="center"/>
              <w:rPr>
                <w:sz w:val="18"/>
                <w:szCs w:val="18"/>
              </w:rPr>
            </w:pPr>
            <w:r w:rsidRPr="00DC0E42">
              <w:rPr>
                <w:sz w:val="18"/>
                <w:szCs w:val="18"/>
              </w:rPr>
              <w:t>57</w:t>
            </w:r>
          </w:p>
        </w:tc>
      </w:tr>
      <w:tr w:rsidR="00AD1C35" w:rsidRPr="00DC0E42" w:rsidTr="00BC5DAC">
        <w:trPr>
          <w:trHeight w:val="373"/>
        </w:trPr>
        <w:tc>
          <w:tcPr>
            <w:tcW w:w="2976" w:type="dxa"/>
            <w:shd w:val="clear" w:color="auto" w:fill="D9D9D9"/>
          </w:tcPr>
          <w:p w:rsidR="00AD1C35" w:rsidRPr="00DC0E42" w:rsidRDefault="00AD1C35" w:rsidP="000D4D79">
            <w:pPr>
              <w:pStyle w:val="TableParagraph"/>
              <w:spacing w:line="239" w:lineRule="exact"/>
              <w:ind w:left="14"/>
              <w:rPr>
                <w:b/>
                <w:sz w:val="18"/>
                <w:szCs w:val="18"/>
              </w:rPr>
            </w:pPr>
            <w:r w:rsidRPr="00DC0E42">
              <w:rPr>
                <w:b/>
                <w:sz w:val="18"/>
                <w:szCs w:val="18"/>
              </w:rPr>
              <w:t>07.01.2022</w:t>
            </w:r>
          </w:p>
        </w:tc>
        <w:tc>
          <w:tcPr>
            <w:tcW w:w="3544" w:type="dxa"/>
          </w:tcPr>
          <w:p w:rsidR="00AD1C35" w:rsidRPr="00DC0E42" w:rsidRDefault="00AD1C35" w:rsidP="00BC5DAC">
            <w:pPr>
              <w:pStyle w:val="TableParagraph"/>
              <w:spacing w:before="57"/>
              <w:ind w:right="719"/>
              <w:jc w:val="center"/>
              <w:rPr>
                <w:sz w:val="18"/>
                <w:szCs w:val="18"/>
              </w:rPr>
            </w:pPr>
            <w:r w:rsidRPr="00DC0E42">
              <w:rPr>
                <w:sz w:val="18"/>
                <w:szCs w:val="18"/>
              </w:rPr>
              <w:t>62</w:t>
            </w:r>
          </w:p>
        </w:tc>
      </w:tr>
      <w:tr w:rsidR="00AD1C35" w:rsidRPr="00DC0E42" w:rsidTr="00BC5DAC">
        <w:trPr>
          <w:trHeight w:val="373"/>
        </w:trPr>
        <w:tc>
          <w:tcPr>
            <w:tcW w:w="2976" w:type="dxa"/>
            <w:shd w:val="clear" w:color="auto" w:fill="D9D9D9"/>
          </w:tcPr>
          <w:p w:rsidR="00AD1C35" w:rsidRPr="00DC0E42" w:rsidRDefault="00AD1C35" w:rsidP="000D4D79">
            <w:pPr>
              <w:pStyle w:val="TableParagraph"/>
              <w:spacing w:line="239" w:lineRule="exact"/>
              <w:ind w:left="14"/>
              <w:rPr>
                <w:b/>
                <w:sz w:val="18"/>
                <w:szCs w:val="18"/>
              </w:rPr>
            </w:pPr>
            <w:r w:rsidRPr="00DC0E42">
              <w:rPr>
                <w:b/>
                <w:sz w:val="18"/>
                <w:szCs w:val="18"/>
              </w:rPr>
              <w:t>08.01.2022</w:t>
            </w:r>
          </w:p>
        </w:tc>
        <w:tc>
          <w:tcPr>
            <w:tcW w:w="3544" w:type="dxa"/>
          </w:tcPr>
          <w:p w:rsidR="00AD1C35" w:rsidRPr="00DC0E42" w:rsidRDefault="00AD1C35" w:rsidP="00BC5DAC">
            <w:pPr>
              <w:pStyle w:val="TableParagraph"/>
              <w:spacing w:before="57"/>
              <w:ind w:right="719"/>
              <w:jc w:val="center"/>
              <w:rPr>
                <w:sz w:val="18"/>
                <w:szCs w:val="18"/>
              </w:rPr>
            </w:pPr>
            <w:r w:rsidRPr="00DC0E42">
              <w:rPr>
                <w:sz w:val="18"/>
                <w:szCs w:val="18"/>
              </w:rPr>
              <w:t>61</w:t>
            </w:r>
          </w:p>
        </w:tc>
      </w:tr>
      <w:tr w:rsidR="00AD1C35" w:rsidRPr="00DC0E42" w:rsidTr="00BC5DAC">
        <w:trPr>
          <w:trHeight w:val="371"/>
        </w:trPr>
        <w:tc>
          <w:tcPr>
            <w:tcW w:w="2976" w:type="dxa"/>
            <w:shd w:val="clear" w:color="auto" w:fill="D9D9D9"/>
          </w:tcPr>
          <w:p w:rsidR="00AD1C35" w:rsidRPr="00DC0E42" w:rsidRDefault="00AD1C35" w:rsidP="000D4D79">
            <w:pPr>
              <w:pStyle w:val="TableParagraph"/>
              <w:spacing w:line="236" w:lineRule="exact"/>
              <w:ind w:left="14"/>
              <w:rPr>
                <w:b/>
                <w:sz w:val="18"/>
                <w:szCs w:val="18"/>
              </w:rPr>
            </w:pPr>
            <w:r w:rsidRPr="00DC0E42">
              <w:rPr>
                <w:b/>
                <w:sz w:val="18"/>
                <w:szCs w:val="18"/>
              </w:rPr>
              <w:t>09.01.2022</w:t>
            </w:r>
          </w:p>
        </w:tc>
        <w:tc>
          <w:tcPr>
            <w:tcW w:w="3544" w:type="dxa"/>
          </w:tcPr>
          <w:p w:rsidR="00AD1C35" w:rsidRPr="00DC0E42" w:rsidRDefault="00AD1C35" w:rsidP="00BC5DAC">
            <w:pPr>
              <w:pStyle w:val="TableParagraph"/>
              <w:spacing w:before="57"/>
              <w:ind w:right="719"/>
              <w:jc w:val="center"/>
              <w:rPr>
                <w:sz w:val="18"/>
                <w:szCs w:val="18"/>
              </w:rPr>
            </w:pPr>
            <w:r w:rsidRPr="00DC0E42">
              <w:rPr>
                <w:sz w:val="18"/>
                <w:szCs w:val="18"/>
              </w:rPr>
              <w:t>61</w:t>
            </w:r>
          </w:p>
        </w:tc>
      </w:tr>
      <w:tr w:rsidR="00AD1C35" w:rsidRPr="00DC0E42" w:rsidTr="00BC5DAC">
        <w:trPr>
          <w:trHeight w:val="373"/>
        </w:trPr>
        <w:tc>
          <w:tcPr>
            <w:tcW w:w="2976" w:type="dxa"/>
            <w:shd w:val="clear" w:color="auto" w:fill="D9D9D9"/>
          </w:tcPr>
          <w:p w:rsidR="00AD1C35" w:rsidRPr="00DC0E42" w:rsidRDefault="00AD1C35" w:rsidP="000D4D79">
            <w:pPr>
              <w:pStyle w:val="TableParagraph"/>
              <w:spacing w:before="117" w:line="236" w:lineRule="exact"/>
              <w:ind w:left="14"/>
              <w:rPr>
                <w:b/>
                <w:sz w:val="18"/>
                <w:szCs w:val="18"/>
              </w:rPr>
            </w:pPr>
            <w:r w:rsidRPr="00DC0E42">
              <w:rPr>
                <w:b/>
                <w:sz w:val="18"/>
                <w:szCs w:val="18"/>
              </w:rPr>
              <w:t>10.01.2022</w:t>
            </w:r>
          </w:p>
        </w:tc>
        <w:tc>
          <w:tcPr>
            <w:tcW w:w="3544" w:type="dxa"/>
          </w:tcPr>
          <w:p w:rsidR="00AD1C35" w:rsidRPr="00DC0E42" w:rsidRDefault="00AD1C35" w:rsidP="00BC5DAC">
            <w:pPr>
              <w:pStyle w:val="TableParagraph"/>
              <w:spacing w:before="59"/>
              <w:ind w:right="719"/>
              <w:jc w:val="center"/>
              <w:rPr>
                <w:sz w:val="18"/>
                <w:szCs w:val="18"/>
              </w:rPr>
            </w:pPr>
            <w:r w:rsidRPr="00DC0E42">
              <w:rPr>
                <w:sz w:val="18"/>
                <w:szCs w:val="18"/>
              </w:rPr>
              <w:t>64</w:t>
            </w:r>
          </w:p>
        </w:tc>
      </w:tr>
      <w:tr w:rsidR="00AD1C35" w:rsidRPr="00DC0E42" w:rsidTr="00BC5DAC">
        <w:trPr>
          <w:trHeight w:val="373"/>
        </w:trPr>
        <w:tc>
          <w:tcPr>
            <w:tcW w:w="2976" w:type="dxa"/>
            <w:shd w:val="clear" w:color="auto" w:fill="D9D9D9"/>
          </w:tcPr>
          <w:p w:rsidR="00AD1C35" w:rsidRPr="00DC0E42" w:rsidRDefault="00AD1C35" w:rsidP="000D4D79">
            <w:pPr>
              <w:pStyle w:val="TableParagraph"/>
              <w:spacing w:line="239" w:lineRule="exact"/>
              <w:ind w:left="14"/>
              <w:rPr>
                <w:b/>
                <w:sz w:val="18"/>
                <w:szCs w:val="18"/>
              </w:rPr>
            </w:pPr>
            <w:r w:rsidRPr="00DC0E42">
              <w:rPr>
                <w:b/>
                <w:sz w:val="18"/>
                <w:szCs w:val="18"/>
              </w:rPr>
              <w:t>11.01.2022</w:t>
            </w:r>
          </w:p>
        </w:tc>
        <w:tc>
          <w:tcPr>
            <w:tcW w:w="3544" w:type="dxa"/>
          </w:tcPr>
          <w:p w:rsidR="00AD1C35" w:rsidRPr="00DC0E42" w:rsidRDefault="00AD1C35" w:rsidP="00BC5DAC">
            <w:pPr>
              <w:pStyle w:val="TableParagraph"/>
              <w:spacing w:before="57"/>
              <w:ind w:right="719"/>
              <w:jc w:val="center"/>
              <w:rPr>
                <w:sz w:val="18"/>
                <w:szCs w:val="18"/>
              </w:rPr>
            </w:pPr>
            <w:r w:rsidRPr="00DC0E42">
              <w:rPr>
                <w:sz w:val="18"/>
                <w:szCs w:val="18"/>
              </w:rPr>
              <w:t>61</w:t>
            </w:r>
          </w:p>
        </w:tc>
      </w:tr>
      <w:tr w:rsidR="00AD1C35" w:rsidRPr="00DC0E42" w:rsidTr="00BC5DAC">
        <w:trPr>
          <w:trHeight w:val="373"/>
        </w:trPr>
        <w:tc>
          <w:tcPr>
            <w:tcW w:w="2976" w:type="dxa"/>
            <w:shd w:val="clear" w:color="auto" w:fill="D9D9D9"/>
          </w:tcPr>
          <w:p w:rsidR="00AD1C35" w:rsidRPr="00DC0E42" w:rsidRDefault="00AD1C35" w:rsidP="000D4D79">
            <w:pPr>
              <w:pStyle w:val="TableParagraph"/>
              <w:spacing w:line="239" w:lineRule="exact"/>
              <w:ind w:left="14"/>
              <w:rPr>
                <w:b/>
                <w:sz w:val="18"/>
                <w:szCs w:val="18"/>
              </w:rPr>
            </w:pPr>
            <w:r w:rsidRPr="00DC0E42">
              <w:rPr>
                <w:b/>
                <w:sz w:val="18"/>
                <w:szCs w:val="18"/>
              </w:rPr>
              <w:t>12.01.2022</w:t>
            </w:r>
          </w:p>
        </w:tc>
        <w:tc>
          <w:tcPr>
            <w:tcW w:w="3544" w:type="dxa"/>
          </w:tcPr>
          <w:p w:rsidR="00AD1C35" w:rsidRPr="00DC0E42" w:rsidRDefault="00AD1C35" w:rsidP="00BC5DAC">
            <w:pPr>
              <w:pStyle w:val="TableParagraph"/>
              <w:spacing w:before="57"/>
              <w:ind w:right="719"/>
              <w:jc w:val="center"/>
              <w:rPr>
                <w:sz w:val="18"/>
                <w:szCs w:val="18"/>
              </w:rPr>
            </w:pPr>
            <w:r w:rsidRPr="00DC0E42">
              <w:rPr>
                <w:sz w:val="18"/>
                <w:szCs w:val="18"/>
              </w:rPr>
              <w:t>60</w:t>
            </w:r>
          </w:p>
        </w:tc>
      </w:tr>
      <w:tr w:rsidR="00AD1C35" w:rsidRPr="00DC0E42" w:rsidTr="00BC5DAC">
        <w:trPr>
          <w:trHeight w:val="371"/>
        </w:trPr>
        <w:tc>
          <w:tcPr>
            <w:tcW w:w="2976" w:type="dxa"/>
            <w:shd w:val="clear" w:color="auto" w:fill="D9D9D9"/>
          </w:tcPr>
          <w:p w:rsidR="00AD1C35" w:rsidRPr="00DC0E42" w:rsidRDefault="00AD1C35" w:rsidP="000D4D79">
            <w:pPr>
              <w:pStyle w:val="TableParagraph"/>
              <w:spacing w:line="236" w:lineRule="exact"/>
              <w:ind w:left="14"/>
              <w:rPr>
                <w:b/>
                <w:sz w:val="18"/>
                <w:szCs w:val="18"/>
              </w:rPr>
            </w:pPr>
            <w:r w:rsidRPr="00DC0E42">
              <w:rPr>
                <w:b/>
                <w:sz w:val="18"/>
                <w:szCs w:val="18"/>
              </w:rPr>
              <w:t>13.01.2022</w:t>
            </w:r>
          </w:p>
        </w:tc>
        <w:tc>
          <w:tcPr>
            <w:tcW w:w="3544" w:type="dxa"/>
          </w:tcPr>
          <w:p w:rsidR="00AD1C35" w:rsidRPr="00DC0E42" w:rsidRDefault="00AD1C35" w:rsidP="00BC5DAC">
            <w:pPr>
              <w:pStyle w:val="TableParagraph"/>
              <w:spacing w:before="57"/>
              <w:ind w:right="719"/>
              <w:jc w:val="center"/>
              <w:rPr>
                <w:sz w:val="18"/>
                <w:szCs w:val="18"/>
              </w:rPr>
            </w:pPr>
            <w:r w:rsidRPr="00DC0E42">
              <w:rPr>
                <w:sz w:val="18"/>
                <w:szCs w:val="18"/>
              </w:rPr>
              <w:t>58</w:t>
            </w:r>
          </w:p>
        </w:tc>
      </w:tr>
      <w:tr w:rsidR="00AD1C35" w:rsidRPr="00DC0E42" w:rsidTr="00BC5DAC">
        <w:trPr>
          <w:trHeight w:val="373"/>
        </w:trPr>
        <w:tc>
          <w:tcPr>
            <w:tcW w:w="2976" w:type="dxa"/>
            <w:shd w:val="clear" w:color="auto" w:fill="D9D9D9"/>
          </w:tcPr>
          <w:p w:rsidR="00AD1C35" w:rsidRPr="00DC0E42" w:rsidRDefault="00AD1C35" w:rsidP="000D4D79">
            <w:pPr>
              <w:pStyle w:val="TableParagraph"/>
              <w:spacing w:before="117" w:line="236" w:lineRule="exact"/>
              <w:ind w:left="14"/>
              <w:rPr>
                <w:b/>
                <w:sz w:val="18"/>
                <w:szCs w:val="18"/>
              </w:rPr>
            </w:pPr>
            <w:r w:rsidRPr="00DC0E42">
              <w:rPr>
                <w:b/>
                <w:sz w:val="18"/>
                <w:szCs w:val="18"/>
              </w:rPr>
              <w:t>14.01.2022</w:t>
            </w:r>
          </w:p>
        </w:tc>
        <w:tc>
          <w:tcPr>
            <w:tcW w:w="3544" w:type="dxa"/>
          </w:tcPr>
          <w:p w:rsidR="00AD1C35" w:rsidRPr="00DC0E42" w:rsidRDefault="00AD1C35" w:rsidP="00BC5DAC">
            <w:pPr>
              <w:pStyle w:val="TableParagraph"/>
              <w:spacing w:before="59"/>
              <w:ind w:right="719"/>
              <w:jc w:val="center"/>
              <w:rPr>
                <w:sz w:val="18"/>
                <w:szCs w:val="18"/>
              </w:rPr>
            </w:pPr>
            <w:r w:rsidRPr="00DC0E42">
              <w:rPr>
                <w:sz w:val="18"/>
                <w:szCs w:val="18"/>
              </w:rPr>
              <w:t>54</w:t>
            </w:r>
          </w:p>
        </w:tc>
      </w:tr>
      <w:tr w:rsidR="00AD1C35" w:rsidRPr="00DC0E42" w:rsidTr="00BC5DAC">
        <w:trPr>
          <w:trHeight w:val="374"/>
        </w:trPr>
        <w:tc>
          <w:tcPr>
            <w:tcW w:w="2976" w:type="dxa"/>
            <w:shd w:val="clear" w:color="auto" w:fill="D9D9D9"/>
          </w:tcPr>
          <w:p w:rsidR="00AD1C35" w:rsidRPr="00DC0E42" w:rsidRDefault="00AD1C35" w:rsidP="000D4D79">
            <w:pPr>
              <w:pStyle w:val="TableParagraph"/>
              <w:spacing w:line="239" w:lineRule="exact"/>
              <w:ind w:left="14"/>
              <w:rPr>
                <w:b/>
                <w:sz w:val="18"/>
                <w:szCs w:val="18"/>
              </w:rPr>
            </w:pPr>
            <w:r w:rsidRPr="00DC0E42">
              <w:rPr>
                <w:b/>
                <w:sz w:val="18"/>
                <w:szCs w:val="18"/>
              </w:rPr>
              <w:t>15.01.2022</w:t>
            </w:r>
          </w:p>
        </w:tc>
        <w:tc>
          <w:tcPr>
            <w:tcW w:w="3544" w:type="dxa"/>
          </w:tcPr>
          <w:p w:rsidR="00AD1C35" w:rsidRPr="00DC0E42" w:rsidRDefault="00AD1C35" w:rsidP="00BC5DAC">
            <w:pPr>
              <w:pStyle w:val="TableParagraph"/>
              <w:spacing w:before="57"/>
              <w:ind w:right="719"/>
              <w:jc w:val="center"/>
              <w:rPr>
                <w:sz w:val="18"/>
                <w:szCs w:val="18"/>
              </w:rPr>
            </w:pPr>
            <w:r w:rsidRPr="00DC0E42">
              <w:rPr>
                <w:sz w:val="18"/>
                <w:szCs w:val="18"/>
              </w:rPr>
              <w:t>52</w:t>
            </w:r>
          </w:p>
        </w:tc>
      </w:tr>
      <w:tr w:rsidR="00AD1C35" w:rsidRPr="00DC0E42" w:rsidTr="00BC5DAC">
        <w:trPr>
          <w:trHeight w:val="371"/>
        </w:trPr>
        <w:tc>
          <w:tcPr>
            <w:tcW w:w="2976" w:type="dxa"/>
            <w:shd w:val="clear" w:color="auto" w:fill="D9D9D9"/>
          </w:tcPr>
          <w:p w:rsidR="00AD1C35" w:rsidRPr="00DC0E42" w:rsidRDefault="00AD1C35" w:rsidP="000D4D79">
            <w:pPr>
              <w:pStyle w:val="TableParagraph"/>
              <w:spacing w:line="236" w:lineRule="exact"/>
              <w:ind w:left="14"/>
              <w:rPr>
                <w:b/>
                <w:sz w:val="18"/>
                <w:szCs w:val="18"/>
              </w:rPr>
            </w:pPr>
            <w:r w:rsidRPr="00DC0E42">
              <w:rPr>
                <w:b/>
                <w:sz w:val="18"/>
                <w:szCs w:val="18"/>
              </w:rPr>
              <w:t>16.01.2022</w:t>
            </w:r>
          </w:p>
        </w:tc>
        <w:tc>
          <w:tcPr>
            <w:tcW w:w="3544" w:type="dxa"/>
          </w:tcPr>
          <w:p w:rsidR="00AD1C35" w:rsidRPr="00DC0E42" w:rsidRDefault="00AD1C35" w:rsidP="00BC5DAC">
            <w:pPr>
              <w:pStyle w:val="TableParagraph"/>
              <w:spacing w:before="57"/>
              <w:ind w:right="719"/>
              <w:jc w:val="center"/>
              <w:rPr>
                <w:sz w:val="18"/>
                <w:szCs w:val="18"/>
              </w:rPr>
            </w:pPr>
            <w:r w:rsidRPr="00DC0E42">
              <w:rPr>
                <w:sz w:val="18"/>
                <w:szCs w:val="18"/>
              </w:rPr>
              <w:t>54</w:t>
            </w:r>
          </w:p>
        </w:tc>
      </w:tr>
      <w:tr w:rsidR="00AD1C35" w:rsidRPr="00DC0E42" w:rsidTr="00BC5DAC">
        <w:trPr>
          <w:trHeight w:val="373"/>
        </w:trPr>
        <w:tc>
          <w:tcPr>
            <w:tcW w:w="2976" w:type="dxa"/>
            <w:shd w:val="clear" w:color="auto" w:fill="D9D9D9"/>
          </w:tcPr>
          <w:p w:rsidR="00AD1C35" w:rsidRPr="00DC0E42" w:rsidRDefault="00AD1C35" w:rsidP="000D4D79">
            <w:pPr>
              <w:pStyle w:val="TableParagraph"/>
              <w:spacing w:before="117" w:line="236" w:lineRule="exact"/>
              <w:ind w:left="14"/>
              <w:rPr>
                <w:b/>
                <w:sz w:val="18"/>
                <w:szCs w:val="18"/>
              </w:rPr>
            </w:pPr>
            <w:r w:rsidRPr="00DC0E42">
              <w:rPr>
                <w:b/>
                <w:sz w:val="18"/>
                <w:szCs w:val="18"/>
              </w:rPr>
              <w:t>17.01.2022</w:t>
            </w:r>
          </w:p>
        </w:tc>
        <w:tc>
          <w:tcPr>
            <w:tcW w:w="3544" w:type="dxa"/>
          </w:tcPr>
          <w:p w:rsidR="00AD1C35" w:rsidRPr="00DC0E42" w:rsidRDefault="00AD1C35" w:rsidP="00BC5DAC">
            <w:pPr>
              <w:pStyle w:val="TableParagraph"/>
              <w:spacing w:before="59"/>
              <w:ind w:right="719"/>
              <w:jc w:val="center"/>
              <w:rPr>
                <w:sz w:val="18"/>
                <w:szCs w:val="18"/>
              </w:rPr>
            </w:pPr>
            <w:r w:rsidRPr="00DC0E42">
              <w:rPr>
                <w:sz w:val="18"/>
                <w:szCs w:val="18"/>
              </w:rPr>
              <w:t>55</w:t>
            </w:r>
          </w:p>
        </w:tc>
      </w:tr>
      <w:tr w:rsidR="00AD1C35" w:rsidRPr="00DC0E42" w:rsidTr="00BC5DAC">
        <w:trPr>
          <w:trHeight w:val="373"/>
        </w:trPr>
        <w:tc>
          <w:tcPr>
            <w:tcW w:w="2976" w:type="dxa"/>
            <w:shd w:val="clear" w:color="auto" w:fill="D9D9D9"/>
          </w:tcPr>
          <w:p w:rsidR="00AD1C35" w:rsidRPr="00DC0E42" w:rsidRDefault="00AD1C35" w:rsidP="000D4D79">
            <w:pPr>
              <w:pStyle w:val="TableParagraph"/>
              <w:spacing w:before="117" w:line="236" w:lineRule="exact"/>
              <w:ind w:left="14"/>
              <w:rPr>
                <w:b/>
                <w:sz w:val="18"/>
                <w:szCs w:val="18"/>
              </w:rPr>
            </w:pPr>
            <w:r w:rsidRPr="00DC0E42">
              <w:rPr>
                <w:b/>
                <w:sz w:val="18"/>
                <w:szCs w:val="18"/>
              </w:rPr>
              <w:t>18.01.2022</w:t>
            </w:r>
          </w:p>
        </w:tc>
        <w:tc>
          <w:tcPr>
            <w:tcW w:w="3544" w:type="dxa"/>
          </w:tcPr>
          <w:p w:rsidR="00AD1C35" w:rsidRPr="00DC0E42" w:rsidRDefault="00AD1C35" w:rsidP="00BC5DAC">
            <w:pPr>
              <w:pStyle w:val="TableParagraph"/>
              <w:spacing w:before="59"/>
              <w:ind w:right="719"/>
              <w:jc w:val="center"/>
              <w:rPr>
                <w:sz w:val="18"/>
                <w:szCs w:val="18"/>
              </w:rPr>
            </w:pPr>
            <w:r w:rsidRPr="00DC0E42">
              <w:rPr>
                <w:sz w:val="18"/>
                <w:szCs w:val="18"/>
              </w:rPr>
              <w:t>55</w:t>
            </w:r>
          </w:p>
        </w:tc>
      </w:tr>
      <w:tr w:rsidR="00AD1C35" w:rsidRPr="00DC0E42" w:rsidTr="00BC5DAC">
        <w:trPr>
          <w:trHeight w:val="373"/>
        </w:trPr>
        <w:tc>
          <w:tcPr>
            <w:tcW w:w="2976" w:type="dxa"/>
            <w:shd w:val="clear" w:color="auto" w:fill="D9D9D9"/>
          </w:tcPr>
          <w:p w:rsidR="00AD1C35" w:rsidRPr="00DC0E42" w:rsidRDefault="00AD1C35" w:rsidP="000D4D79">
            <w:pPr>
              <w:pStyle w:val="TableParagraph"/>
              <w:spacing w:line="239" w:lineRule="exact"/>
              <w:ind w:left="14"/>
              <w:rPr>
                <w:b/>
                <w:sz w:val="18"/>
                <w:szCs w:val="18"/>
              </w:rPr>
            </w:pPr>
            <w:r w:rsidRPr="00DC0E42">
              <w:rPr>
                <w:b/>
                <w:sz w:val="18"/>
                <w:szCs w:val="18"/>
              </w:rPr>
              <w:t>19.01.2022</w:t>
            </w:r>
          </w:p>
        </w:tc>
        <w:tc>
          <w:tcPr>
            <w:tcW w:w="3544" w:type="dxa"/>
          </w:tcPr>
          <w:p w:rsidR="00AD1C35" w:rsidRPr="00DC0E42" w:rsidRDefault="00AD1C35" w:rsidP="00BC5DAC">
            <w:pPr>
              <w:pStyle w:val="TableParagraph"/>
              <w:spacing w:before="57"/>
              <w:ind w:right="719"/>
              <w:jc w:val="center"/>
              <w:rPr>
                <w:sz w:val="18"/>
                <w:szCs w:val="18"/>
              </w:rPr>
            </w:pPr>
            <w:r w:rsidRPr="00DC0E42">
              <w:rPr>
                <w:sz w:val="18"/>
                <w:szCs w:val="18"/>
              </w:rPr>
              <w:t>53</w:t>
            </w:r>
          </w:p>
        </w:tc>
      </w:tr>
      <w:tr w:rsidR="00AD1C35" w:rsidRPr="00DC0E42" w:rsidTr="00BC5DAC">
        <w:trPr>
          <w:trHeight w:val="371"/>
        </w:trPr>
        <w:tc>
          <w:tcPr>
            <w:tcW w:w="2976" w:type="dxa"/>
            <w:shd w:val="clear" w:color="auto" w:fill="D9D9D9"/>
          </w:tcPr>
          <w:p w:rsidR="00AD1C35" w:rsidRPr="00DC0E42" w:rsidRDefault="00AD1C35" w:rsidP="000D4D79">
            <w:pPr>
              <w:pStyle w:val="TableParagraph"/>
              <w:spacing w:line="236" w:lineRule="exact"/>
              <w:ind w:left="14"/>
              <w:rPr>
                <w:b/>
                <w:sz w:val="18"/>
                <w:szCs w:val="18"/>
              </w:rPr>
            </w:pPr>
            <w:r w:rsidRPr="00DC0E42">
              <w:rPr>
                <w:b/>
                <w:sz w:val="18"/>
                <w:szCs w:val="18"/>
              </w:rPr>
              <w:t>20.01.2022</w:t>
            </w:r>
          </w:p>
        </w:tc>
        <w:tc>
          <w:tcPr>
            <w:tcW w:w="3544" w:type="dxa"/>
          </w:tcPr>
          <w:p w:rsidR="00AD1C35" w:rsidRPr="00DC0E42" w:rsidRDefault="00AD1C35" w:rsidP="00BC5DAC">
            <w:pPr>
              <w:pStyle w:val="TableParagraph"/>
              <w:spacing w:before="57"/>
              <w:ind w:right="719"/>
              <w:jc w:val="center"/>
              <w:rPr>
                <w:sz w:val="18"/>
                <w:szCs w:val="18"/>
              </w:rPr>
            </w:pPr>
            <w:r w:rsidRPr="00DC0E42">
              <w:rPr>
                <w:sz w:val="18"/>
                <w:szCs w:val="18"/>
              </w:rPr>
              <w:t>49</w:t>
            </w:r>
          </w:p>
        </w:tc>
      </w:tr>
      <w:tr w:rsidR="00AD1C35" w:rsidRPr="00DC0E42" w:rsidTr="00BC5DAC">
        <w:trPr>
          <w:trHeight w:val="373"/>
        </w:trPr>
        <w:tc>
          <w:tcPr>
            <w:tcW w:w="2976" w:type="dxa"/>
            <w:shd w:val="clear" w:color="auto" w:fill="D9D9D9"/>
          </w:tcPr>
          <w:p w:rsidR="00AD1C35" w:rsidRPr="00DC0E42" w:rsidRDefault="00AD1C35" w:rsidP="000D4D79">
            <w:pPr>
              <w:pStyle w:val="TableParagraph"/>
              <w:spacing w:before="117" w:line="236" w:lineRule="exact"/>
              <w:ind w:left="14"/>
              <w:rPr>
                <w:b/>
                <w:sz w:val="18"/>
                <w:szCs w:val="18"/>
              </w:rPr>
            </w:pPr>
            <w:r w:rsidRPr="00DC0E42">
              <w:rPr>
                <w:b/>
                <w:sz w:val="18"/>
                <w:szCs w:val="18"/>
              </w:rPr>
              <w:t>21.01.2022</w:t>
            </w:r>
          </w:p>
        </w:tc>
        <w:tc>
          <w:tcPr>
            <w:tcW w:w="3544" w:type="dxa"/>
          </w:tcPr>
          <w:p w:rsidR="00AD1C35" w:rsidRPr="00DC0E42" w:rsidRDefault="00AD1C35" w:rsidP="00BC5DAC">
            <w:pPr>
              <w:pStyle w:val="TableParagraph"/>
              <w:spacing w:before="59"/>
              <w:ind w:right="719"/>
              <w:jc w:val="center"/>
              <w:rPr>
                <w:sz w:val="18"/>
                <w:szCs w:val="18"/>
              </w:rPr>
            </w:pPr>
            <w:r w:rsidRPr="00DC0E42">
              <w:rPr>
                <w:sz w:val="18"/>
                <w:szCs w:val="18"/>
              </w:rPr>
              <w:t>49</w:t>
            </w:r>
          </w:p>
        </w:tc>
      </w:tr>
      <w:tr w:rsidR="00AD1C35" w:rsidRPr="00DC0E42" w:rsidTr="00BC5DAC">
        <w:trPr>
          <w:trHeight w:val="373"/>
        </w:trPr>
        <w:tc>
          <w:tcPr>
            <w:tcW w:w="2976" w:type="dxa"/>
            <w:shd w:val="clear" w:color="auto" w:fill="D9D9D9"/>
          </w:tcPr>
          <w:p w:rsidR="00AD1C35" w:rsidRPr="00DC0E42" w:rsidRDefault="00AD1C35" w:rsidP="000D4D79">
            <w:pPr>
              <w:pStyle w:val="TableParagraph"/>
              <w:spacing w:before="117" w:line="236" w:lineRule="exact"/>
              <w:ind w:left="14"/>
              <w:rPr>
                <w:b/>
                <w:sz w:val="18"/>
                <w:szCs w:val="18"/>
              </w:rPr>
            </w:pPr>
            <w:r w:rsidRPr="00DC0E42">
              <w:rPr>
                <w:b/>
                <w:sz w:val="18"/>
                <w:szCs w:val="18"/>
              </w:rPr>
              <w:t>22.01.2022</w:t>
            </w:r>
          </w:p>
        </w:tc>
        <w:tc>
          <w:tcPr>
            <w:tcW w:w="3544" w:type="dxa"/>
          </w:tcPr>
          <w:p w:rsidR="00AD1C35" w:rsidRPr="00DC0E42" w:rsidRDefault="00AD1C35" w:rsidP="00BC5DAC">
            <w:pPr>
              <w:pStyle w:val="TableParagraph"/>
              <w:spacing w:before="59"/>
              <w:ind w:right="719"/>
              <w:jc w:val="center"/>
              <w:rPr>
                <w:sz w:val="18"/>
                <w:szCs w:val="18"/>
              </w:rPr>
            </w:pPr>
            <w:r w:rsidRPr="00DC0E42">
              <w:rPr>
                <w:sz w:val="18"/>
                <w:szCs w:val="18"/>
              </w:rPr>
              <w:t>48</w:t>
            </w:r>
          </w:p>
        </w:tc>
      </w:tr>
      <w:tr w:rsidR="00AD1C35" w:rsidRPr="00DC0E42" w:rsidTr="00BC5DAC">
        <w:trPr>
          <w:trHeight w:val="373"/>
        </w:trPr>
        <w:tc>
          <w:tcPr>
            <w:tcW w:w="2976" w:type="dxa"/>
            <w:shd w:val="clear" w:color="auto" w:fill="D9D9D9"/>
          </w:tcPr>
          <w:p w:rsidR="00AD1C35" w:rsidRPr="00DC0E42" w:rsidRDefault="00AD1C35" w:rsidP="000D4D79">
            <w:pPr>
              <w:pStyle w:val="TableParagraph"/>
              <w:spacing w:line="239" w:lineRule="exact"/>
              <w:ind w:left="14"/>
              <w:rPr>
                <w:b/>
                <w:sz w:val="18"/>
                <w:szCs w:val="18"/>
              </w:rPr>
            </w:pPr>
            <w:r w:rsidRPr="00DC0E42">
              <w:rPr>
                <w:b/>
                <w:sz w:val="18"/>
                <w:szCs w:val="18"/>
              </w:rPr>
              <w:t>23.01.2022</w:t>
            </w:r>
          </w:p>
        </w:tc>
        <w:tc>
          <w:tcPr>
            <w:tcW w:w="3544" w:type="dxa"/>
          </w:tcPr>
          <w:p w:rsidR="00AD1C35" w:rsidRPr="00DC0E42" w:rsidRDefault="00AD1C35" w:rsidP="00BC5DAC">
            <w:pPr>
              <w:pStyle w:val="TableParagraph"/>
              <w:spacing w:before="57"/>
              <w:ind w:right="719"/>
              <w:jc w:val="center"/>
              <w:rPr>
                <w:sz w:val="18"/>
                <w:szCs w:val="18"/>
              </w:rPr>
            </w:pPr>
            <w:r w:rsidRPr="00DC0E42">
              <w:rPr>
                <w:sz w:val="18"/>
                <w:szCs w:val="18"/>
              </w:rPr>
              <w:t>51</w:t>
            </w:r>
          </w:p>
        </w:tc>
      </w:tr>
      <w:tr w:rsidR="00AD1C35" w:rsidRPr="00DC0E42" w:rsidTr="00BC5DAC">
        <w:trPr>
          <w:trHeight w:val="371"/>
        </w:trPr>
        <w:tc>
          <w:tcPr>
            <w:tcW w:w="2976" w:type="dxa"/>
            <w:shd w:val="clear" w:color="auto" w:fill="D9D9D9"/>
          </w:tcPr>
          <w:p w:rsidR="00AD1C35" w:rsidRPr="00DC0E42" w:rsidRDefault="00AD1C35" w:rsidP="000D4D79">
            <w:pPr>
              <w:pStyle w:val="TableParagraph"/>
              <w:spacing w:line="236" w:lineRule="exact"/>
              <w:ind w:left="14"/>
              <w:rPr>
                <w:b/>
                <w:sz w:val="18"/>
                <w:szCs w:val="18"/>
              </w:rPr>
            </w:pPr>
            <w:r w:rsidRPr="00DC0E42">
              <w:rPr>
                <w:b/>
                <w:sz w:val="18"/>
                <w:szCs w:val="18"/>
              </w:rPr>
              <w:t>24.01.2022</w:t>
            </w:r>
          </w:p>
        </w:tc>
        <w:tc>
          <w:tcPr>
            <w:tcW w:w="3544" w:type="dxa"/>
          </w:tcPr>
          <w:p w:rsidR="00AD1C35" w:rsidRPr="00DC0E42" w:rsidRDefault="00AD1C35" w:rsidP="00BC5DAC">
            <w:pPr>
              <w:pStyle w:val="TableParagraph"/>
              <w:spacing w:before="58"/>
              <w:ind w:right="719"/>
              <w:jc w:val="center"/>
              <w:rPr>
                <w:sz w:val="18"/>
                <w:szCs w:val="18"/>
              </w:rPr>
            </w:pPr>
            <w:r w:rsidRPr="00DC0E42">
              <w:rPr>
                <w:sz w:val="18"/>
                <w:szCs w:val="18"/>
              </w:rPr>
              <w:t>53</w:t>
            </w:r>
          </w:p>
        </w:tc>
      </w:tr>
      <w:tr w:rsidR="00AD1C35" w:rsidRPr="00DC0E42" w:rsidTr="00BC5DAC">
        <w:trPr>
          <w:trHeight w:val="373"/>
        </w:trPr>
        <w:tc>
          <w:tcPr>
            <w:tcW w:w="2976" w:type="dxa"/>
            <w:shd w:val="clear" w:color="auto" w:fill="D9D9D9"/>
          </w:tcPr>
          <w:p w:rsidR="00AD1C35" w:rsidRPr="00DC0E42" w:rsidRDefault="00AD1C35" w:rsidP="000D4D79">
            <w:pPr>
              <w:pStyle w:val="TableParagraph"/>
              <w:spacing w:before="117" w:line="236" w:lineRule="exact"/>
              <w:ind w:left="14"/>
              <w:rPr>
                <w:b/>
                <w:sz w:val="18"/>
                <w:szCs w:val="18"/>
              </w:rPr>
            </w:pPr>
            <w:r w:rsidRPr="00DC0E42">
              <w:rPr>
                <w:b/>
                <w:sz w:val="18"/>
                <w:szCs w:val="18"/>
              </w:rPr>
              <w:t>25.01.2022</w:t>
            </w:r>
          </w:p>
        </w:tc>
        <w:tc>
          <w:tcPr>
            <w:tcW w:w="3544" w:type="dxa"/>
          </w:tcPr>
          <w:p w:rsidR="00AD1C35" w:rsidRPr="00DC0E42" w:rsidRDefault="00AD1C35" w:rsidP="00BC5DAC">
            <w:pPr>
              <w:pStyle w:val="TableParagraph"/>
              <w:spacing w:before="59"/>
              <w:ind w:right="719"/>
              <w:jc w:val="center"/>
              <w:rPr>
                <w:sz w:val="18"/>
                <w:szCs w:val="18"/>
              </w:rPr>
            </w:pPr>
            <w:r w:rsidRPr="00DC0E42">
              <w:rPr>
                <w:sz w:val="18"/>
                <w:szCs w:val="18"/>
              </w:rPr>
              <w:t>49</w:t>
            </w:r>
          </w:p>
        </w:tc>
      </w:tr>
      <w:tr w:rsidR="00AD1C35" w:rsidRPr="00DC0E42" w:rsidTr="00BC5DAC">
        <w:trPr>
          <w:trHeight w:val="373"/>
        </w:trPr>
        <w:tc>
          <w:tcPr>
            <w:tcW w:w="2976" w:type="dxa"/>
            <w:shd w:val="clear" w:color="auto" w:fill="D9D9D9"/>
          </w:tcPr>
          <w:p w:rsidR="00AD1C35" w:rsidRPr="00DC0E42" w:rsidRDefault="00AD1C35" w:rsidP="000D4D79">
            <w:pPr>
              <w:pStyle w:val="TableParagraph"/>
              <w:spacing w:line="239" w:lineRule="exact"/>
              <w:ind w:left="14"/>
              <w:rPr>
                <w:b/>
                <w:sz w:val="18"/>
                <w:szCs w:val="18"/>
              </w:rPr>
            </w:pPr>
            <w:r w:rsidRPr="00DC0E42">
              <w:rPr>
                <w:b/>
                <w:sz w:val="18"/>
                <w:szCs w:val="18"/>
              </w:rPr>
              <w:t>26.01.2022</w:t>
            </w:r>
          </w:p>
        </w:tc>
        <w:tc>
          <w:tcPr>
            <w:tcW w:w="3544" w:type="dxa"/>
          </w:tcPr>
          <w:p w:rsidR="00AD1C35" w:rsidRPr="00DC0E42" w:rsidRDefault="00AD1C35" w:rsidP="00BC5DAC">
            <w:pPr>
              <w:pStyle w:val="TableParagraph"/>
              <w:spacing w:before="57"/>
              <w:ind w:right="719"/>
              <w:jc w:val="center"/>
              <w:rPr>
                <w:sz w:val="18"/>
                <w:szCs w:val="18"/>
              </w:rPr>
            </w:pPr>
            <w:r w:rsidRPr="00DC0E42">
              <w:rPr>
                <w:sz w:val="18"/>
                <w:szCs w:val="18"/>
              </w:rPr>
              <w:t>44</w:t>
            </w:r>
          </w:p>
        </w:tc>
      </w:tr>
      <w:tr w:rsidR="00AD1C35" w:rsidRPr="00DC0E42" w:rsidTr="00BC5DAC">
        <w:trPr>
          <w:trHeight w:val="373"/>
        </w:trPr>
        <w:tc>
          <w:tcPr>
            <w:tcW w:w="2976" w:type="dxa"/>
            <w:shd w:val="clear" w:color="auto" w:fill="D9D9D9"/>
          </w:tcPr>
          <w:p w:rsidR="00AD1C35" w:rsidRPr="00DC0E42" w:rsidRDefault="00AD1C35" w:rsidP="000D4D79">
            <w:pPr>
              <w:pStyle w:val="TableParagraph"/>
              <w:spacing w:line="239" w:lineRule="exact"/>
              <w:ind w:left="14"/>
              <w:rPr>
                <w:b/>
                <w:sz w:val="18"/>
                <w:szCs w:val="18"/>
              </w:rPr>
            </w:pPr>
            <w:r w:rsidRPr="00DC0E42">
              <w:rPr>
                <w:b/>
                <w:sz w:val="18"/>
                <w:szCs w:val="18"/>
              </w:rPr>
              <w:t>27.01.2022</w:t>
            </w:r>
          </w:p>
        </w:tc>
        <w:tc>
          <w:tcPr>
            <w:tcW w:w="3544" w:type="dxa"/>
          </w:tcPr>
          <w:p w:rsidR="00AD1C35" w:rsidRPr="00DC0E42" w:rsidRDefault="00AD1C35" w:rsidP="00BC5DAC">
            <w:pPr>
              <w:pStyle w:val="TableParagraph"/>
              <w:spacing w:before="57"/>
              <w:ind w:right="719"/>
              <w:jc w:val="center"/>
              <w:rPr>
                <w:sz w:val="18"/>
                <w:szCs w:val="18"/>
              </w:rPr>
            </w:pPr>
            <w:r w:rsidRPr="00DC0E42">
              <w:rPr>
                <w:sz w:val="18"/>
                <w:szCs w:val="18"/>
              </w:rPr>
              <w:t>42</w:t>
            </w:r>
          </w:p>
        </w:tc>
      </w:tr>
      <w:tr w:rsidR="00AD1C35" w:rsidRPr="00DC0E42" w:rsidTr="00BC5DAC">
        <w:trPr>
          <w:trHeight w:val="371"/>
        </w:trPr>
        <w:tc>
          <w:tcPr>
            <w:tcW w:w="2976" w:type="dxa"/>
            <w:shd w:val="clear" w:color="auto" w:fill="D9D9D9"/>
          </w:tcPr>
          <w:p w:rsidR="00AD1C35" w:rsidRPr="00DC0E42" w:rsidRDefault="00AD1C35" w:rsidP="000D4D79">
            <w:pPr>
              <w:pStyle w:val="TableParagraph"/>
              <w:spacing w:line="236" w:lineRule="exact"/>
              <w:ind w:left="14"/>
              <w:rPr>
                <w:b/>
                <w:sz w:val="18"/>
                <w:szCs w:val="18"/>
              </w:rPr>
            </w:pPr>
            <w:r w:rsidRPr="00DC0E42">
              <w:rPr>
                <w:b/>
                <w:sz w:val="18"/>
                <w:szCs w:val="18"/>
              </w:rPr>
              <w:t>28.01.2022</w:t>
            </w:r>
          </w:p>
        </w:tc>
        <w:tc>
          <w:tcPr>
            <w:tcW w:w="3544" w:type="dxa"/>
          </w:tcPr>
          <w:p w:rsidR="00AD1C35" w:rsidRPr="00DC0E42" w:rsidRDefault="00AD1C35" w:rsidP="00BC5DAC">
            <w:pPr>
              <w:pStyle w:val="TableParagraph"/>
              <w:spacing w:before="57"/>
              <w:ind w:right="719"/>
              <w:jc w:val="center"/>
              <w:rPr>
                <w:sz w:val="18"/>
                <w:szCs w:val="18"/>
              </w:rPr>
            </w:pPr>
            <w:r w:rsidRPr="00DC0E42">
              <w:rPr>
                <w:sz w:val="18"/>
                <w:szCs w:val="18"/>
              </w:rPr>
              <w:t>43</w:t>
            </w:r>
          </w:p>
        </w:tc>
      </w:tr>
      <w:tr w:rsidR="00AD1C35" w:rsidRPr="00DC0E42" w:rsidTr="00BC5DAC">
        <w:trPr>
          <w:trHeight w:val="373"/>
        </w:trPr>
        <w:tc>
          <w:tcPr>
            <w:tcW w:w="2976" w:type="dxa"/>
            <w:tcBorders>
              <w:bottom w:val="single" w:sz="4" w:space="0" w:color="auto"/>
            </w:tcBorders>
            <w:shd w:val="clear" w:color="auto" w:fill="D9D9D9"/>
          </w:tcPr>
          <w:p w:rsidR="00AD1C35" w:rsidRPr="00DC0E42" w:rsidRDefault="00AD1C35" w:rsidP="000D4D79">
            <w:pPr>
              <w:pStyle w:val="TableParagraph"/>
              <w:spacing w:before="117" w:line="236" w:lineRule="exact"/>
              <w:ind w:left="14"/>
              <w:rPr>
                <w:b/>
                <w:sz w:val="18"/>
                <w:szCs w:val="18"/>
              </w:rPr>
            </w:pPr>
            <w:r w:rsidRPr="00DC0E42">
              <w:rPr>
                <w:b/>
                <w:sz w:val="18"/>
                <w:szCs w:val="18"/>
              </w:rPr>
              <w:t>29.01.2022</w:t>
            </w:r>
          </w:p>
        </w:tc>
        <w:tc>
          <w:tcPr>
            <w:tcW w:w="3544" w:type="dxa"/>
            <w:tcBorders>
              <w:bottom w:val="single" w:sz="4" w:space="0" w:color="auto"/>
            </w:tcBorders>
          </w:tcPr>
          <w:p w:rsidR="00AD1C35" w:rsidRPr="00DC0E42" w:rsidRDefault="00AD1C35" w:rsidP="00BC5DAC">
            <w:pPr>
              <w:pStyle w:val="TableParagraph"/>
              <w:spacing w:before="59"/>
              <w:ind w:right="719"/>
              <w:jc w:val="center"/>
              <w:rPr>
                <w:sz w:val="18"/>
                <w:szCs w:val="18"/>
              </w:rPr>
            </w:pPr>
            <w:r w:rsidRPr="00DC0E42">
              <w:rPr>
                <w:sz w:val="18"/>
                <w:szCs w:val="18"/>
              </w:rPr>
              <w:t>43</w:t>
            </w:r>
          </w:p>
        </w:tc>
      </w:tr>
      <w:tr w:rsidR="00AD1C35" w:rsidRPr="00DC0E42" w:rsidTr="00BC5DAC">
        <w:trPr>
          <w:trHeight w:val="373"/>
        </w:trPr>
        <w:tc>
          <w:tcPr>
            <w:tcW w:w="2976" w:type="dxa"/>
            <w:tcBorders>
              <w:top w:val="single" w:sz="4" w:space="0" w:color="auto"/>
              <w:left w:val="single" w:sz="4" w:space="0" w:color="auto"/>
              <w:bottom w:val="single" w:sz="4" w:space="0" w:color="auto"/>
              <w:right w:val="single" w:sz="4" w:space="0" w:color="auto"/>
            </w:tcBorders>
            <w:shd w:val="clear" w:color="auto" w:fill="D9D9D9"/>
          </w:tcPr>
          <w:p w:rsidR="00AD1C35" w:rsidRPr="00DC0E42" w:rsidRDefault="00AD1C35" w:rsidP="000D4D79">
            <w:pPr>
              <w:pStyle w:val="TableParagraph"/>
              <w:spacing w:before="114" w:line="239" w:lineRule="exact"/>
              <w:ind w:left="16"/>
              <w:rPr>
                <w:b/>
                <w:sz w:val="18"/>
                <w:szCs w:val="18"/>
              </w:rPr>
            </w:pPr>
            <w:r w:rsidRPr="00DC0E42">
              <w:rPr>
                <w:b/>
                <w:sz w:val="18"/>
                <w:szCs w:val="18"/>
              </w:rPr>
              <w:t>30.01.2022</w:t>
            </w:r>
          </w:p>
        </w:tc>
        <w:tc>
          <w:tcPr>
            <w:tcW w:w="3544" w:type="dxa"/>
            <w:tcBorders>
              <w:top w:val="single" w:sz="4" w:space="0" w:color="auto"/>
              <w:left w:val="single" w:sz="4" w:space="0" w:color="auto"/>
              <w:bottom w:val="single" w:sz="4" w:space="0" w:color="auto"/>
              <w:right w:val="single" w:sz="4" w:space="0" w:color="auto"/>
            </w:tcBorders>
            <w:vAlign w:val="center"/>
          </w:tcPr>
          <w:p w:rsidR="00AD1C35" w:rsidRPr="00DC0E42" w:rsidRDefault="00AD1C35" w:rsidP="00BC5DAC">
            <w:pPr>
              <w:pStyle w:val="TableParagraph"/>
              <w:spacing w:before="59"/>
              <w:ind w:right="719"/>
              <w:jc w:val="center"/>
              <w:rPr>
                <w:sz w:val="18"/>
                <w:szCs w:val="18"/>
              </w:rPr>
            </w:pPr>
            <w:r w:rsidRPr="00DC0E42">
              <w:rPr>
                <w:sz w:val="18"/>
                <w:szCs w:val="18"/>
              </w:rPr>
              <w:t>44</w:t>
            </w:r>
          </w:p>
        </w:tc>
      </w:tr>
    </w:tbl>
    <w:tbl>
      <w:tblPr>
        <w:tblStyle w:val="TableNormal3"/>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3534"/>
      </w:tblGrid>
      <w:tr w:rsidR="00AD1C35" w:rsidRPr="00DC0E42" w:rsidTr="00BC5DAC">
        <w:trPr>
          <w:trHeight w:val="373"/>
        </w:trPr>
        <w:tc>
          <w:tcPr>
            <w:tcW w:w="2976" w:type="dxa"/>
            <w:shd w:val="clear" w:color="auto" w:fill="D9D9D9"/>
          </w:tcPr>
          <w:p w:rsidR="00AD1C35" w:rsidRPr="00DC0E42" w:rsidRDefault="00AD1C35" w:rsidP="000D4D79">
            <w:pPr>
              <w:pStyle w:val="TableParagraph"/>
              <w:spacing w:before="117" w:line="236" w:lineRule="exact"/>
              <w:ind w:left="16"/>
              <w:rPr>
                <w:b/>
                <w:sz w:val="18"/>
                <w:szCs w:val="18"/>
              </w:rPr>
            </w:pPr>
            <w:r w:rsidRPr="00DC0E42">
              <w:rPr>
                <w:b/>
                <w:sz w:val="18"/>
                <w:szCs w:val="18"/>
              </w:rPr>
              <w:t>31.01.2022</w:t>
            </w:r>
          </w:p>
        </w:tc>
        <w:tc>
          <w:tcPr>
            <w:tcW w:w="3534" w:type="dxa"/>
            <w:vAlign w:val="center"/>
          </w:tcPr>
          <w:p w:rsidR="00AD1C35" w:rsidRPr="00DC0E42" w:rsidRDefault="00AD1C35" w:rsidP="00BC5DAC">
            <w:pPr>
              <w:pStyle w:val="TableParagraph"/>
              <w:spacing w:before="59"/>
              <w:ind w:right="719"/>
              <w:jc w:val="center"/>
              <w:rPr>
                <w:sz w:val="18"/>
                <w:szCs w:val="18"/>
              </w:rPr>
            </w:pPr>
            <w:r w:rsidRPr="00DC0E42">
              <w:rPr>
                <w:sz w:val="18"/>
                <w:szCs w:val="18"/>
              </w:rPr>
              <w:t>47</w:t>
            </w:r>
          </w:p>
        </w:tc>
      </w:tr>
    </w:tbl>
    <w:p w:rsidR="00230E2B" w:rsidRDefault="00230E2B" w:rsidP="00AD1C35">
      <w:pPr>
        <w:pStyle w:val="LTAntwortRessortText"/>
        <w:ind w:left="0"/>
      </w:pPr>
    </w:p>
    <w:p w:rsidR="00230E2B" w:rsidRDefault="00230E2B" w:rsidP="00230E2B">
      <w:pPr>
        <w:pStyle w:val="LTAntwortRessortText"/>
      </w:pPr>
      <w:r>
        <w:t>Die (bisherige) Inhaftierungsdauer der Abschiebungsgefangenen, die in der Einrichtung</w:t>
      </w:r>
      <w:r w:rsidR="00AD1C35">
        <w:t xml:space="preserve"> </w:t>
      </w:r>
      <w:r>
        <w:t>für Abschiebungshaft bei der Justizvollzugsanstalt Hof (AHE Hof) inhaftiert</w:t>
      </w:r>
      <w:r w:rsidR="00AD1C35">
        <w:t xml:space="preserve"> </w:t>
      </w:r>
      <w:r>
        <w:t>waren oder derzeit (Stand: 31. Januar 2021) noch dort inhaftiert sind, ist nachfolgender</w:t>
      </w:r>
      <w:r w:rsidR="00AD1C35">
        <w:t xml:space="preserve"> </w:t>
      </w:r>
      <w:r>
        <w:t>Tabelle zu entnehmen:</w:t>
      </w:r>
    </w:p>
    <w:p w:rsidR="00230E2B" w:rsidRDefault="00230E2B" w:rsidP="00230E2B">
      <w:pPr>
        <w:pStyle w:val="LTAntwortRessortText"/>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20"/>
        <w:gridCol w:w="3542"/>
      </w:tblGrid>
      <w:tr w:rsidR="00AD1C35" w:rsidRPr="00085D2A" w:rsidTr="00D53BCC">
        <w:trPr>
          <w:trHeight w:val="551"/>
        </w:trPr>
        <w:tc>
          <w:tcPr>
            <w:tcW w:w="3120" w:type="dxa"/>
            <w:shd w:val="clear" w:color="auto" w:fill="D9D9D9"/>
            <w:vAlign w:val="center"/>
          </w:tcPr>
          <w:p w:rsidR="00AD1C35" w:rsidRPr="00085D2A" w:rsidRDefault="00AD1C35" w:rsidP="00085D2A">
            <w:pPr>
              <w:pStyle w:val="TableParagraph"/>
              <w:spacing w:before="40" w:line="250" w:lineRule="atLeast"/>
              <w:ind w:left="695" w:right="264" w:hanging="399"/>
              <w:jc w:val="center"/>
              <w:rPr>
                <w:b/>
                <w:sz w:val="18"/>
                <w:szCs w:val="18"/>
              </w:rPr>
            </w:pPr>
            <w:r w:rsidRPr="00085D2A">
              <w:rPr>
                <w:b/>
                <w:sz w:val="18"/>
                <w:szCs w:val="18"/>
              </w:rPr>
              <w:t>Inhaftierungsdauer in der AHE Hof in Tagen</w:t>
            </w:r>
          </w:p>
        </w:tc>
        <w:tc>
          <w:tcPr>
            <w:tcW w:w="3542" w:type="dxa"/>
            <w:shd w:val="clear" w:color="auto" w:fill="D9D9D9"/>
            <w:vAlign w:val="center"/>
          </w:tcPr>
          <w:p w:rsidR="00AD1C35" w:rsidRPr="00085D2A" w:rsidRDefault="00085D2A" w:rsidP="00085D2A">
            <w:pPr>
              <w:pStyle w:val="TableParagraph"/>
              <w:spacing w:before="19"/>
              <w:ind w:left="870" w:right="65" w:hanging="773"/>
              <w:jc w:val="center"/>
              <w:rPr>
                <w:b/>
                <w:sz w:val="18"/>
                <w:szCs w:val="18"/>
              </w:rPr>
            </w:pPr>
            <w:r>
              <w:rPr>
                <w:b/>
                <w:sz w:val="18"/>
                <w:szCs w:val="18"/>
              </w:rPr>
              <w:t>Anzahl der Abschiebungs</w:t>
            </w:r>
            <w:r w:rsidR="00AD1C35" w:rsidRPr="00085D2A">
              <w:rPr>
                <w:b/>
                <w:sz w:val="18"/>
                <w:szCs w:val="18"/>
              </w:rPr>
              <w:t>gefangenen</w:t>
            </w:r>
          </w:p>
        </w:tc>
      </w:tr>
      <w:tr w:rsidR="00AD1C35" w:rsidRPr="00085D2A" w:rsidTr="00D53BCC">
        <w:trPr>
          <w:trHeight w:val="373"/>
        </w:trPr>
        <w:tc>
          <w:tcPr>
            <w:tcW w:w="3120" w:type="dxa"/>
            <w:shd w:val="clear" w:color="auto" w:fill="D9D9D9"/>
            <w:vAlign w:val="center"/>
          </w:tcPr>
          <w:p w:rsidR="00AD1C35" w:rsidRPr="00085D2A" w:rsidRDefault="00AD1C35" w:rsidP="00085D2A">
            <w:pPr>
              <w:pStyle w:val="TableParagraph"/>
              <w:spacing w:line="239" w:lineRule="exact"/>
              <w:ind w:left="0" w:right="1546"/>
              <w:jc w:val="right"/>
              <w:rPr>
                <w:b/>
                <w:sz w:val="18"/>
                <w:szCs w:val="18"/>
              </w:rPr>
            </w:pPr>
            <w:r w:rsidRPr="00085D2A">
              <w:rPr>
                <w:b/>
                <w:sz w:val="18"/>
                <w:szCs w:val="18"/>
              </w:rPr>
              <w:t>1</w:t>
            </w:r>
          </w:p>
        </w:tc>
        <w:tc>
          <w:tcPr>
            <w:tcW w:w="3542" w:type="dxa"/>
            <w:vAlign w:val="center"/>
          </w:tcPr>
          <w:p w:rsidR="00AD1C35" w:rsidRPr="00085D2A" w:rsidRDefault="00AD1C35" w:rsidP="00085D2A">
            <w:pPr>
              <w:pStyle w:val="TableParagraph"/>
              <w:spacing w:before="57"/>
              <w:ind w:left="0" w:right="1407" w:firstLine="1268"/>
              <w:jc w:val="center"/>
              <w:rPr>
                <w:sz w:val="18"/>
                <w:szCs w:val="18"/>
              </w:rPr>
            </w:pPr>
            <w:r w:rsidRPr="00085D2A">
              <w:rPr>
                <w:sz w:val="18"/>
                <w:szCs w:val="18"/>
              </w:rPr>
              <w:t>3</w:t>
            </w:r>
          </w:p>
        </w:tc>
      </w:tr>
      <w:tr w:rsidR="00AD1C35" w:rsidRPr="00085D2A" w:rsidTr="00D53BCC">
        <w:trPr>
          <w:trHeight w:val="374"/>
        </w:trPr>
        <w:tc>
          <w:tcPr>
            <w:tcW w:w="3120" w:type="dxa"/>
            <w:shd w:val="clear" w:color="auto" w:fill="D9D9D9"/>
            <w:vAlign w:val="center"/>
          </w:tcPr>
          <w:p w:rsidR="00AD1C35" w:rsidRPr="00085D2A" w:rsidRDefault="00AD1C35" w:rsidP="00085D2A">
            <w:pPr>
              <w:pStyle w:val="TableParagraph"/>
              <w:spacing w:line="239" w:lineRule="exact"/>
              <w:ind w:left="0" w:right="1546"/>
              <w:jc w:val="right"/>
              <w:rPr>
                <w:b/>
                <w:sz w:val="18"/>
                <w:szCs w:val="18"/>
              </w:rPr>
            </w:pPr>
            <w:r w:rsidRPr="00085D2A">
              <w:rPr>
                <w:b/>
                <w:sz w:val="18"/>
                <w:szCs w:val="18"/>
              </w:rPr>
              <w:t>2</w:t>
            </w:r>
          </w:p>
        </w:tc>
        <w:tc>
          <w:tcPr>
            <w:tcW w:w="3542" w:type="dxa"/>
            <w:vAlign w:val="center"/>
          </w:tcPr>
          <w:p w:rsidR="00AD1C35" w:rsidRPr="00085D2A" w:rsidRDefault="00AD1C35" w:rsidP="00085D2A">
            <w:pPr>
              <w:pStyle w:val="TableParagraph"/>
              <w:spacing w:before="58"/>
              <w:ind w:left="0" w:right="1407" w:firstLine="1268"/>
              <w:jc w:val="center"/>
              <w:rPr>
                <w:sz w:val="18"/>
                <w:szCs w:val="18"/>
              </w:rPr>
            </w:pPr>
            <w:r w:rsidRPr="00085D2A">
              <w:rPr>
                <w:sz w:val="18"/>
                <w:szCs w:val="18"/>
              </w:rPr>
              <w:t>4</w:t>
            </w:r>
          </w:p>
        </w:tc>
      </w:tr>
      <w:tr w:rsidR="00AD1C35" w:rsidRPr="00085D2A" w:rsidTr="00D53BCC">
        <w:trPr>
          <w:trHeight w:val="371"/>
        </w:trPr>
        <w:tc>
          <w:tcPr>
            <w:tcW w:w="3120" w:type="dxa"/>
            <w:shd w:val="clear" w:color="auto" w:fill="D9D9D9"/>
            <w:vAlign w:val="center"/>
          </w:tcPr>
          <w:p w:rsidR="00AD1C35" w:rsidRPr="00085D2A" w:rsidRDefault="00AD1C35" w:rsidP="00085D2A">
            <w:pPr>
              <w:pStyle w:val="TableParagraph"/>
              <w:spacing w:line="236" w:lineRule="exact"/>
              <w:ind w:left="0" w:right="1546"/>
              <w:jc w:val="right"/>
              <w:rPr>
                <w:b/>
                <w:sz w:val="18"/>
                <w:szCs w:val="18"/>
              </w:rPr>
            </w:pPr>
            <w:r w:rsidRPr="00085D2A">
              <w:rPr>
                <w:b/>
                <w:sz w:val="18"/>
                <w:szCs w:val="18"/>
              </w:rPr>
              <w:t>3</w:t>
            </w:r>
          </w:p>
        </w:tc>
        <w:tc>
          <w:tcPr>
            <w:tcW w:w="3542" w:type="dxa"/>
            <w:vAlign w:val="center"/>
          </w:tcPr>
          <w:p w:rsidR="00AD1C35" w:rsidRPr="00085D2A" w:rsidRDefault="00AD1C35" w:rsidP="00085D2A">
            <w:pPr>
              <w:pStyle w:val="TableParagraph"/>
              <w:spacing w:before="57"/>
              <w:ind w:left="0" w:right="1345" w:firstLine="1268"/>
              <w:jc w:val="center"/>
              <w:rPr>
                <w:sz w:val="18"/>
                <w:szCs w:val="18"/>
              </w:rPr>
            </w:pPr>
            <w:r w:rsidRPr="00085D2A">
              <w:rPr>
                <w:sz w:val="18"/>
                <w:szCs w:val="18"/>
              </w:rPr>
              <w:t>12</w:t>
            </w:r>
          </w:p>
        </w:tc>
      </w:tr>
      <w:tr w:rsidR="00AD1C35" w:rsidRPr="00085D2A" w:rsidTr="00D53BCC">
        <w:trPr>
          <w:trHeight w:val="373"/>
        </w:trPr>
        <w:tc>
          <w:tcPr>
            <w:tcW w:w="3120" w:type="dxa"/>
            <w:shd w:val="clear" w:color="auto" w:fill="D9D9D9"/>
            <w:vAlign w:val="center"/>
          </w:tcPr>
          <w:p w:rsidR="00AD1C35" w:rsidRPr="00085D2A" w:rsidRDefault="00AD1C35" w:rsidP="00085D2A">
            <w:pPr>
              <w:pStyle w:val="TableParagraph"/>
              <w:spacing w:before="117" w:line="236" w:lineRule="exact"/>
              <w:ind w:left="0" w:right="1546"/>
              <w:jc w:val="right"/>
              <w:rPr>
                <w:b/>
                <w:sz w:val="18"/>
                <w:szCs w:val="18"/>
              </w:rPr>
            </w:pPr>
            <w:r w:rsidRPr="00085D2A">
              <w:rPr>
                <w:b/>
                <w:sz w:val="18"/>
                <w:szCs w:val="18"/>
              </w:rPr>
              <w:t>4</w:t>
            </w:r>
          </w:p>
        </w:tc>
        <w:tc>
          <w:tcPr>
            <w:tcW w:w="3542" w:type="dxa"/>
            <w:vAlign w:val="center"/>
          </w:tcPr>
          <w:p w:rsidR="00AD1C35" w:rsidRPr="00085D2A" w:rsidRDefault="00AD1C35" w:rsidP="00085D2A">
            <w:pPr>
              <w:pStyle w:val="TableParagraph"/>
              <w:spacing w:before="59"/>
              <w:ind w:left="0" w:right="1345" w:firstLine="1268"/>
              <w:jc w:val="center"/>
              <w:rPr>
                <w:sz w:val="18"/>
                <w:szCs w:val="18"/>
              </w:rPr>
            </w:pPr>
            <w:r w:rsidRPr="00085D2A">
              <w:rPr>
                <w:sz w:val="18"/>
                <w:szCs w:val="18"/>
              </w:rPr>
              <w:t>18</w:t>
            </w:r>
          </w:p>
        </w:tc>
      </w:tr>
      <w:tr w:rsidR="00AD1C35" w:rsidRPr="00085D2A" w:rsidTr="00D53BCC">
        <w:trPr>
          <w:trHeight w:val="373"/>
        </w:trPr>
        <w:tc>
          <w:tcPr>
            <w:tcW w:w="3120" w:type="dxa"/>
            <w:shd w:val="clear" w:color="auto" w:fill="D9D9D9"/>
            <w:vAlign w:val="center"/>
          </w:tcPr>
          <w:p w:rsidR="00AD1C35" w:rsidRPr="00085D2A" w:rsidRDefault="00AD1C35" w:rsidP="00085D2A">
            <w:pPr>
              <w:pStyle w:val="TableParagraph"/>
              <w:spacing w:line="239" w:lineRule="exact"/>
              <w:ind w:left="0" w:right="1546"/>
              <w:jc w:val="right"/>
              <w:rPr>
                <w:b/>
                <w:sz w:val="18"/>
                <w:szCs w:val="18"/>
              </w:rPr>
            </w:pPr>
            <w:r w:rsidRPr="00085D2A">
              <w:rPr>
                <w:b/>
                <w:sz w:val="18"/>
                <w:szCs w:val="18"/>
              </w:rPr>
              <w:t>5</w:t>
            </w:r>
          </w:p>
        </w:tc>
        <w:tc>
          <w:tcPr>
            <w:tcW w:w="3542" w:type="dxa"/>
            <w:vAlign w:val="center"/>
          </w:tcPr>
          <w:p w:rsidR="00AD1C35" w:rsidRPr="00085D2A" w:rsidRDefault="00AD1C35" w:rsidP="00085D2A">
            <w:pPr>
              <w:pStyle w:val="TableParagraph"/>
              <w:spacing w:before="57"/>
              <w:ind w:left="0" w:right="1407" w:firstLine="1268"/>
              <w:jc w:val="center"/>
              <w:rPr>
                <w:sz w:val="18"/>
                <w:szCs w:val="18"/>
              </w:rPr>
            </w:pPr>
            <w:r w:rsidRPr="00085D2A">
              <w:rPr>
                <w:sz w:val="18"/>
                <w:szCs w:val="18"/>
              </w:rPr>
              <w:t>8</w:t>
            </w:r>
          </w:p>
        </w:tc>
      </w:tr>
      <w:tr w:rsidR="00AD1C35" w:rsidRPr="00085D2A" w:rsidTr="00D53BCC">
        <w:trPr>
          <w:trHeight w:val="373"/>
        </w:trPr>
        <w:tc>
          <w:tcPr>
            <w:tcW w:w="3120" w:type="dxa"/>
            <w:shd w:val="clear" w:color="auto" w:fill="D9D9D9"/>
            <w:vAlign w:val="center"/>
          </w:tcPr>
          <w:p w:rsidR="00AD1C35" w:rsidRPr="00085D2A" w:rsidRDefault="00AD1C35" w:rsidP="00085D2A">
            <w:pPr>
              <w:pStyle w:val="TableParagraph"/>
              <w:spacing w:line="239" w:lineRule="exact"/>
              <w:ind w:left="0" w:right="1546"/>
              <w:jc w:val="right"/>
              <w:rPr>
                <w:b/>
                <w:sz w:val="18"/>
                <w:szCs w:val="18"/>
              </w:rPr>
            </w:pPr>
            <w:r w:rsidRPr="00085D2A">
              <w:rPr>
                <w:b/>
                <w:sz w:val="18"/>
                <w:szCs w:val="18"/>
              </w:rPr>
              <w:t>6</w:t>
            </w:r>
          </w:p>
        </w:tc>
        <w:tc>
          <w:tcPr>
            <w:tcW w:w="3542" w:type="dxa"/>
            <w:vAlign w:val="center"/>
          </w:tcPr>
          <w:p w:rsidR="00AD1C35" w:rsidRPr="00085D2A" w:rsidRDefault="00AD1C35" w:rsidP="00085D2A">
            <w:pPr>
              <w:pStyle w:val="TableParagraph"/>
              <w:spacing w:before="57"/>
              <w:ind w:left="0" w:right="1407" w:firstLine="1268"/>
              <w:jc w:val="center"/>
              <w:rPr>
                <w:sz w:val="18"/>
                <w:szCs w:val="18"/>
              </w:rPr>
            </w:pPr>
            <w:r w:rsidRPr="00085D2A">
              <w:rPr>
                <w:sz w:val="18"/>
                <w:szCs w:val="18"/>
              </w:rPr>
              <w:t>4</w:t>
            </w:r>
          </w:p>
        </w:tc>
      </w:tr>
      <w:tr w:rsidR="00AD1C35" w:rsidRPr="00085D2A" w:rsidTr="00D53BCC">
        <w:trPr>
          <w:trHeight w:val="371"/>
        </w:trPr>
        <w:tc>
          <w:tcPr>
            <w:tcW w:w="3120" w:type="dxa"/>
            <w:shd w:val="clear" w:color="auto" w:fill="D9D9D9"/>
            <w:vAlign w:val="center"/>
          </w:tcPr>
          <w:p w:rsidR="00AD1C35" w:rsidRPr="00085D2A" w:rsidRDefault="00AD1C35" w:rsidP="00085D2A">
            <w:pPr>
              <w:pStyle w:val="TableParagraph"/>
              <w:spacing w:line="236" w:lineRule="exact"/>
              <w:ind w:left="0" w:right="1546"/>
              <w:jc w:val="right"/>
              <w:rPr>
                <w:b/>
                <w:sz w:val="18"/>
                <w:szCs w:val="18"/>
              </w:rPr>
            </w:pPr>
            <w:r w:rsidRPr="00085D2A">
              <w:rPr>
                <w:b/>
                <w:sz w:val="18"/>
                <w:szCs w:val="18"/>
              </w:rPr>
              <w:t>7</w:t>
            </w:r>
          </w:p>
        </w:tc>
        <w:tc>
          <w:tcPr>
            <w:tcW w:w="3542" w:type="dxa"/>
            <w:vAlign w:val="center"/>
          </w:tcPr>
          <w:p w:rsidR="00AD1C35" w:rsidRPr="00085D2A" w:rsidRDefault="00AD1C35" w:rsidP="00085D2A">
            <w:pPr>
              <w:pStyle w:val="TableParagraph"/>
              <w:spacing w:before="57"/>
              <w:ind w:left="0" w:right="1407" w:firstLine="1268"/>
              <w:jc w:val="center"/>
              <w:rPr>
                <w:sz w:val="18"/>
                <w:szCs w:val="18"/>
              </w:rPr>
            </w:pPr>
            <w:r w:rsidRPr="00085D2A">
              <w:rPr>
                <w:sz w:val="18"/>
                <w:szCs w:val="18"/>
              </w:rPr>
              <w:t>5</w:t>
            </w:r>
          </w:p>
        </w:tc>
      </w:tr>
      <w:tr w:rsidR="00AD1C35" w:rsidRPr="00085D2A" w:rsidTr="00D53BCC">
        <w:trPr>
          <w:trHeight w:val="373"/>
        </w:trPr>
        <w:tc>
          <w:tcPr>
            <w:tcW w:w="3120" w:type="dxa"/>
            <w:shd w:val="clear" w:color="auto" w:fill="D9D9D9"/>
            <w:vAlign w:val="center"/>
          </w:tcPr>
          <w:p w:rsidR="00AD1C35" w:rsidRPr="00085D2A" w:rsidRDefault="00AD1C35" w:rsidP="00085D2A">
            <w:pPr>
              <w:pStyle w:val="TableParagraph"/>
              <w:spacing w:before="117" w:line="236" w:lineRule="exact"/>
              <w:ind w:left="0" w:right="1546"/>
              <w:jc w:val="right"/>
              <w:rPr>
                <w:b/>
                <w:sz w:val="18"/>
                <w:szCs w:val="18"/>
              </w:rPr>
            </w:pPr>
            <w:r w:rsidRPr="00085D2A">
              <w:rPr>
                <w:b/>
                <w:sz w:val="18"/>
                <w:szCs w:val="18"/>
              </w:rPr>
              <w:t>8</w:t>
            </w:r>
          </w:p>
        </w:tc>
        <w:tc>
          <w:tcPr>
            <w:tcW w:w="3542" w:type="dxa"/>
            <w:vAlign w:val="center"/>
          </w:tcPr>
          <w:p w:rsidR="00AD1C35" w:rsidRPr="00085D2A" w:rsidRDefault="00AD1C35" w:rsidP="00085D2A">
            <w:pPr>
              <w:pStyle w:val="TableParagraph"/>
              <w:spacing w:before="59"/>
              <w:ind w:left="0" w:right="1407" w:firstLine="1268"/>
              <w:jc w:val="center"/>
              <w:rPr>
                <w:sz w:val="18"/>
                <w:szCs w:val="18"/>
              </w:rPr>
            </w:pPr>
            <w:r w:rsidRPr="00085D2A">
              <w:rPr>
                <w:sz w:val="18"/>
                <w:szCs w:val="18"/>
              </w:rPr>
              <w:t>7</w:t>
            </w:r>
          </w:p>
        </w:tc>
      </w:tr>
      <w:tr w:rsidR="00AD1C35" w:rsidRPr="00085D2A" w:rsidTr="00D53BCC">
        <w:trPr>
          <w:trHeight w:val="373"/>
        </w:trPr>
        <w:tc>
          <w:tcPr>
            <w:tcW w:w="3120" w:type="dxa"/>
            <w:shd w:val="clear" w:color="auto" w:fill="D9D9D9"/>
            <w:vAlign w:val="center"/>
          </w:tcPr>
          <w:p w:rsidR="00AD1C35" w:rsidRPr="00085D2A" w:rsidRDefault="00AD1C35" w:rsidP="00085D2A">
            <w:pPr>
              <w:pStyle w:val="TableParagraph"/>
              <w:spacing w:line="239" w:lineRule="exact"/>
              <w:ind w:left="0" w:right="1546"/>
              <w:jc w:val="right"/>
              <w:rPr>
                <w:b/>
                <w:sz w:val="18"/>
                <w:szCs w:val="18"/>
              </w:rPr>
            </w:pPr>
            <w:r w:rsidRPr="00085D2A">
              <w:rPr>
                <w:b/>
                <w:sz w:val="18"/>
                <w:szCs w:val="18"/>
              </w:rPr>
              <w:t>9</w:t>
            </w:r>
          </w:p>
        </w:tc>
        <w:tc>
          <w:tcPr>
            <w:tcW w:w="3542" w:type="dxa"/>
            <w:vAlign w:val="center"/>
          </w:tcPr>
          <w:p w:rsidR="00AD1C35" w:rsidRPr="00085D2A" w:rsidRDefault="00AD1C35" w:rsidP="00085D2A">
            <w:pPr>
              <w:pStyle w:val="TableParagraph"/>
              <w:spacing w:before="57"/>
              <w:ind w:left="0" w:right="1407" w:firstLine="1268"/>
              <w:jc w:val="center"/>
              <w:rPr>
                <w:sz w:val="18"/>
                <w:szCs w:val="18"/>
              </w:rPr>
            </w:pPr>
            <w:r w:rsidRPr="00085D2A">
              <w:rPr>
                <w:sz w:val="18"/>
                <w:szCs w:val="18"/>
              </w:rPr>
              <w:t>2</w:t>
            </w:r>
          </w:p>
        </w:tc>
      </w:tr>
      <w:tr w:rsidR="00AD1C35" w:rsidRPr="00085D2A" w:rsidTr="00D53BCC">
        <w:trPr>
          <w:trHeight w:val="371"/>
        </w:trPr>
        <w:tc>
          <w:tcPr>
            <w:tcW w:w="3120" w:type="dxa"/>
            <w:shd w:val="clear" w:color="auto" w:fill="D9D9D9"/>
            <w:vAlign w:val="center"/>
          </w:tcPr>
          <w:p w:rsidR="00AD1C35" w:rsidRPr="00085D2A" w:rsidRDefault="00AD1C35" w:rsidP="00085D2A">
            <w:pPr>
              <w:pStyle w:val="TableParagraph"/>
              <w:spacing w:line="236" w:lineRule="exact"/>
              <w:ind w:left="0" w:right="1484"/>
              <w:jc w:val="right"/>
              <w:rPr>
                <w:b/>
                <w:sz w:val="18"/>
                <w:szCs w:val="18"/>
              </w:rPr>
            </w:pPr>
            <w:r w:rsidRPr="00085D2A">
              <w:rPr>
                <w:b/>
                <w:sz w:val="18"/>
                <w:szCs w:val="18"/>
              </w:rPr>
              <w:t>10</w:t>
            </w:r>
          </w:p>
        </w:tc>
        <w:tc>
          <w:tcPr>
            <w:tcW w:w="3542" w:type="dxa"/>
            <w:vAlign w:val="center"/>
          </w:tcPr>
          <w:p w:rsidR="00AD1C35" w:rsidRPr="00085D2A" w:rsidRDefault="00AD1C35" w:rsidP="00085D2A">
            <w:pPr>
              <w:pStyle w:val="TableParagraph"/>
              <w:spacing w:before="57"/>
              <w:ind w:left="0" w:right="1407" w:firstLine="1268"/>
              <w:jc w:val="center"/>
              <w:rPr>
                <w:sz w:val="18"/>
                <w:szCs w:val="18"/>
              </w:rPr>
            </w:pPr>
            <w:r w:rsidRPr="00085D2A">
              <w:rPr>
                <w:sz w:val="18"/>
                <w:szCs w:val="18"/>
              </w:rPr>
              <w:t>6</w:t>
            </w:r>
          </w:p>
        </w:tc>
      </w:tr>
      <w:tr w:rsidR="00AD1C35" w:rsidRPr="00085D2A" w:rsidTr="00D53BCC">
        <w:trPr>
          <w:trHeight w:val="373"/>
        </w:trPr>
        <w:tc>
          <w:tcPr>
            <w:tcW w:w="3120" w:type="dxa"/>
            <w:shd w:val="clear" w:color="auto" w:fill="D9D9D9"/>
            <w:vAlign w:val="center"/>
          </w:tcPr>
          <w:p w:rsidR="00AD1C35" w:rsidRPr="00085D2A" w:rsidRDefault="00AD1C35" w:rsidP="00085D2A">
            <w:pPr>
              <w:pStyle w:val="TableParagraph"/>
              <w:spacing w:before="117" w:line="236" w:lineRule="exact"/>
              <w:ind w:left="0" w:right="1484"/>
              <w:jc w:val="right"/>
              <w:rPr>
                <w:b/>
                <w:sz w:val="18"/>
                <w:szCs w:val="18"/>
              </w:rPr>
            </w:pPr>
            <w:r w:rsidRPr="00085D2A">
              <w:rPr>
                <w:b/>
                <w:sz w:val="18"/>
                <w:szCs w:val="18"/>
              </w:rPr>
              <w:t>11</w:t>
            </w:r>
          </w:p>
        </w:tc>
        <w:tc>
          <w:tcPr>
            <w:tcW w:w="3542" w:type="dxa"/>
            <w:vAlign w:val="center"/>
          </w:tcPr>
          <w:p w:rsidR="00AD1C35" w:rsidRPr="00085D2A" w:rsidRDefault="00AD1C35" w:rsidP="00085D2A">
            <w:pPr>
              <w:pStyle w:val="TableParagraph"/>
              <w:spacing w:before="60"/>
              <w:ind w:left="0" w:right="1407" w:firstLine="1268"/>
              <w:jc w:val="center"/>
              <w:rPr>
                <w:sz w:val="18"/>
                <w:szCs w:val="18"/>
              </w:rPr>
            </w:pPr>
            <w:r w:rsidRPr="00085D2A">
              <w:rPr>
                <w:sz w:val="18"/>
                <w:szCs w:val="18"/>
              </w:rPr>
              <w:t>3</w:t>
            </w:r>
          </w:p>
        </w:tc>
      </w:tr>
      <w:tr w:rsidR="00AD1C35" w:rsidRPr="00085D2A" w:rsidTr="00D53BCC">
        <w:trPr>
          <w:trHeight w:val="373"/>
        </w:trPr>
        <w:tc>
          <w:tcPr>
            <w:tcW w:w="3120" w:type="dxa"/>
            <w:shd w:val="clear" w:color="auto" w:fill="D9D9D9"/>
            <w:vAlign w:val="center"/>
          </w:tcPr>
          <w:p w:rsidR="00AD1C35" w:rsidRPr="00085D2A" w:rsidRDefault="00AD1C35" w:rsidP="00085D2A">
            <w:pPr>
              <w:pStyle w:val="TableParagraph"/>
              <w:spacing w:before="117" w:line="236" w:lineRule="exact"/>
              <w:ind w:left="0" w:right="1484"/>
              <w:jc w:val="right"/>
              <w:rPr>
                <w:b/>
                <w:sz w:val="18"/>
                <w:szCs w:val="18"/>
              </w:rPr>
            </w:pPr>
            <w:r w:rsidRPr="00085D2A">
              <w:rPr>
                <w:b/>
                <w:sz w:val="18"/>
                <w:szCs w:val="18"/>
              </w:rPr>
              <w:t>12</w:t>
            </w:r>
          </w:p>
        </w:tc>
        <w:tc>
          <w:tcPr>
            <w:tcW w:w="3542" w:type="dxa"/>
            <w:vAlign w:val="center"/>
          </w:tcPr>
          <w:p w:rsidR="00AD1C35" w:rsidRPr="00085D2A" w:rsidRDefault="00AD1C35" w:rsidP="00085D2A">
            <w:pPr>
              <w:pStyle w:val="TableParagraph"/>
              <w:spacing w:before="59"/>
              <w:ind w:left="0" w:right="1407" w:firstLine="1268"/>
              <w:jc w:val="center"/>
              <w:rPr>
                <w:sz w:val="18"/>
                <w:szCs w:val="18"/>
              </w:rPr>
            </w:pPr>
            <w:r w:rsidRPr="00085D2A">
              <w:rPr>
                <w:sz w:val="18"/>
                <w:szCs w:val="18"/>
              </w:rPr>
              <w:t>4</w:t>
            </w:r>
          </w:p>
        </w:tc>
      </w:tr>
      <w:tr w:rsidR="00AD1C35" w:rsidRPr="00085D2A" w:rsidTr="00D53BCC">
        <w:trPr>
          <w:trHeight w:val="373"/>
        </w:trPr>
        <w:tc>
          <w:tcPr>
            <w:tcW w:w="3120" w:type="dxa"/>
            <w:shd w:val="clear" w:color="auto" w:fill="D9D9D9"/>
            <w:vAlign w:val="center"/>
          </w:tcPr>
          <w:p w:rsidR="00AD1C35" w:rsidRPr="00085D2A" w:rsidRDefault="00AD1C35" w:rsidP="00085D2A">
            <w:pPr>
              <w:pStyle w:val="TableParagraph"/>
              <w:spacing w:line="239" w:lineRule="exact"/>
              <w:ind w:left="0" w:right="1484"/>
              <w:jc w:val="right"/>
              <w:rPr>
                <w:b/>
                <w:sz w:val="18"/>
                <w:szCs w:val="18"/>
              </w:rPr>
            </w:pPr>
            <w:r w:rsidRPr="00085D2A">
              <w:rPr>
                <w:b/>
                <w:sz w:val="18"/>
                <w:szCs w:val="18"/>
              </w:rPr>
              <w:t>13</w:t>
            </w:r>
          </w:p>
        </w:tc>
        <w:tc>
          <w:tcPr>
            <w:tcW w:w="3542" w:type="dxa"/>
            <w:vAlign w:val="center"/>
          </w:tcPr>
          <w:p w:rsidR="00AD1C35" w:rsidRPr="00085D2A" w:rsidRDefault="00AD1C35" w:rsidP="00085D2A">
            <w:pPr>
              <w:pStyle w:val="TableParagraph"/>
              <w:spacing w:before="57"/>
              <w:ind w:left="0" w:right="1407" w:firstLine="1268"/>
              <w:jc w:val="center"/>
              <w:rPr>
                <w:sz w:val="18"/>
                <w:szCs w:val="18"/>
              </w:rPr>
            </w:pPr>
            <w:r w:rsidRPr="00085D2A">
              <w:rPr>
                <w:sz w:val="18"/>
                <w:szCs w:val="18"/>
              </w:rPr>
              <w:t>2</w:t>
            </w:r>
          </w:p>
        </w:tc>
      </w:tr>
      <w:tr w:rsidR="00AD1C35" w:rsidRPr="00085D2A" w:rsidTr="00D53BCC">
        <w:trPr>
          <w:trHeight w:val="371"/>
        </w:trPr>
        <w:tc>
          <w:tcPr>
            <w:tcW w:w="3120" w:type="dxa"/>
            <w:shd w:val="clear" w:color="auto" w:fill="D9D9D9"/>
            <w:vAlign w:val="center"/>
          </w:tcPr>
          <w:p w:rsidR="00AD1C35" w:rsidRPr="00085D2A" w:rsidRDefault="00AD1C35" w:rsidP="00085D2A">
            <w:pPr>
              <w:pStyle w:val="TableParagraph"/>
              <w:spacing w:line="236" w:lineRule="exact"/>
              <w:ind w:left="0" w:right="1484"/>
              <w:jc w:val="right"/>
              <w:rPr>
                <w:b/>
                <w:sz w:val="18"/>
                <w:szCs w:val="18"/>
              </w:rPr>
            </w:pPr>
            <w:r w:rsidRPr="00085D2A">
              <w:rPr>
                <w:b/>
                <w:sz w:val="18"/>
                <w:szCs w:val="18"/>
              </w:rPr>
              <w:t>14</w:t>
            </w:r>
          </w:p>
        </w:tc>
        <w:tc>
          <w:tcPr>
            <w:tcW w:w="3542" w:type="dxa"/>
            <w:vAlign w:val="center"/>
          </w:tcPr>
          <w:p w:rsidR="00AD1C35" w:rsidRPr="00085D2A" w:rsidRDefault="00AD1C35" w:rsidP="00085D2A">
            <w:pPr>
              <w:pStyle w:val="TableParagraph"/>
              <w:spacing w:before="57"/>
              <w:ind w:left="0" w:right="1407" w:firstLine="1268"/>
              <w:jc w:val="center"/>
              <w:rPr>
                <w:sz w:val="18"/>
                <w:szCs w:val="18"/>
              </w:rPr>
            </w:pPr>
            <w:r w:rsidRPr="00085D2A">
              <w:rPr>
                <w:sz w:val="18"/>
                <w:szCs w:val="18"/>
              </w:rPr>
              <w:t>2</w:t>
            </w:r>
          </w:p>
        </w:tc>
      </w:tr>
      <w:tr w:rsidR="00AD1C35" w:rsidRPr="00085D2A" w:rsidTr="00D53BCC">
        <w:trPr>
          <w:trHeight w:val="373"/>
        </w:trPr>
        <w:tc>
          <w:tcPr>
            <w:tcW w:w="3120" w:type="dxa"/>
            <w:shd w:val="clear" w:color="auto" w:fill="D9D9D9"/>
            <w:vAlign w:val="center"/>
          </w:tcPr>
          <w:p w:rsidR="00AD1C35" w:rsidRPr="00085D2A" w:rsidRDefault="00AD1C35" w:rsidP="00085D2A">
            <w:pPr>
              <w:pStyle w:val="TableParagraph"/>
              <w:spacing w:before="117" w:line="236" w:lineRule="exact"/>
              <w:ind w:left="0" w:right="1484"/>
              <w:jc w:val="right"/>
              <w:rPr>
                <w:b/>
                <w:sz w:val="18"/>
                <w:szCs w:val="18"/>
              </w:rPr>
            </w:pPr>
            <w:r w:rsidRPr="00085D2A">
              <w:rPr>
                <w:b/>
                <w:sz w:val="18"/>
                <w:szCs w:val="18"/>
              </w:rPr>
              <w:t>15</w:t>
            </w:r>
          </w:p>
        </w:tc>
        <w:tc>
          <w:tcPr>
            <w:tcW w:w="3542" w:type="dxa"/>
            <w:vAlign w:val="center"/>
          </w:tcPr>
          <w:p w:rsidR="00AD1C35" w:rsidRPr="00085D2A" w:rsidRDefault="00AD1C35" w:rsidP="00085D2A">
            <w:pPr>
              <w:pStyle w:val="TableParagraph"/>
              <w:spacing w:before="59"/>
              <w:ind w:left="0" w:right="1407" w:firstLine="1268"/>
              <w:jc w:val="center"/>
              <w:rPr>
                <w:sz w:val="18"/>
                <w:szCs w:val="18"/>
              </w:rPr>
            </w:pPr>
            <w:r w:rsidRPr="00085D2A">
              <w:rPr>
                <w:sz w:val="18"/>
                <w:szCs w:val="18"/>
              </w:rPr>
              <w:t>5</w:t>
            </w:r>
          </w:p>
        </w:tc>
      </w:tr>
      <w:tr w:rsidR="00AD1C35" w:rsidRPr="00085D2A" w:rsidTr="00D53BCC">
        <w:trPr>
          <w:trHeight w:val="373"/>
        </w:trPr>
        <w:tc>
          <w:tcPr>
            <w:tcW w:w="3120" w:type="dxa"/>
            <w:shd w:val="clear" w:color="auto" w:fill="D9D9D9"/>
            <w:vAlign w:val="center"/>
          </w:tcPr>
          <w:p w:rsidR="00AD1C35" w:rsidRPr="00085D2A" w:rsidRDefault="00AD1C35" w:rsidP="00085D2A">
            <w:pPr>
              <w:pStyle w:val="TableParagraph"/>
              <w:spacing w:before="117" w:line="236" w:lineRule="exact"/>
              <w:ind w:left="0" w:right="1484"/>
              <w:jc w:val="right"/>
              <w:rPr>
                <w:b/>
                <w:sz w:val="18"/>
                <w:szCs w:val="18"/>
              </w:rPr>
            </w:pPr>
            <w:r w:rsidRPr="00085D2A">
              <w:rPr>
                <w:b/>
                <w:sz w:val="18"/>
                <w:szCs w:val="18"/>
              </w:rPr>
              <w:t>16</w:t>
            </w:r>
          </w:p>
        </w:tc>
        <w:tc>
          <w:tcPr>
            <w:tcW w:w="3542" w:type="dxa"/>
            <w:vAlign w:val="center"/>
          </w:tcPr>
          <w:p w:rsidR="00AD1C35" w:rsidRPr="00085D2A" w:rsidRDefault="00AD1C35" w:rsidP="00085D2A">
            <w:pPr>
              <w:pStyle w:val="TableParagraph"/>
              <w:spacing w:before="59"/>
              <w:ind w:left="0" w:right="1407" w:firstLine="1268"/>
              <w:jc w:val="center"/>
              <w:rPr>
                <w:sz w:val="18"/>
                <w:szCs w:val="18"/>
              </w:rPr>
            </w:pPr>
            <w:r w:rsidRPr="00085D2A">
              <w:rPr>
                <w:sz w:val="18"/>
                <w:szCs w:val="18"/>
              </w:rPr>
              <w:t>1</w:t>
            </w:r>
          </w:p>
        </w:tc>
      </w:tr>
      <w:tr w:rsidR="00AD1C35" w:rsidRPr="00085D2A" w:rsidTr="00D53BCC">
        <w:trPr>
          <w:trHeight w:val="373"/>
        </w:trPr>
        <w:tc>
          <w:tcPr>
            <w:tcW w:w="3120" w:type="dxa"/>
            <w:shd w:val="clear" w:color="auto" w:fill="D9D9D9"/>
            <w:vAlign w:val="center"/>
          </w:tcPr>
          <w:p w:rsidR="00AD1C35" w:rsidRPr="00085D2A" w:rsidRDefault="00AD1C35" w:rsidP="00085D2A">
            <w:pPr>
              <w:pStyle w:val="TableParagraph"/>
              <w:spacing w:line="239" w:lineRule="exact"/>
              <w:ind w:left="0" w:right="1484"/>
              <w:jc w:val="right"/>
              <w:rPr>
                <w:b/>
                <w:sz w:val="18"/>
                <w:szCs w:val="18"/>
              </w:rPr>
            </w:pPr>
            <w:r w:rsidRPr="00085D2A">
              <w:rPr>
                <w:b/>
                <w:sz w:val="18"/>
                <w:szCs w:val="18"/>
              </w:rPr>
              <w:t>17</w:t>
            </w:r>
          </w:p>
        </w:tc>
        <w:tc>
          <w:tcPr>
            <w:tcW w:w="3542" w:type="dxa"/>
            <w:vAlign w:val="center"/>
          </w:tcPr>
          <w:p w:rsidR="00AD1C35" w:rsidRPr="00085D2A" w:rsidRDefault="00AD1C35" w:rsidP="00085D2A">
            <w:pPr>
              <w:pStyle w:val="TableParagraph"/>
              <w:spacing w:before="57"/>
              <w:ind w:left="0" w:right="1407" w:firstLine="1268"/>
              <w:jc w:val="center"/>
              <w:rPr>
                <w:sz w:val="18"/>
                <w:szCs w:val="18"/>
              </w:rPr>
            </w:pPr>
            <w:r w:rsidRPr="00085D2A">
              <w:rPr>
                <w:sz w:val="18"/>
                <w:szCs w:val="18"/>
              </w:rPr>
              <w:t>3</w:t>
            </w:r>
          </w:p>
        </w:tc>
      </w:tr>
      <w:tr w:rsidR="00AD1C35" w:rsidRPr="00085D2A" w:rsidTr="00D53BCC">
        <w:trPr>
          <w:trHeight w:val="371"/>
        </w:trPr>
        <w:tc>
          <w:tcPr>
            <w:tcW w:w="3120" w:type="dxa"/>
            <w:shd w:val="clear" w:color="auto" w:fill="D9D9D9"/>
            <w:vAlign w:val="center"/>
          </w:tcPr>
          <w:p w:rsidR="00AD1C35" w:rsidRPr="00085D2A" w:rsidRDefault="00AD1C35" w:rsidP="00085D2A">
            <w:pPr>
              <w:pStyle w:val="TableParagraph"/>
              <w:spacing w:line="236" w:lineRule="exact"/>
              <w:ind w:left="0" w:right="1484"/>
              <w:jc w:val="right"/>
              <w:rPr>
                <w:b/>
                <w:sz w:val="18"/>
                <w:szCs w:val="18"/>
              </w:rPr>
            </w:pPr>
            <w:r w:rsidRPr="00085D2A">
              <w:rPr>
                <w:b/>
                <w:sz w:val="18"/>
                <w:szCs w:val="18"/>
              </w:rPr>
              <w:t>18</w:t>
            </w:r>
          </w:p>
        </w:tc>
        <w:tc>
          <w:tcPr>
            <w:tcW w:w="3542" w:type="dxa"/>
            <w:vAlign w:val="center"/>
          </w:tcPr>
          <w:p w:rsidR="00AD1C35" w:rsidRPr="00085D2A" w:rsidRDefault="00AD1C35" w:rsidP="00085D2A">
            <w:pPr>
              <w:pStyle w:val="TableParagraph"/>
              <w:spacing w:before="57"/>
              <w:ind w:left="0" w:right="1407" w:firstLine="1268"/>
              <w:jc w:val="center"/>
              <w:rPr>
                <w:sz w:val="18"/>
                <w:szCs w:val="18"/>
              </w:rPr>
            </w:pPr>
            <w:r w:rsidRPr="00085D2A">
              <w:rPr>
                <w:sz w:val="18"/>
                <w:szCs w:val="18"/>
              </w:rPr>
              <w:t>1</w:t>
            </w:r>
          </w:p>
        </w:tc>
      </w:tr>
      <w:tr w:rsidR="00AD1C35" w:rsidRPr="00085D2A" w:rsidTr="00D53BCC">
        <w:trPr>
          <w:trHeight w:val="373"/>
        </w:trPr>
        <w:tc>
          <w:tcPr>
            <w:tcW w:w="3120" w:type="dxa"/>
            <w:shd w:val="clear" w:color="auto" w:fill="D9D9D9"/>
            <w:vAlign w:val="center"/>
          </w:tcPr>
          <w:p w:rsidR="00AD1C35" w:rsidRPr="00085D2A" w:rsidRDefault="00AD1C35" w:rsidP="00085D2A">
            <w:pPr>
              <w:pStyle w:val="TableParagraph"/>
              <w:spacing w:before="117" w:line="236" w:lineRule="exact"/>
              <w:ind w:left="0" w:right="1484"/>
              <w:jc w:val="right"/>
              <w:rPr>
                <w:b/>
                <w:sz w:val="18"/>
                <w:szCs w:val="18"/>
              </w:rPr>
            </w:pPr>
            <w:r w:rsidRPr="00085D2A">
              <w:rPr>
                <w:b/>
                <w:sz w:val="18"/>
                <w:szCs w:val="18"/>
              </w:rPr>
              <w:t>19</w:t>
            </w:r>
          </w:p>
        </w:tc>
        <w:tc>
          <w:tcPr>
            <w:tcW w:w="3542" w:type="dxa"/>
            <w:vAlign w:val="center"/>
          </w:tcPr>
          <w:p w:rsidR="00AD1C35" w:rsidRPr="00085D2A" w:rsidRDefault="00AD1C35" w:rsidP="00085D2A">
            <w:pPr>
              <w:pStyle w:val="TableParagraph"/>
              <w:spacing w:before="59"/>
              <w:ind w:left="0" w:right="1407" w:firstLine="1268"/>
              <w:jc w:val="center"/>
              <w:rPr>
                <w:sz w:val="18"/>
                <w:szCs w:val="18"/>
              </w:rPr>
            </w:pPr>
            <w:r w:rsidRPr="00085D2A">
              <w:rPr>
                <w:sz w:val="18"/>
                <w:szCs w:val="18"/>
              </w:rPr>
              <w:t>7</w:t>
            </w:r>
          </w:p>
        </w:tc>
      </w:tr>
      <w:tr w:rsidR="00AD1C35" w:rsidRPr="00085D2A" w:rsidTr="00D53BCC">
        <w:trPr>
          <w:trHeight w:val="374"/>
        </w:trPr>
        <w:tc>
          <w:tcPr>
            <w:tcW w:w="3120" w:type="dxa"/>
            <w:shd w:val="clear" w:color="auto" w:fill="D9D9D9"/>
            <w:vAlign w:val="center"/>
          </w:tcPr>
          <w:p w:rsidR="00AD1C35" w:rsidRPr="00085D2A" w:rsidRDefault="00AD1C35" w:rsidP="00085D2A">
            <w:pPr>
              <w:pStyle w:val="TableParagraph"/>
              <w:spacing w:line="239" w:lineRule="exact"/>
              <w:ind w:left="0" w:right="1484"/>
              <w:jc w:val="right"/>
              <w:rPr>
                <w:b/>
                <w:sz w:val="18"/>
                <w:szCs w:val="18"/>
              </w:rPr>
            </w:pPr>
            <w:r w:rsidRPr="00085D2A">
              <w:rPr>
                <w:b/>
                <w:sz w:val="18"/>
                <w:szCs w:val="18"/>
              </w:rPr>
              <w:t>20</w:t>
            </w:r>
          </w:p>
        </w:tc>
        <w:tc>
          <w:tcPr>
            <w:tcW w:w="3542" w:type="dxa"/>
            <w:vAlign w:val="center"/>
          </w:tcPr>
          <w:p w:rsidR="00AD1C35" w:rsidRPr="00085D2A" w:rsidRDefault="00AD1C35" w:rsidP="00085D2A">
            <w:pPr>
              <w:pStyle w:val="TableParagraph"/>
              <w:spacing w:before="58"/>
              <w:ind w:left="0" w:right="1407" w:firstLine="1268"/>
              <w:jc w:val="center"/>
              <w:rPr>
                <w:sz w:val="18"/>
                <w:szCs w:val="18"/>
              </w:rPr>
            </w:pPr>
            <w:r w:rsidRPr="00085D2A">
              <w:rPr>
                <w:sz w:val="18"/>
                <w:szCs w:val="18"/>
              </w:rPr>
              <w:t>5</w:t>
            </w:r>
          </w:p>
        </w:tc>
      </w:tr>
      <w:tr w:rsidR="00AD1C35" w:rsidRPr="00085D2A" w:rsidTr="00D53BCC">
        <w:trPr>
          <w:trHeight w:val="373"/>
        </w:trPr>
        <w:tc>
          <w:tcPr>
            <w:tcW w:w="3120" w:type="dxa"/>
            <w:shd w:val="clear" w:color="auto" w:fill="D9D9D9"/>
            <w:vAlign w:val="center"/>
          </w:tcPr>
          <w:p w:rsidR="00AD1C35" w:rsidRPr="00085D2A" w:rsidRDefault="00AD1C35" w:rsidP="00085D2A">
            <w:pPr>
              <w:pStyle w:val="TableParagraph"/>
              <w:spacing w:line="239" w:lineRule="exact"/>
              <w:ind w:left="0" w:right="1484"/>
              <w:jc w:val="right"/>
              <w:rPr>
                <w:b/>
                <w:sz w:val="18"/>
                <w:szCs w:val="18"/>
              </w:rPr>
            </w:pPr>
            <w:r w:rsidRPr="00085D2A">
              <w:rPr>
                <w:b/>
                <w:sz w:val="18"/>
                <w:szCs w:val="18"/>
              </w:rPr>
              <w:t>21</w:t>
            </w:r>
          </w:p>
        </w:tc>
        <w:tc>
          <w:tcPr>
            <w:tcW w:w="3542" w:type="dxa"/>
            <w:vAlign w:val="center"/>
          </w:tcPr>
          <w:p w:rsidR="00AD1C35" w:rsidRPr="00085D2A" w:rsidRDefault="00AD1C35" w:rsidP="00085D2A">
            <w:pPr>
              <w:pStyle w:val="TableParagraph"/>
              <w:spacing w:before="57"/>
              <w:ind w:left="0" w:right="1407" w:firstLine="1268"/>
              <w:jc w:val="center"/>
              <w:rPr>
                <w:sz w:val="18"/>
                <w:szCs w:val="18"/>
              </w:rPr>
            </w:pPr>
            <w:r w:rsidRPr="00085D2A">
              <w:rPr>
                <w:sz w:val="18"/>
                <w:szCs w:val="18"/>
              </w:rPr>
              <w:t>3</w:t>
            </w:r>
          </w:p>
        </w:tc>
      </w:tr>
      <w:tr w:rsidR="00AD1C35" w:rsidRPr="00085D2A" w:rsidTr="00D53BCC">
        <w:trPr>
          <w:trHeight w:val="371"/>
        </w:trPr>
        <w:tc>
          <w:tcPr>
            <w:tcW w:w="3120" w:type="dxa"/>
            <w:shd w:val="clear" w:color="auto" w:fill="D9D9D9"/>
            <w:vAlign w:val="center"/>
          </w:tcPr>
          <w:p w:rsidR="00AD1C35" w:rsidRPr="00085D2A" w:rsidRDefault="00AD1C35" w:rsidP="00085D2A">
            <w:pPr>
              <w:pStyle w:val="TableParagraph"/>
              <w:spacing w:line="236" w:lineRule="exact"/>
              <w:ind w:left="0" w:right="1484"/>
              <w:jc w:val="right"/>
              <w:rPr>
                <w:b/>
                <w:sz w:val="18"/>
                <w:szCs w:val="18"/>
              </w:rPr>
            </w:pPr>
            <w:r w:rsidRPr="00085D2A">
              <w:rPr>
                <w:b/>
                <w:sz w:val="18"/>
                <w:szCs w:val="18"/>
              </w:rPr>
              <w:t>22</w:t>
            </w:r>
          </w:p>
        </w:tc>
        <w:tc>
          <w:tcPr>
            <w:tcW w:w="3542" w:type="dxa"/>
            <w:vAlign w:val="center"/>
          </w:tcPr>
          <w:p w:rsidR="00AD1C35" w:rsidRPr="00085D2A" w:rsidRDefault="00AD1C35" w:rsidP="00085D2A">
            <w:pPr>
              <w:pStyle w:val="TableParagraph"/>
              <w:spacing w:before="57"/>
              <w:ind w:left="0" w:right="1407" w:firstLine="1268"/>
              <w:jc w:val="center"/>
              <w:rPr>
                <w:sz w:val="18"/>
                <w:szCs w:val="18"/>
              </w:rPr>
            </w:pPr>
            <w:r w:rsidRPr="00085D2A">
              <w:rPr>
                <w:sz w:val="18"/>
                <w:szCs w:val="18"/>
              </w:rPr>
              <w:t>1</w:t>
            </w:r>
          </w:p>
        </w:tc>
      </w:tr>
      <w:tr w:rsidR="00AD1C35" w:rsidRPr="00085D2A" w:rsidTr="00D53BCC">
        <w:trPr>
          <w:trHeight w:val="373"/>
        </w:trPr>
        <w:tc>
          <w:tcPr>
            <w:tcW w:w="3120" w:type="dxa"/>
            <w:shd w:val="clear" w:color="auto" w:fill="D9D9D9"/>
            <w:vAlign w:val="center"/>
          </w:tcPr>
          <w:p w:rsidR="00AD1C35" w:rsidRPr="00085D2A" w:rsidRDefault="00AD1C35" w:rsidP="00085D2A">
            <w:pPr>
              <w:pStyle w:val="TableParagraph"/>
              <w:spacing w:before="117" w:line="236" w:lineRule="exact"/>
              <w:ind w:left="0" w:right="1484"/>
              <w:jc w:val="right"/>
              <w:rPr>
                <w:b/>
                <w:sz w:val="18"/>
                <w:szCs w:val="18"/>
              </w:rPr>
            </w:pPr>
            <w:r w:rsidRPr="00085D2A">
              <w:rPr>
                <w:b/>
                <w:sz w:val="18"/>
                <w:szCs w:val="18"/>
              </w:rPr>
              <w:t>23</w:t>
            </w:r>
          </w:p>
        </w:tc>
        <w:tc>
          <w:tcPr>
            <w:tcW w:w="3542" w:type="dxa"/>
            <w:vAlign w:val="center"/>
          </w:tcPr>
          <w:p w:rsidR="00AD1C35" w:rsidRPr="00085D2A" w:rsidRDefault="00AD1C35" w:rsidP="00085D2A">
            <w:pPr>
              <w:pStyle w:val="TableParagraph"/>
              <w:spacing w:before="59"/>
              <w:ind w:left="0" w:right="1407" w:firstLine="1268"/>
              <w:jc w:val="center"/>
              <w:rPr>
                <w:sz w:val="18"/>
                <w:szCs w:val="18"/>
              </w:rPr>
            </w:pPr>
            <w:r w:rsidRPr="00085D2A">
              <w:rPr>
                <w:sz w:val="18"/>
                <w:szCs w:val="18"/>
              </w:rPr>
              <w:t>2</w:t>
            </w:r>
          </w:p>
        </w:tc>
      </w:tr>
      <w:tr w:rsidR="00AD1C35" w:rsidRPr="00085D2A" w:rsidTr="00D53BCC">
        <w:trPr>
          <w:trHeight w:val="373"/>
        </w:trPr>
        <w:tc>
          <w:tcPr>
            <w:tcW w:w="3120" w:type="dxa"/>
            <w:shd w:val="clear" w:color="auto" w:fill="D9D9D9"/>
            <w:vAlign w:val="center"/>
          </w:tcPr>
          <w:p w:rsidR="00AD1C35" w:rsidRPr="00085D2A" w:rsidRDefault="00AD1C35" w:rsidP="00085D2A">
            <w:pPr>
              <w:pStyle w:val="TableParagraph"/>
              <w:spacing w:line="239" w:lineRule="exact"/>
              <w:ind w:left="0" w:right="1484"/>
              <w:jc w:val="right"/>
              <w:rPr>
                <w:b/>
                <w:sz w:val="18"/>
                <w:szCs w:val="18"/>
              </w:rPr>
            </w:pPr>
            <w:r w:rsidRPr="00085D2A">
              <w:rPr>
                <w:b/>
                <w:sz w:val="18"/>
                <w:szCs w:val="18"/>
              </w:rPr>
              <w:t>25</w:t>
            </w:r>
          </w:p>
        </w:tc>
        <w:tc>
          <w:tcPr>
            <w:tcW w:w="3542" w:type="dxa"/>
            <w:vAlign w:val="center"/>
          </w:tcPr>
          <w:p w:rsidR="00AD1C35" w:rsidRPr="00085D2A" w:rsidRDefault="00AD1C35" w:rsidP="00085D2A">
            <w:pPr>
              <w:pStyle w:val="TableParagraph"/>
              <w:spacing w:before="57"/>
              <w:ind w:left="0" w:right="1407" w:firstLine="1268"/>
              <w:jc w:val="center"/>
              <w:rPr>
                <w:sz w:val="18"/>
                <w:szCs w:val="18"/>
              </w:rPr>
            </w:pPr>
            <w:r w:rsidRPr="00085D2A">
              <w:rPr>
                <w:sz w:val="18"/>
                <w:szCs w:val="18"/>
              </w:rPr>
              <w:t>4</w:t>
            </w:r>
          </w:p>
        </w:tc>
      </w:tr>
      <w:tr w:rsidR="00AD1C35" w:rsidRPr="00085D2A" w:rsidTr="00D53BCC">
        <w:trPr>
          <w:trHeight w:val="373"/>
        </w:trPr>
        <w:tc>
          <w:tcPr>
            <w:tcW w:w="3120" w:type="dxa"/>
            <w:shd w:val="clear" w:color="auto" w:fill="D9D9D9"/>
            <w:vAlign w:val="center"/>
          </w:tcPr>
          <w:p w:rsidR="00AD1C35" w:rsidRPr="00085D2A" w:rsidRDefault="00AD1C35" w:rsidP="00085D2A">
            <w:pPr>
              <w:pStyle w:val="TableParagraph"/>
              <w:spacing w:line="239" w:lineRule="exact"/>
              <w:ind w:left="0" w:right="1484"/>
              <w:jc w:val="right"/>
              <w:rPr>
                <w:b/>
                <w:sz w:val="18"/>
                <w:szCs w:val="18"/>
              </w:rPr>
            </w:pPr>
            <w:r w:rsidRPr="00085D2A">
              <w:rPr>
                <w:b/>
                <w:sz w:val="18"/>
                <w:szCs w:val="18"/>
              </w:rPr>
              <w:t>26</w:t>
            </w:r>
          </w:p>
        </w:tc>
        <w:tc>
          <w:tcPr>
            <w:tcW w:w="3542" w:type="dxa"/>
            <w:vAlign w:val="center"/>
          </w:tcPr>
          <w:p w:rsidR="00AD1C35" w:rsidRPr="00085D2A" w:rsidRDefault="00AD1C35" w:rsidP="00085D2A">
            <w:pPr>
              <w:pStyle w:val="TableParagraph"/>
              <w:spacing w:before="57"/>
              <w:ind w:left="0" w:right="1407" w:firstLine="1268"/>
              <w:jc w:val="center"/>
              <w:rPr>
                <w:sz w:val="18"/>
                <w:szCs w:val="18"/>
              </w:rPr>
            </w:pPr>
            <w:r w:rsidRPr="00085D2A">
              <w:rPr>
                <w:sz w:val="18"/>
                <w:szCs w:val="18"/>
              </w:rPr>
              <w:t>2</w:t>
            </w:r>
          </w:p>
        </w:tc>
      </w:tr>
      <w:tr w:rsidR="00AD1C35" w:rsidRPr="00085D2A" w:rsidTr="00D53BCC">
        <w:trPr>
          <w:trHeight w:val="373"/>
        </w:trPr>
        <w:tc>
          <w:tcPr>
            <w:tcW w:w="3120" w:type="dxa"/>
            <w:shd w:val="clear" w:color="auto" w:fill="D9D9D9"/>
            <w:vAlign w:val="center"/>
          </w:tcPr>
          <w:p w:rsidR="00AD1C35" w:rsidRPr="00085D2A" w:rsidRDefault="00AD1C35" w:rsidP="00085D2A">
            <w:pPr>
              <w:pStyle w:val="TableParagraph"/>
              <w:spacing w:before="114" w:line="239" w:lineRule="exact"/>
              <w:ind w:left="0" w:right="1484"/>
              <w:jc w:val="right"/>
              <w:rPr>
                <w:b/>
                <w:sz w:val="18"/>
                <w:szCs w:val="18"/>
              </w:rPr>
            </w:pPr>
            <w:r w:rsidRPr="00085D2A">
              <w:rPr>
                <w:b/>
                <w:sz w:val="18"/>
                <w:szCs w:val="18"/>
              </w:rPr>
              <w:t>27</w:t>
            </w:r>
          </w:p>
        </w:tc>
        <w:tc>
          <w:tcPr>
            <w:tcW w:w="3542" w:type="dxa"/>
            <w:vAlign w:val="center"/>
          </w:tcPr>
          <w:p w:rsidR="00AD1C35" w:rsidRPr="00085D2A" w:rsidRDefault="00AD1C35" w:rsidP="00085D2A">
            <w:pPr>
              <w:pStyle w:val="TableParagraph"/>
              <w:spacing w:before="57"/>
              <w:ind w:left="0" w:right="1407" w:firstLine="1268"/>
              <w:jc w:val="center"/>
              <w:rPr>
                <w:sz w:val="18"/>
                <w:szCs w:val="18"/>
              </w:rPr>
            </w:pPr>
            <w:r w:rsidRPr="00085D2A">
              <w:rPr>
                <w:sz w:val="18"/>
                <w:szCs w:val="18"/>
              </w:rPr>
              <w:t>3</w:t>
            </w:r>
          </w:p>
        </w:tc>
      </w:tr>
    </w:tbl>
    <w:tbl>
      <w:tblPr>
        <w:tblStyle w:val="TableNormal4"/>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53"/>
        <w:gridCol w:w="3562"/>
      </w:tblGrid>
      <w:tr w:rsidR="00AD1C35" w:rsidRPr="00085D2A" w:rsidTr="00085D2A">
        <w:trPr>
          <w:trHeight w:val="373"/>
        </w:trPr>
        <w:tc>
          <w:tcPr>
            <w:tcW w:w="3253" w:type="dxa"/>
            <w:tcBorders>
              <w:top w:val="nil"/>
            </w:tcBorders>
            <w:shd w:val="clear" w:color="auto" w:fill="D9D9D9"/>
            <w:vAlign w:val="center"/>
          </w:tcPr>
          <w:p w:rsidR="00AD1C35" w:rsidRPr="00085D2A" w:rsidRDefault="00AD1C35" w:rsidP="00085D2A">
            <w:pPr>
              <w:pStyle w:val="TableParagraph"/>
              <w:spacing w:line="239" w:lineRule="exact"/>
              <w:ind w:left="1481" w:right="1466"/>
              <w:jc w:val="center"/>
              <w:rPr>
                <w:b/>
                <w:sz w:val="18"/>
                <w:szCs w:val="18"/>
              </w:rPr>
            </w:pPr>
            <w:r w:rsidRPr="00085D2A">
              <w:rPr>
                <w:b/>
                <w:sz w:val="18"/>
                <w:szCs w:val="18"/>
              </w:rPr>
              <w:lastRenderedPageBreak/>
              <w:t>28</w:t>
            </w:r>
          </w:p>
        </w:tc>
        <w:tc>
          <w:tcPr>
            <w:tcW w:w="3562" w:type="dxa"/>
            <w:tcBorders>
              <w:top w:val="nil"/>
            </w:tcBorders>
            <w:vAlign w:val="center"/>
          </w:tcPr>
          <w:p w:rsidR="00AD1C35" w:rsidRPr="00085D2A" w:rsidRDefault="00AD1C35" w:rsidP="00085D2A">
            <w:pPr>
              <w:pStyle w:val="TableParagraph"/>
              <w:spacing w:before="57"/>
              <w:ind w:left="15"/>
              <w:jc w:val="center"/>
              <w:rPr>
                <w:sz w:val="18"/>
                <w:szCs w:val="18"/>
              </w:rPr>
            </w:pPr>
            <w:r w:rsidRPr="00085D2A">
              <w:rPr>
                <w:sz w:val="18"/>
                <w:szCs w:val="18"/>
              </w:rPr>
              <w:t>2</w:t>
            </w:r>
          </w:p>
        </w:tc>
      </w:tr>
      <w:tr w:rsidR="00AD1C35" w:rsidRPr="00085D2A" w:rsidTr="00085D2A">
        <w:trPr>
          <w:trHeight w:val="371"/>
        </w:trPr>
        <w:tc>
          <w:tcPr>
            <w:tcW w:w="3253" w:type="dxa"/>
            <w:shd w:val="clear" w:color="auto" w:fill="D9D9D9"/>
            <w:vAlign w:val="center"/>
          </w:tcPr>
          <w:p w:rsidR="00AD1C35" w:rsidRPr="00085D2A" w:rsidRDefault="00AD1C35" w:rsidP="00085D2A">
            <w:pPr>
              <w:pStyle w:val="TableParagraph"/>
              <w:spacing w:line="236" w:lineRule="exact"/>
              <w:ind w:left="1481" w:right="1466"/>
              <w:jc w:val="center"/>
              <w:rPr>
                <w:b/>
                <w:sz w:val="18"/>
                <w:szCs w:val="18"/>
              </w:rPr>
            </w:pPr>
            <w:r w:rsidRPr="00085D2A">
              <w:rPr>
                <w:b/>
                <w:sz w:val="18"/>
                <w:szCs w:val="18"/>
              </w:rPr>
              <w:t>29</w:t>
            </w:r>
          </w:p>
        </w:tc>
        <w:tc>
          <w:tcPr>
            <w:tcW w:w="3562" w:type="dxa"/>
            <w:vAlign w:val="center"/>
          </w:tcPr>
          <w:p w:rsidR="00AD1C35" w:rsidRPr="00085D2A" w:rsidRDefault="00AD1C35" w:rsidP="00085D2A">
            <w:pPr>
              <w:pStyle w:val="TableParagraph"/>
              <w:spacing w:before="57"/>
              <w:ind w:left="15"/>
              <w:jc w:val="center"/>
              <w:rPr>
                <w:sz w:val="18"/>
                <w:szCs w:val="18"/>
              </w:rPr>
            </w:pPr>
            <w:r w:rsidRPr="00085D2A">
              <w:rPr>
                <w:sz w:val="18"/>
                <w:szCs w:val="18"/>
              </w:rPr>
              <w:t>7</w:t>
            </w:r>
          </w:p>
        </w:tc>
      </w:tr>
      <w:tr w:rsidR="00AD1C35" w:rsidRPr="00085D2A" w:rsidTr="00085D2A">
        <w:trPr>
          <w:trHeight w:val="373"/>
        </w:trPr>
        <w:tc>
          <w:tcPr>
            <w:tcW w:w="3253" w:type="dxa"/>
            <w:shd w:val="clear" w:color="auto" w:fill="D9D9D9"/>
            <w:vAlign w:val="center"/>
          </w:tcPr>
          <w:p w:rsidR="00AD1C35" w:rsidRPr="00085D2A" w:rsidRDefault="00AD1C35" w:rsidP="00085D2A">
            <w:pPr>
              <w:pStyle w:val="TableParagraph"/>
              <w:spacing w:before="117" w:line="236" w:lineRule="exact"/>
              <w:ind w:left="1481" w:right="1466"/>
              <w:jc w:val="center"/>
              <w:rPr>
                <w:b/>
                <w:sz w:val="18"/>
                <w:szCs w:val="18"/>
              </w:rPr>
            </w:pPr>
            <w:r w:rsidRPr="00085D2A">
              <w:rPr>
                <w:b/>
                <w:sz w:val="18"/>
                <w:szCs w:val="18"/>
              </w:rPr>
              <w:t>30</w:t>
            </w:r>
          </w:p>
        </w:tc>
        <w:tc>
          <w:tcPr>
            <w:tcW w:w="3562" w:type="dxa"/>
            <w:vAlign w:val="center"/>
          </w:tcPr>
          <w:p w:rsidR="00AD1C35" w:rsidRPr="00085D2A" w:rsidRDefault="00AD1C35" w:rsidP="00085D2A">
            <w:pPr>
              <w:pStyle w:val="TableParagraph"/>
              <w:spacing w:before="59"/>
              <w:ind w:left="15"/>
              <w:jc w:val="center"/>
              <w:rPr>
                <w:sz w:val="18"/>
                <w:szCs w:val="18"/>
              </w:rPr>
            </w:pPr>
            <w:r w:rsidRPr="00085D2A">
              <w:rPr>
                <w:sz w:val="18"/>
                <w:szCs w:val="18"/>
              </w:rPr>
              <w:t>2</w:t>
            </w:r>
          </w:p>
        </w:tc>
      </w:tr>
      <w:tr w:rsidR="00AD1C35" w:rsidRPr="00085D2A" w:rsidTr="00085D2A">
        <w:trPr>
          <w:trHeight w:val="373"/>
        </w:trPr>
        <w:tc>
          <w:tcPr>
            <w:tcW w:w="3253" w:type="dxa"/>
            <w:shd w:val="clear" w:color="auto" w:fill="D9D9D9"/>
            <w:vAlign w:val="center"/>
          </w:tcPr>
          <w:p w:rsidR="00AD1C35" w:rsidRPr="00085D2A" w:rsidRDefault="00AD1C35" w:rsidP="00085D2A">
            <w:pPr>
              <w:pStyle w:val="TableParagraph"/>
              <w:spacing w:line="239" w:lineRule="exact"/>
              <w:ind w:left="1481" w:right="1466"/>
              <w:jc w:val="center"/>
              <w:rPr>
                <w:b/>
                <w:sz w:val="18"/>
                <w:szCs w:val="18"/>
              </w:rPr>
            </w:pPr>
            <w:r w:rsidRPr="00085D2A">
              <w:rPr>
                <w:b/>
                <w:sz w:val="18"/>
                <w:szCs w:val="18"/>
              </w:rPr>
              <w:t>33</w:t>
            </w:r>
          </w:p>
        </w:tc>
        <w:tc>
          <w:tcPr>
            <w:tcW w:w="3562" w:type="dxa"/>
            <w:vAlign w:val="center"/>
          </w:tcPr>
          <w:p w:rsidR="00AD1C35" w:rsidRPr="00085D2A" w:rsidRDefault="00AD1C35" w:rsidP="00085D2A">
            <w:pPr>
              <w:pStyle w:val="TableParagraph"/>
              <w:spacing w:before="57"/>
              <w:ind w:left="15"/>
              <w:jc w:val="center"/>
              <w:rPr>
                <w:sz w:val="18"/>
                <w:szCs w:val="18"/>
              </w:rPr>
            </w:pPr>
            <w:r w:rsidRPr="00085D2A">
              <w:rPr>
                <w:sz w:val="18"/>
                <w:szCs w:val="18"/>
              </w:rPr>
              <w:t>3</w:t>
            </w:r>
          </w:p>
        </w:tc>
      </w:tr>
      <w:tr w:rsidR="00AD1C35" w:rsidRPr="00085D2A" w:rsidTr="00085D2A">
        <w:trPr>
          <w:trHeight w:val="373"/>
        </w:trPr>
        <w:tc>
          <w:tcPr>
            <w:tcW w:w="3253" w:type="dxa"/>
            <w:shd w:val="clear" w:color="auto" w:fill="D9D9D9"/>
            <w:vAlign w:val="center"/>
          </w:tcPr>
          <w:p w:rsidR="00AD1C35" w:rsidRPr="00085D2A" w:rsidRDefault="00AD1C35" w:rsidP="00085D2A">
            <w:pPr>
              <w:pStyle w:val="TableParagraph"/>
              <w:spacing w:line="239" w:lineRule="exact"/>
              <w:ind w:left="1481" w:right="1466"/>
              <w:jc w:val="center"/>
              <w:rPr>
                <w:b/>
                <w:sz w:val="18"/>
                <w:szCs w:val="18"/>
              </w:rPr>
            </w:pPr>
            <w:r w:rsidRPr="00085D2A">
              <w:rPr>
                <w:b/>
                <w:sz w:val="18"/>
                <w:szCs w:val="18"/>
              </w:rPr>
              <w:t>34</w:t>
            </w:r>
          </w:p>
        </w:tc>
        <w:tc>
          <w:tcPr>
            <w:tcW w:w="3562" w:type="dxa"/>
            <w:vAlign w:val="center"/>
          </w:tcPr>
          <w:p w:rsidR="00AD1C35" w:rsidRPr="00085D2A" w:rsidRDefault="00AD1C35" w:rsidP="00085D2A">
            <w:pPr>
              <w:pStyle w:val="TableParagraph"/>
              <w:spacing w:before="57"/>
              <w:ind w:left="15"/>
              <w:jc w:val="center"/>
              <w:rPr>
                <w:sz w:val="18"/>
                <w:szCs w:val="18"/>
              </w:rPr>
            </w:pPr>
            <w:r w:rsidRPr="00085D2A">
              <w:rPr>
                <w:sz w:val="18"/>
                <w:szCs w:val="18"/>
              </w:rPr>
              <w:t>2</w:t>
            </w:r>
          </w:p>
        </w:tc>
      </w:tr>
      <w:tr w:rsidR="00AD1C35" w:rsidRPr="00085D2A" w:rsidTr="00085D2A">
        <w:trPr>
          <w:trHeight w:val="371"/>
        </w:trPr>
        <w:tc>
          <w:tcPr>
            <w:tcW w:w="3253" w:type="dxa"/>
            <w:shd w:val="clear" w:color="auto" w:fill="D9D9D9"/>
            <w:vAlign w:val="center"/>
          </w:tcPr>
          <w:p w:rsidR="00AD1C35" w:rsidRPr="00085D2A" w:rsidRDefault="00AD1C35" w:rsidP="00085D2A">
            <w:pPr>
              <w:pStyle w:val="TableParagraph"/>
              <w:spacing w:line="236" w:lineRule="exact"/>
              <w:ind w:left="1481" w:right="1466"/>
              <w:jc w:val="center"/>
              <w:rPr>
                <w:b/>
                <w:sz w:val="18"/>
                <w:szCs w:val="18"/>
              </w:rPr>
            </w:pPr>
            <w:r w:rsidRPr="00085D2A">
              <w:rPr>
                <w:b/>
                <w:sz w:val="18"/>
                <w:szCs w:val="18"/>
              </w:rPr>
              <w:t>35</w:t>
            </w:r>
          </w:p>
        </w:tc>
        <w:tc>
          <w:tcPr>
            <w:tcW w:w="3562" w:type="dxa"/>
            <w:vAlign w:val="center"/>
          </w:tcPr>
          <w:p w:rsidR="00AD1C35" w:rsidRPr="00085D2A" w:rsidRDefault="00AD1C35" w:rsidP="00085D2A">
            <w:pPr>
              <w:pStyle w:val="TableParagraph"/>
              <w:spacing w:before="57"/>
              <w:ind w:left="15"/>
              <w:jc w:val="center"/>
              <w:rPr>
                <w:sz w:val="18"/>
                <w:szCs w:val="18"/>
              </w:rPr>
            </w:pPr>
            <w:r w:rsidRPr="00085D2A">
              <w:rPr>
                <w:sz w:val="18"/>
                <w:szCs w:val="18"/>
              </w:rPr>
              <w:t>6</w:t>
            </w:r>
          </w:p>
        </w:tc>
      </w:tr>
      <w:tr w:rsidR="00AD1C35" w:rsidRPr="00085D2A" w:rsidTr="00085D2A">
        <w:trPr>
          <w:trHeight w:val="373"/>
        </w:trPr>
        <w:tc>
          <w:tcPr>
            <w:tcW w:w="3253" w:type="dxa"/>
            <w:shd w:val="clear" w:color="auto" w:fill="D9D9D9"/>
            <w:vAlign w:val="center"/>
          </w:tcPr>
          <w:p w:rsidR="00AD1C35" w:rsidRPr="00085D2A" w:rsidRDefault="00AD1C35" w:rsidP="00085D2A">
            <w:pPr>
              <w:pStyle w:val="TableParagraph"/>
              <w:spacing w:before="117" w:line="236" w:lineRule="exact"/>
              <w:ind w:left="1481" w:right="1466"/>
              <w:jc w:val="center"/>
              <w:rPr>
                <w:b/>
                <w:sz w:val="18"/>
                <w:szCs w:val="18"/>
              </w:rPr>
            </w:pPr>
            <w:r w:rsidRPr="00085D2A">
              <w:rPr>
                <w:b/>
                <w:sz w:val="18"/>
                <w:szCs w:val="18"/>
              </w:rPr>
              <w:t>37</w:t>
            </w:r>
          </w:p>
        </w:tc>
        <w:tc>
          <w:tcPr>
            <w:tcW w:w="3562" w:type="dxa"/>
            <w:vAlign w:val="center"/>
          </w:tcPr>
          <w:p w:rsidR="00AD1C35" w:rsidRPr="00085D2A" w:rsidRDefault="00AD1C35" w:rsidP="00085D2A">
            <w:pPr>
              <w:pStyle w:val="TableParagraph"/>
              <w:spacing w:before="59"/>
              <w:ind w:left="15"/>
              <w:jc w:val="center"/>
              <w:rPr>
                <w:sz w:val="18"/>
                <w:szCs w:val="18"/>
              </w:rPr>
            </w:pPr>
            <w:r w:rsidRPr="00085D2A">
              <w:rPr>
                <w:sz w:val="18"/>
                <w:szCs w:val="18"/>
              </w:rPr>
              <w:t>2</w:t>
            </w:r>
          </w:p>
        </w:tc>
      </w:tr>
      <w:tr w:rsidR="00AD1C35" w:rsidRPr="00085D2A" w:rsidTr="00085D2A">
        <w:trPr>
          <w:trHeight w:val="373"/>
        </w:trPr>
        <w:tc>
          <w:tcPr>
            <w:tcW w:w="3253" w:type="dxa"/>
            <w:shd w:val="clear" w:color="auto" w:fill="D9D9D9"/>
            <w:vAlign w:val="center"/>
          </w:tcPr>
          <w:p w:rsidR="00AD1C35" w:rsidRPr="00085D2A" w:rsidRDefault="00AD1C35" w:rsidP="00085D2A">
            <w:pPr>
              <w:pStyle w:val="TableParagraph"/>
              <w:spacing w:line="239" w:lineRule="exact"/>
              <w:ind w:left="1481" w:right="1466"/>
              <w:jc w:val="center"/>
              <w:rPr>
                <w:b/>
                <w:sz w:val="18"/>
                <w:szCs w:val="18"/>
              </w:rPr>
            </w:pPr>
            <w:r w:rsidRPr="00085D2A">
              <w:rPr>
                <w:b/>
                <w:sz w:val="18"/>
                <w:szCs w:val="18"/>
              </w:rPr>
              <w:t>38</w:t>
            </w:r>
          </w:p>
        </w:tc>
        <w:tc>
          <w:tcPr>
            <w:tcW w:w="3562" w:type="dxa"/>
            <w:vAlign w:val="center"/>
          </w:tcPr>
          <w:p w:rsidR="00AD1C35" w:rsidRPr="00085D2A" w:rsidRDefault="00AD1C35" w:rsidP="00085D2A">
            <w:pPr>
              <w:pStyle w:val="TableParagraph"/>
              <w:spacing w:before="57"/>
              <w:ind w:left="15"/>
              <w:jc w:val="center"/>
              <w:rPr>
                <w:sz w:val="18"/>
                <w:szCs w:val="18"/>
              </w:rPr>
            </w:pPr>
            <w:r w:rsidRPr="00085D2A">
              <w:rPr>
                <w:sz w:val="18"/>
                <w:szCs w:val="18"/>
              </w:rPr>
              <w:t>5</w:t>
            </w:r>
          </w:p>
        </w:tc>
      </w:tr>
      <w:tr w:rsidR="00AD1C35" w:rsidRPr="00085D2A" w:rsidTr="00085D2A">
        <w:trPr>
          <w:trHeight w:val="373"/>
        </w:trPr>
        <w:tc>
          <w:tcPr>
            <w:tcW w:w="3253" w:type="dxa"/>
            <w:shd w:val="clear" w:color="auto" w:fill="D9D9D9"/>
            <w:vAlign w:val="center"/>
          </w:tcPr>
          <w:p w:rsidR="00AD1C35" w:rsidRPr="00085D2A" w:rsidRDefault="00AD1C35" w:rsidP="00085D2A">
            <w:pPr>
              <w:pStyle w:val="TableParagraph"/>
              <w:spacing w:line="239" w:lineRule="exact"/>
              <w:ind w:left="1481" w:right="1466"/>
              <w:jc w:val="center"/>
              <w:rPr>
                <w:b/>
                <w:sz w:val="18"/>
                <w:szCs w:val="18"/>
              </w:rPr>
            </w:pPr>
            <w:r w:rsidRPr="00085D2A">
              <w:rPr>
                <w:b/>
                <w:sz w:val="18"/>
                <w:szCs w:val="18"/>
              </w:rPr>
              <w:t>40</w:t>
            </w:r>
          </w:p>
        </w:tc>
        <w:tc>
          <w:tcPr>
            <w:tcW w:w="3562" w:type="dxa"/>
            <w:vAlign w:val="center"/>
          </w:tcPr>
          <w:p w:rsidR="00AD1C35" w:rsidRPr="00085D2A" w:rsidRDefault="00AD1C35" w:rsidP="00085D2A">
            <w:pPr>
              <w:pStyle w:val="TableParagraph"/>
              <w:spacing w:before="57"/>
              <w:ind w:left="15"/>
              <w:jc w:val="center"/>
              <w:rPr>
                <w:sz w:val="18"/>
                <w:szCs w:val="18"/>
              </w:rPr>
            </w:pPr>
            <w:r w:rsidRPr="00085D2A">
              <w:rPr>
                <w:sz w:val="18"/>
                <w:szCs w:val="18"/>
              </w:rPr>
              <w:t>2</w:t>
            </w:r>
          </w:p>
        </w:tc>
      </w:tr>
      <w:tr w:rsidR="00AD1C35" w:rsidRPr="00085D2A" w:rsidTr="00085D2A">
        <w:trPr>
          <w:trHeight w:val="371"/>
        </w:trPr>
        <w:tc>
          <w:tcPr>
            <w:tcW w:w="3253" w:type="dxa"/>
            <w:shd w:val="clear" w:color="auto" w:fill="D9D9D9"/>
            <w:vAlign w:val="center"/>
          </w:tcPr>
          <w:p w:rsidR="00AD1C35" w:rsidRPr="00085D2A" w:rsidRDefault="00AD1C35" w:rsidP="00085D2A">
            <w:pPr>
              <w:pStyle w:val="TableParagraph"/>
              <w:spacing w:line="236" w:lineRule="exact"/>
              <w:ind w:left="1481" w:right="1466"/>
              <w:jc w:val="center"/>
              <w:rPr>
                <w:b/>
                <w:sz w:val="18"/>
                <w:szCs w:val="18"/>
              </w:rPr>
            </w:pPr>
            <w:r w:rsidRPr="00085D2A">
              <w:rPr>
                <w:b/>
                <w:sz w:val="18"/>
                <w:szCs w:val="18"/>
              </w:rPr>
              <w:t>41</w:t>
            </w:r>
          </w:p>
        </w:tc>
        <w:tc>
          <w:tcPr>
            <w:tcW w:w="3562" w:type="dxa"/>
            <w:vAlign w:val="center"/>
          </w:tcPr>
          <w:p w:rsidR="00AD1C35" w:rsidRPr="00085D2A" w:rsidRDefault="00AD1C35" w:rsidP="00085D2A">
            <w:pPr>
              <w:pStyle w:val="TableParagraph"/>
              <w:spacing w:before="57"/>
              <w:ind w:left="15"/>
              <w:jc w:val="center"/>
              <w:rPr>
                <w:sz w:val="18"/>
                <w:szCs w:val="18"/>
              </w:rPr>
            </w:pPr>
            <w:r w:rsidRPr="00085D2A">
              <w:rPr>
                <w:sz w:val="18"/>
                <w:szCs w:val="18"/>
              </w:rPr>
              <w:t>1</w:t>
            </w:r>
          </w:p>
        </w:tc>
      </w:tr>
      <w:tr w:rsidR="00AD1C35" w:rsidRPr="00085D2A" w:rsidTr="00085D2A">
        <w:trPr>
          <w:trHeight w:val="374"/>
        </w:trPr>
        <w:tc>
          <w:tcPr>
            <w:tcW w:w="3253" w:type="dxa"/>
            <w:shd w:val="clear" w:color="auto" w:fill="D9D9D9"/>
            <w:vAlign w:val="center"/>
          </w:tcPr>
          <w:p w:rsidR="00AD1C35" w:rsidRPr="00085D2A" w:rsidRDefault="00AD1C35" w:rsidP="00085D2A">
            <w:pPr>
              <w:pStyle w:val="TableParagraph"/>
              <w:spacing w:before="118" w:line="236" w:lineRule="exact"/>
              <w:ind w:left="1481" w:right="1466"/>
              <w:jc w:val="center"/>
              <w:rPr>
                <w:b/>
                <w:sz w:val="18"/>
                <w:szCs w:val="18"/>
              </w:rPr>
            </w:pPr>
            <w:r w:rsidRPr="00085D2A">
              <w:rPr>
                <w:b/>
                <w:sz w:val="18"/>
                <w:szCs w:val="18"/>
              </w:rPr>
              <w:t>42</w:t>
            </w:r>
          </w:p>
        </w:tc>
        <w:tc>
          <w:tcPr>
            <w:tcW w:w="3562" w:type="dxa"/>
            <w:vAlign w:val="center"/>
          </w:tcPr>
          <w:p w:rsidR="00AD1C35" w:rsidRPr="00085D2A" w:rsidRDefault="00AD1C35" w:rsidP="00085D2A">
            <w:pPr>
              <w:pStyle w:val="TableParagraph"/>
              <w:spacing w:before="60"/>
              <w:ind w:left="15"/>
              <w:jc w:val="center"/>
              <w:rPr>
                <w:sz w:val="18"/>
                <w:szCs w:val="18"/>
              </w:rPr>
            </w:pPr>
            <w:r w:rsidRPr="00085D2A">
              <w:rPr>
                <w:sz w:val="18"/>
                <w:szCs w:val="18"/>
              </w:rPr>
              <w:t>5</w:t>
            </w:r>
          </w:p>
        </w:tc>
      </w:tr>
      <w:tr w:rsidR="00AD1C35" w:rsidRPr="00085D2A" w:rsidTr="00085D2A">
        <w:trPr>
          <w:trHeight w:val="373"/>
        </w:trPr>
        <w:tc>
          <w:tcPr>
            <w:tcW w:w="3253" w:type="dxa"/>
            <w:shd w:val="clear" w:color="auto" w:fill="D9D9D9"/>
            <w:vAlign w:val="center"/>
          </w:tcPr>
          <w:p w:rsidR="00AD1C35" w:rsidRPr="00085D2A" w:rsidRDefault="00AD1C35" w:rsidP="00085D2A">
            <w:pPr>
              <w:pStyle w:val="TableParagraph"/>
              <w:spacing w:line="239" w:lineRule="exact"/>
              <w:ind w:left="1481" w:right="1466"/>
              <w:jc w:val="center"/>
              <w:rPr>
                <w:b/>
                <w:sz w:val="18"/>
                <w:szCs w:val="18"/>
              </w:rPr>
            </w:pPr>
            <w:r w:rsidRPr="00085D2A">
              <w:rPr>
                <w:b/>
                <w:sz w:val="18"/>
                <w:szCs w:val="18"/>
              </w:rPr>
              <w:t>46</w:t>
            </w:r>
          </w:p>
        </w:tc>
        <w:tc>
          <w:tcPr>
            <w:tcW w:w="3562" w:type="dxa"/>
            <w:vAlign w:val="center"/>
          </w:tcPr>
          <w:p w:rsidR="00AD1C35" w:rsidRPr="00085D2A" w:rsidRDefault="00AD1C35" w:rsidP="00085D2A">
            <w:pPr>
              <w:pStyle w:val="TableParagraph"/>
              <w:spacing w:before="57"/>
              <w:ind w:left="15"/>
              <w:jc w:val="center"/>
              <w:rPr>
                <w:sz w:val="18"/>
                <w:szCs w:val="18"/>
              </w:rPr>
            </w:pPr>
            <w:r w:rsidRPr="00085D2A">
              <w:rPr>
                <w:sz w:val="18"/>
                <w:szCs w:val="18"/>
              </w:rPr>
              <w:t>1</w:t>
            </w:r>
          </w:p>
        </w:tc>
      </w:tr>
      <w:tr w:rsidR="00AD1C35" w:rsidRPr="00085D2A" w:rsidTr="00085D2A">
        <w:trPr>
          <w:trHeight w:val="373"/>
        </w:trPr>
        <w:tc>
          <w:tcPr>
            <w:tcW w:w="3253" w:type="dxa"/>
            <w:shd w:val="clear" w:color="auto" w:fill="D9D9D9"/>
            <w:vAlign w:val="center"/>
          </w:tcPr>
          <w:p w:rsidR="00AD1C35" w:rsidRPr="00085D2A" w:rsidRDefault="00AD1C35" w:rsidP="00085D2A">
            <w:pPr>
              <w:pStyle w:val="TableParagraph"/>
              <w:spacing w:line="239" w:lineRule="exact"/>
              <w:ind w:left="1481" w:right="1466"/>
              <w:jc w:val="center"/>
              <w:rPr>
                <w:b/>
                <w:sz w:val="18"/>
                <w:szCs w:val="18"/>
              </w:rPr>
            </w:pPr>
            <w:r w:rsidRPr="00085D2A">
              <w:rPr>
                <w:b/>
                <w:sz w:val="18"/>
                <w:szCs w:val="18"/>
              </w:rPr>
              <w:t>47</w:t>
            </w:r>
          </w:p>
        </w:tc>
        <w:tc>
          <w:tcPr>
            <w:tcW w:w="3562" w:type="dxa"/>
            <w:vAlign w:val="center"/>
          </w:tcPr>
          <w:p w:rsidR="00AD1C35" w:rsidRPr="00085D2A" w:rsidRDefault="00AD1C35" w:rsidP="00085D2A">
            <w:pPr>
              <w:pStyle w:val="TableParagraph"/>
              <w:spacing w:before="57"/>
              <w:ind w:left="15"/>
              <w:jc w:val="center"/>
              <w:rPr>
                <w:sz w:val="18"/>
                <w:szCs w:val="18"/>
              </w:rPr>
            </w:pPr>
            <w:r w:rsidRPr="00085D2A">
              <w:rPr>
                <w:sz w:val="18"/>
                <w:szCs w:val="18"/>
              </w:rPr>
              <w:t>4</w:t>
            </w:r>
          </w:p>
        </w:tc>
      </w:tr>
      <w:tr w:rsidR="00AD1C35" w:rsidRPr="00085D2A" w:rsidTr="00085D2A">
        <w:trPr>
          <w:trHeight w:val="371"/>
        </w:trPr>
        <w:tc>
          <w:tcPr>
            <w:tcW w:w="3253" w:type="dxa"/>
            <w:shd w:val="clear" w:color="auto" w:fill="D9D9D9"/>
            <w:vAlign w:val="center"/>
          </w:tcPr>
          <w:p w:rsidR="00AD1C35" w:rsidRPr="00085D2A" w:rsidRDefault="00AD1C35" w:rsidP="00085D2A">
            <w:pPr>
              <w:pStyle w:val="TableParagraph"/>
              <w:spacing w:line="236" w:lineRule="exact"/>
              <w:ind w:left="1481" w:right="1466"/>
              <w:jc w:val="center"/>
              <w:rPr>
                <w:b/>
                <w:sz w:val="18"/>
                <w:szCs w:val="18"/>
              </w:rPr>
            </w:pPr>
            <w:r w:rsidRPr="00085D2A">
              <w:rPr>
                <w:b/>
                <w:sz w:val="18"/>
                <w:szCs w:val="18"/>
              </w:rPr>
              <w:t>48</w:t>
            </w:r>
          </w:p>
        </w:tc>
        <w:tc>
          <w:tcPr>
            <w:tcW w:w="3562" w:type="dxa"/>
            <w:vAlign w:val="center"/>
          </w:tcPr>
          <w:p w:rsidR="00AD1C35" w:rsidRPr="00085D2A" w:rsidRDefault="00AD1C35" w:rsidP="00085D2A">
            <w:pPr>
              <w:pStyle w:val="TableParagraph"/>
              <w:spacing w:before="57"/>
              <w:ind w:left="15"/>
              <w:jc w:val="center"/>
              <w:rPr>
                <w:sz w:val="18"/>
                <w:szCs w:val="18"/>
              </w:rPr>
            </w:pPr>
            <w:r w:rsidRPr="00085D2A">
              <w:rPr>
                <w:sz w:val="18"/>
                <w:szCs w:val="18"/>
              </w:rPr>
              <w:t>1</w:t>
            </w:r>
          </w:p>
        </w:tc>
      </w:tr>
      <w:tr w:rsidR="00AD1C35" w:rsidRPr="00085D2A" w:rsidTr="00085D2A">
        <w:trPr>
          <w:trHeight w:val="373"/>
        </w:trPr>
        <w:tc>
          <w:tcPr>
            <w:tcW w:w="3253" w:type="dxa"/>
            <w:shd w:val="clear" w:color="auto" w:fill="D9D9D9"/>
            <w:vAlign w:val="center"/>
          </w:tcPr>
          <w:p w:rsidR="00AD1C35" w:rsidRPr="00085D2A" w:rsidRDefault="00AD1C35" w:rsidP="00085D2A">
            <w:pPr>
              <w:pStyle w:val="TableParagraph"/>
              <w:spacing w:before="117" w:line="236" w:lineRule="exact"/>
              <w:ind w:left="1481" w:right="1466"/>
              <w:jc w:val="center"/>
              <w:rPr>
                <w:b/>
                <w:sz w:val="18"/>
                <w:szCs w:val="18"/>
              </w:rPr>
            </w:pPr>
            <w:r w:rsidRPr="00085D2A">
              <w:rPr>
                <w:b/>
                <w:sz w:val="18"/>
                <w:szCs w:val="18"/>
              </w:rPr>
              <w:t>50</w:t>
            </w:r>
          </w:p>
        </w:tc>
        <w:tc>
          <w:tcPr>
            <w:tcW w:w="3562" w:type="dxa"/>
            <w:vAlign w:val="center"/>
          </w:tcPr>
          <w:p w:rsidR="00AD1C35" w:rsidRPr="00085D2A" w:rsidRDefault="00AD1C35" w:rsidP="00085D2A">
            <w:pPr>
              <w:pStyle w:val="TableParagraph"/>
              <w:spacing w:before="59"/>
              <w:ind w:left="15"/>
              <w:jc w:val="center"/>
              <w:rPr>
                <w:sz w:val="18"/>
                <w:szCs w:val="18"/>
              </w:rPr>
            </w:pPr>
            <w:r w:rsidRPr="00085D2A">
              <w:rPr>
                <w:sz w:val="18"/>
                <w:szCs w:val="18"/>
              </w:rPr>
              <w:t>1</w:t>
            </w:r>
          </w:p>
        </w:tc>
      </w:tr>
      <w:tr w:rsidR="00AD1C35" w:rsidRPr="00085D2A" w:rsidTr="00085D2A">
        <w:trPr>
          <w:trHeight w:val="373"/>
        </w:trPr>
        <w:tc>
          <w:tcPr>
            <w:tcW w:w="3253" w:type="dxa"/>
            <w:shd w:val="clear" w:color="auto" w:fill="D9D9D9"/>
            <w:vAlign w:val="center"/>
          </w:tcPr>
          <w:p w:rsidR="00AD1C35" w:rsidRPr="00085D2A" w:rsidRDefault="00AD1C35" w:rsidP="00085D2A">
            <w:pPr>
              <w:pStyle w:val="TableParagraph"/>
              <w:spacing w:line="239" w:lineRule="exact"/>
              <w:ind w:left="1481" w:right="1466"/>
              <w:jc w:val="center"/>
              <w:rPr>
                <w:b/>
                <w:sz w:val="18"/>
                <w:szCs w:val="18"/>
              </w:rPr>
            </w:pPr>
            <w:r w:rsidRPr="00085D2A">
              <w:rPr>
                <w:b/>
                <w:sz w:val="18"/>
                <w:szCs w:val="18"/>
              </w:rPr>
              <w:t>51</w:t>
            </w:r>
          </w:p>
        </w:tc>
        <w:tc>
          <w:tcPr>
            <w:tcW w:w="3562" w:type="dxa"/>
            <w:vAlign w:val="center"/>
          </w:tcPr>
          <w:p w:rsidR="00AD1C35" w:rsidRPr="00085D2A" w:rsidRDefault="00AD1C35" w:rsidP="00085D2A">
            <w:pPr>
              <w:pStyle w:val="TableParagraph"/>
              <w:spacing w:before="57"/>
              <w:ind w:left="15"/>
              <w:jc w:val="center"/>
              <w:rPr>
                <w:sz w:val="18"/>
                <w:szCs w:val="18"/>
              </w:rPr>
            </w:pPr>
            <w:r w:rsidRPr="00085D2A">
              <w:rPr>
                <w:sz w:val="18"/>
                <w:szCs w:val="18"/>
              </w:rPr>
              <w:t>3</w:t>
            </w:r>
          </w:p>
        </w:tc>
      </w:tr>
      <w:tr w:rsidR="00AD1C35" w:rsidRPr="00085D2A" w:rsidTr="00085D2A">
        <w:trPr>
          <w:trHeight w:val="373"/>
        </w:trPr>
        <w:tc>
          <w:tcPr>
            <w:tcW w:w="3253" w:type="dxa"/>
            <w:shd w:val="clear" w:color="auto" w:fill="D9D9D9"/>
            <w:vAlign w:val="center"/>
          </w:tcPr>
          <w:p w:rsidR="00AD1C35" w:rsidRPr="00085D2A" w:rsidRDefault="00AD1C35" w:rsidP="00085D2A">
            <w:pPr>
              <w:pStyle w:val="TableParagraph"/>
              <w:spacing w:line="239" w:lineRule="exact"/>
              <w:ind w:left="1481" w:right="1466"/>
              <w:jc w:val="center"/>
              <w:rPr>
                <w:b/>
                <w:sz w:val="18"/>
                <w:szCs w:val="18"/>
              </w:rPr>
            </w:pPr>
            <w:r w:rsidRPr="00085D2A">
              <w:rPr>
                <w:b/>
                <w:sz w:val="18"/>
                <w:szCs w:val="18"/>
              </w:rPr>
              <w:t>52</w:t>
            </w:r>
          </w:p>
        </w:tc>
        <w:tc>
          <w:tcPr>
            <w:tcW w:w="3562" w:type="dxa"/>
            <w:vAlign w:val="center"/>
          </w:tcPr>
          <w:p w:rsidR="00AD1C35" w:rsidRPr="00085D2A" w:rsidRDefault="00AD1C35" w:rsidP="00085D2A">
            <w:pPr>
              <w:pStyle w:val="TableParagraph"/>
              <w:spacing w:before="57"/>
              <w:ind w:left="15"/>
              <w:jc w:val="center"/>
              <w:rPr>
                <w:sz w:val="18"/>
                <w:szCs w:val="18"/>
              </w:rPr>
            </w:pPr>
            <w:r w:rsidRPr="00085D2A">
              <w:rPr>
                <w:sz w:val="18"/>
                <w:szCs w:val="18"/>
              </w:rPr>
              <w:t>1</w:t>
            </w:r>
          </w:p>
        </w:tc>
      </w:tr>
      <w:tr w:rsidR="00AD1C35" w:rsidRPr="00085D2A" w:rsidTr="00085D2A">
        <w:trPr>
          <w:trHeight w:val="371"/>
        </w:trPr>
        <w:tc>
          <w:tcPr>
            <w:tcW w:w="3253" w:type="dxa"/>
            <w:shd w:val="clear" w:color="auto" w:fill="D9D9D9"/>
            <w:vAlign w:val="center"/>
          </w:tcPr>
          <w:p w:rsidR="00AD1C35" w:rsidRPr="00085D2A" w:rsidRDefault="00AD1C35" w:rsidP="00085D2A">
            <w:pPr>
              <w:pStyle w:val="TableParagraph"/>
              <w:spacing w:line="236" w:lineRule="exact"/>
              <w:ind w:left="1481" w:right="1466"/>
              <w:jc w:val="center"/>
              <w:rPr>
                <w:b/>
                <w:sz w:val="18"/>
                <w:szCs w:val="18"/>
              </w:rPr>
            </w:pPr>
            <w:r w:rsidRPr="00085D2A">
              <w:rPr>
                <w:b/>
                <w:sz w:val="18"/>
                <w:szCs w:val="18"/>
              </w:rPr>
              <w:t>53</w:t>
            </w:r>
          </w:p>
        </w:tc>
        <w:tc>
          <w:tcPr>
            <w:tcW w:w="3562" w:type="dxa"/>
            <w:vAlign w:val="center"/>
          </w:tcPr>
          <w:p w:rsidR="00AD1C35" w:rsidRPr="00085D2A" w:rsidRDefault="00AD1C35" w:rsidP="00085D2A">
            <w:pPr>
              <w:pStyle w:val="TableParagraph"/>
              <w:spacing w:before="57"/>
              <w:ind w:left="15"/>
              <w:jc w:val="center"/>
              <w:rPr>
                <w:sz w:val="18"/>
                <w:szCs w:val="18"/>
              </w:rPr>
            </w:pPr>
            <w:r w:rsidRPr="00085D2A">
              <w:rPr>
                <w:sz w:val="18"/>
                <w:szCs w:val="18"/>
              </w:rPr>
              <w:t>3</w:t>
            </w:r>
          </w:p>
        </w:tc>
      </w:tr>
      <w:tr w:rsidR="00AD1C35" w:rsidRPr="00085D2A" w:rsidTr="00085D2A">
        <w:trPr>
          <w:trHeight w:val="373"/>
        </w:trPr>
        <w:tc>
          <w:tcPr>
            <w:tcW w:w="3253" w:type="dxa"/>
            <w:shd w:val="clear" w:color="auto" w:fill="D9D9D9"/>
            <w:vAlign w:val="center"/>
          </w:tcPr>
          <w:p w:rsidR="00AD1C35" w:rsidRPr="00085D2A" w:rsidRDefault="00AD1C35" w:rsidP="00085D2A">
            <w:pPr>
              <w:pStyle w:val="TableParagraph"/>
              <w:spacing w:before="117" w:line="236" w:lineRule="exact"/>
              <w:ind w:left="1481" w:right="1466"/>
              <w:jc w:val="center"/>
              <w:rPr>
                <w:b/>
                <w:sz w:val="18"/>
                <w:szCs w:val="18"/>
              </w:rPr>
            </w:pPr>
            <w:r w:rsidRPr="00085D2A">
              <w:rPr>
                <w:b/>
                <w:sz w:val="18"/>
                <w:szCs w:val="18"/>
              </w:rPr>
              <w:t>54</w:t>
            </w:r>
          </w:p>
        </w:tc>
        <w:tc>
          <w:tcPr>
            <w:tcW w:w="3562" w:type="dxa"/>
            <w:vAlign w:val="center"/>
          </w:tcPr>
          <w:p w:rsidR="00AD1C35" w:rsidRPr="00085D2A" w:rsidRDefault="00AD1C35" w:rsidP="00085D2A">
            <w:pPr>
              <w:pStyle w:val="TableParagraph"/>
              <w:spacing w:before="59"/>
              <w:ind w:left="15"/>
              <w:jc w:val="center"/>
              <w:rPr>
                <w:sz w:val="18"/>
                <w:szCs w:val="18"/>
              </w:rPr>
            </w:pPr>
            <w:r w:rsidRPr="00085D2A">
              <w:rPr>
                <w:sz w:val="18"/>
                <w:szCs w:val="18"/>
              </w:rPr>
              <w:t>1</w:t>
            </w:r>
          </w:p>
        </w:tc>
      </w:tr>
      <w:tr w:rsidR="00AD1C35" w:rsidRPr="00085D2A" w:rsidTr="00085D2A">
        <w:trPr>
          <w:trHeight w:val="374"/>
        </w:trPr>
        <w:tc>
          <w:tcPr>
            <w:tcW w:w="3253" w:type="dxa"/>
            <w:shd w:val="clear" w:color="auto" w:fill="D9D9D9"/>
            <w:vAlign w:val="center"/>
          </w:tcPr>
          <w:p w:rsidR="00AD1C35" w:rsidRPr="00085D2A" w:rsidRDefault="00AD1C35" w:rsidP="00085D2A">
            <w:pPr>
              <w:pStyle w:val="TableParagraph"/>
              <w:spacing w:line="239" w:lineRule="exact"/>
              <w:ind w:left="1481" w:right="1466"/>
              <w:jc w:val="center"/>
              <w:rPr>
                <w:b/>
                <w:sz w:val="18"/>
                <w:szCs w:val="18"/>
              </w:rPr>
            </w:pPr>
            <w:r w:rsidRPr="00085D2A">
              <w:rPr>
                <w:b/>
                <w:sz w:val="18"/>
                <w:szCs w:val="18"/>
              </w:rPr>
              <w:t>55</w:t>
            </w:r>
          </w:p>
        </w:tc>
        <w:tc>
          <w:tcPr>
            <w:tcW w:w="3562" w:type="dxa"/>
            <w:vAlign w:val="center"/>
          </w:tcPr>
          <w:p w:rsidR="00AD1C35" w:rsidRPr="00085D2A" w:rsidRDefault="00AD1C35" w:rsidP="00085D2A">
            <w:pPr>
              <w:pStyle w:val="TableParagraph"/>
              <w:spacing w:before="57"/>
              <w:ind w:left="15"/>
              <w:jc w:val="center"/>
              <w:rPr>
                <w:sz w:val="18"/>
                <w:szCs w:val="18"/>
              </w:rPr>
            </w:pPr>
            <w:r w:rsidRPr="00085D2A">
              <w:rPr>
                <w:sz w:val="18"/>
                <w:szCs w:val="18"/>
              </w:rPr>
              <w:t>3</w:t>
            </w:r>
          </w:p>
        </w:tc>
      </w:tr>
      <w:tr w:rsidR="00AD1C35" w:rsidRPr="00085D2A" w:rsidTr="00085D2A">
        <w:trPr>
          <w:trHeight w:val="371"/>
        </w:trPr>
        <w:tc>
          <w:tcPr>
            <w:tcW w:w="3253" w:type="dxa"/>
            <w:shd w:val="clear" w:color="auto" w:fill="D9D9D9"/>
            <w:vAlign w:val="center"/>
          </w:tcPr>
          <w:p w:rsidR="00AD1C35" w:rsidRPr="00085D2A" w:rsidRDefault="00AD1C35" w:rsidP="00085D2A">
            <w:pPr>
              <w:pStyle w:val="TableParagraph"/>
              <w:spacing w:line="236" w:lineRule="exact"/>
              <w:ind w:left="1481" w:right="1466"/>
              <w:jc w:val="center"/>
              <w:rPr>
                <w:b/>
                <w:sz w:val="18"/>
                <w:szCs w:val="18"/>
              </w:rPr>
            </w:pPr>
            <w:r w:rsidRPr="00085D2A">
              <w:rPr>
                <w:b/>
                <w:sz w:val="18"/>
                <w:szCs w:val="18"/>
              </w:rPr>
              <w:t>56</w:t>
            </w:r>
          </w:p>
        </w:tc>
        <w:tc>
          <w:tcPr>
            <w:tcW w:w="3562" w:type="dxa"/>
            <w:vAlign w:val="center"/>
          </w:tcPr>
          <w:p w:rsidR="00AD1C35" w:rsidRPr="00085D2A" w:rsidRDefault="00AD1C35" w:rsidP="00085D2A">
            <w:pPr>
              <w:pStyle w:val="TableParagraph"/>
              <w:spacing w:before="57"/>
              <w:ind w:left="15"/>
              <w:jc w:val="center"/>
              <w:rPr>
                <w:sz w:val="18"/>
                <w:szCs w:val="18"/>
              </w:rPr>
            </w:pPr>
            <w:r w:rsidRPr="00085D2A">
              <w:rPr>
                <w:sz w:val="18"/>
                <w:szCs w:val="18"/>
              </w:rPr>
              <w:t>2</w:t>
            </w:r>
          </w:p>
        </w:tc>
      </w:tr>
      <w:tr w:rsidR="00AD1C35" w:rsidRPr="00085D2A" w:rsidTr="00085D2A">
        <w:trPr>
          <w:trHeight w:val="373"/>
        </w:trPr>
        <w:tc>
          <w:tcPr>
            <w:tcW w:w="3253" w:type="dxa"/>
            <w:shd w:val="clear" w:color="auto" w:fill="D9D9D9"/>
            <w:vAlign w:val="center"/>
          </w:tcPr>
          <w:p w:rsidR="00AD1C35" w:rsidRPr="00085D2A" w:rsidRDefault="00AD1C35" w:rsidP="00085D2A">
            <w:pPr>
              <w:pStyle w:val="TableParagraph"/>
              <w:spacing w:before="117" w:line="236" w:lineRule="exact"/>
              <w:ind w:left="1481" w:right="1466"/>
              <w:jc w:val="center"/>
              <w:rPr>
                <w:b/>
                <w:sz w:val="18"/>
                <w:szCs w:val="18"/>
              </w:rPr>
            </w:pPr>
            <w:r w:rsidRPr="00085D2A">
              <w:rPr>
                <w:b/>
                <w:sz w:val="18"/>
                <w:szCs w:val="18"/>
              </w:rPr>
              <w:t>57</w:t>
            </w:r>
          </w:p>
        </w:tc>
        <w:tc>
          <w:tcPr>
            <w:tcW w:w="3562" w:type="dxa"/>
            <w:vAlign w:val="center"/>
          </w:tcPr>
          <w:p w:rsidR="00AD1C35" w:rsidRPr="00085D2A" w:rsidRDefault="00AD1C35" w:rsidP="00085D2A">
            <w:pPr>
              <w:pStyle w:val="TableParagraph"/>
              <w:spacing w:before="59"/>
              <w:ind w:left="15"/>
              <w:jc w:val="center"/>
              <w:rPr>
                <w:sz w:val="18"/>
                <w:szCs w:val="18"/>
              </w:rPr>
            </w:pPr>
            <w:r w:rsidRPr="00085D2A">
              <w:rPr>
                <w:sz w:val="18"/>
                <w:szCs w:val="18"/>
              </w:rPr>
              <w:t>1</w:t>
            </w:r>
          </w:p>
        </w:tc>
      </w:tr>
      <w:tr w:rsidR="00AD1C35" w:rsidRPr="00085D2A" w:rsidTr="00085D2A">
        <w:trPr>
          <w:trHeight w:val="373"/>
        </w:trPr>
        <w:tc>
          <w:tcPr>
            <w:tcW w:w="3253" w:type="dxa"/>
            <w:shd w:val="clear" w:color="auto" w:fill="D9D9D9"/>
            <w:vAlign w:val="center"/>
          </w:tcPr>
          <w:p w:rsidR="00AD1C35" w:rsidRPr="00085D2A" w:rsidRDefault="00AD1C35" w:rsidP="00085D2A">
            <w:pPr>
              <w:pStyle w:val="TableParagraph"/>
              <w:spacing w:before="117" w:line="236" w:lineRule="exact"/>
              <w:ind w:left="1481" w:right="1466"/>
              <w:jc w:val="center"/>
              <w:rPr>
                <w:b/>
                <w:sz w:val="18"/>
                <w:szCs w:val="18"/>
              </w:rPr>
            </w:pPr>
            <w:r w:rsidRPr="00085D2A">
              <w:rPr>
                <w:b/>
                <w:sz w:val="18"/>
                <w:szCs w:val="18"/>
              </w:rPr>
              <w:t>60</w:t>
            </w:r>
          </w:p>
        </w:tc>
        <w:tc>
          <w:tcPr>
            <w:tcW w:w="3562" w:type="dxa"/>
            <w:vAlign w:val="center"/>
          </w:tcPr>
          <w:p w:rsidR="00AD1C35" w:rsidRPr="00085D2A" w:rsidRDefault="00AD1C35" w:rsidP="00085D2A">
            <w:pPr>
              <w:pStyle w:val="TableParagraph"/>
              <w:spacing w:before="59"/>
              <w:ind w:left="15"/>
              <w:jc w:val="center"/>
              <w:rPr>
                <w:sz w:val="18"/>
                <w:szCs w:val="18"/>
              </w:rPr>
            </w:pPr>
            <w:r w:rsidRPr="00085D2A">
              <w:rPr>
                <w:sz w:val="18"/>
                <w:szCs w:val="18"/>
              </w:rPr>
              <w:t>1</w:t>
            </w:r>
          </w:p>
        </w:tc>
      </w:tr>
      <w:tr w:rsidR="00AD1C35" w:rsidRPr="00085D2A" w:rsidTr="00085D2A">
        <w:trPr>
          <w:trHeight w:val="373"/>
        </w:trPr>
        <w:tc>
          <w:tcPr>
            <w:tcW w:w="3253" w:type="dxa"/>
            <w:shd w:val="clear" w:color="auto" w:fill="D9D9D9"/>
            <w:vAlign w:val="center"/>
          </w:tcPr>
          <w:p w:rsidR="00AD1C35" w:rsidRPr="00085D2A" w:rsidRDefault="00AD1C35" w:rsidP="00085D2A">
            <w:pPr>
              <w:pStyle w:val="TableParagraph"/>
              <w:spacing w:line="239" w:lineRule="exact"/>
              <w:ind w:left="1481" w:right="1466"/>
              <w:jc w:val="center"/>
              <w:rPr>
                <w:b/>
                <w:sz w:val="18"/>
                <w:szCs w:val="18"/>
              </w:rPr>
            </w:pPr>
            <w:r w:rsidRPr="00085D2A">
              <w:rPr>
                <w:b/>
                <w:sz w:val="18"/>
                <w:szCs w:val="18"/>
              </w:rPr>
              <w:t>62</w:t>
            </w:r>
          </w:p>
        </w:tc>
        <w:tc>
          <w:tcPr>
            <w:tcW w:w="3562" w:type="dxa"/>
            <w:vAlign w:val="center"/>
          </w:tcPr>
          <w:p w:rsidR="00AD1C35" w:rsidRPr="00085D2A" w:rsidRDefault="00AD1C35" w:rsidP="00085D2A">
            <w:pPr>
              <w:pStyle w:val="TableParagraph"/>
              <w:spacing w:before="57"/>
              <w:ind w:left="15"/>
              <w:jc w:val="center"/>
              <w:rPr>
                <w:sz w:val="18"/>
                <w:szCs w:val="18"/>
              </w:rPr>
            </w:pPr>
            <w:r w:rsidRPr="00085D2A">
              <w:rPr>
                <w:sz w:val="18"/>
                <w:szCs w:val="18"/>
              </w:rPr>
              <w:t>2</w:t>
            </w:r>
          </w:p>
        </w:tc>
      </w:tr>
      <w:tr w:rsidR="00AD1C35" w:rsidRPr="00085D2A" w:rsidTr="00085D2A">
        <w:trPr>
          <w:trHeight w:val="371"/>
        </w:trPr>
        <w:tc>
          <w:tcPr>
            <w:tcW w:w="3253" w:type="dxa"/>
            <w:shd w:val="clear" w:color="auto" w:fill="D9D9D9"/>
            <w:vAlign w:val="center"/>
          </w:tcPr>
          <w:p w:rsidR="00AD1C35" w:rsidRPr="00085D2A" w:rsidRDefault="00AD1C35" w:rsidP="00085D2A">
            <w:pPr>
              <w:pStyle w:val="TableParagraph"/>
              <w:spacing w:line="236" w:lineRule="exact"/>
              <w:ind w:left="1481" w:right="1466"/>
              <w:jc w:val="center"/>
              <w:rPr>
                <w:b/>
                <w:sz w:val="18"/>
                <w:szCs w:val="18"/>
              </w:rPr>
            </w:pPr>
            <w:r w:rsidRPr="00085D2A">
              <w:rPr>
                <w:b/>
                <w:sz w:val="18"/>
                <w:szCs w:val="18"/>
              </w:rPr>
              <w:t>64</w:t>
            </w:r>
          </w:p>
        </w:tc>
        <w:tc>
          <w:tcPr>
            <w:tcW w:w="3562" w:type="dxa"/>
            <w:vAlign w:val="center"/>
          </w:tcPr>
          <w:p w:rsidR="00AD1C35" w:rsidRPr="00085D2A" w:rsidRDefault="00AD1C35" w:rsidP="00085D2A">
            <w:pPr>
              <w:pStyle w:val="TableParagraph"/>
              <w:spacing w:before="57"/>
              <w:ind w:left="15"/>
              <w:jc w:val="center"/>
              <w:rPr>
                <w:sz w:val="18"/>
                <w:szCs w:val="18"/>
              </w:rPr>
            </w:pPr>
            <w:r w:rsidRPr="00085D2A">
              <w:rPr>
                <w:sz w:val="18"/>
                <w:szCs w:val="18"/>
              </w:rPr>
              <w:t>2</w:t>
            </w:r>
          </w:p>
        </w:tc>
      </w:tr>
      <w:tr w:rsidR="00AD1C35" w:rsidRPr="00085D2A" w:rsidTr="00085D2A">
        <w:trPr>
          <w:trHeight w:val="373"/>
        </w:trPr>
        <w:tc>
          <w:tcPr>
            <w:tcW w:w="3253" w:type="dxa"/>
            <w:shd w:val="clear" w:color="auto" w:fill="D9D9D9"/>
            <w:vAlign w:val="center"/>
          </w:tcPr>
          <w:p w:rsidR="00AD1C35" w:rsidRPr="00085D2A" w:rsidRDefault="00AD1C35" w:rsidP="00085D2A">
            <w:pPr>
              <w:pStyle w:val="TableParagraph"/>
              <w:spacing w:before="117" w:line="236" w:lineRule="exact"/>
              <w:ind w:left="1481" w:right="1466"/>
              <w:jc w:val="center"/>
              <w:rPr>
                <w:b/>
                <w:sz w:val="18"/>
                <w:szCs w:val="18"/>
              </w:rPr>
            </w:pPr>
            <w:r w:rsidRPr="00085D2A">
              <w:rPr>
                <w:b/>
                <w:sz w:val="18"/>
                <w:szCs w:val="18"/>
              </w:rPr>
              <w:t>68</w:t>
            </w:r>
          </w:p>
        </w:tc>
        <w:tc>
          <w:tcPr>
            <w:tcW w:w="3562" w:type="dxa"/>
            <w:vAlign w:val="center"/>
          </w:tcPr>
          <w:p w:rsidR="00AD1C35" w:rsidRPr="00085D2A" w:rsidRDefault="00AD1C35" w:rsidP="00085D2A">
            <w:pPr>
              <w:pStyle w:val="TableParagraph"/>
              <w:spacing w:before="59"/>
              <w:ind w:left="15"/>
              <w:jc w:val="center"/>
              <w:rPr>
                <w:sz w:val="18"/>
                <w:szCs w:val="18"/>
              </w:rPr>
            </w:pPr>
            <w:r w:rsidRPr="00085D2A">
              <w:rPr>
                <w:sz w:val="18"/>
                <w:szCs w:val="18"/>
              </w:rPr>
              <w:t>1</w:t>
            </w:r>
          </w:p>
        </w:tc>
      </w:tr>
      <w:tr w:rsidR="00AD1C35" w:rsidRPr="00085D2A" w:rsidTr="00085D2A">
        <w:trPr>
          <w:trHeight w:val="373"/>
        </w:trPr>
        <w:tc>
          <w:tcPr>
            <w:tcW w:w="3253" w:type="dxa"/>
            <w:shd w:val="clear" w:color="auto" w:fill="D9D9D9"/>
            <w:vAlign w:val="center"/>
          </w:tcPr>
          <w:p w:rsidR="00AD1C35" w:rsidRPr="00085D2A" w:rsidRDefault="00AD1C35" w:rsidP="00085D2A">
            <w:pPr>
              <w:pStyle w:val="TableParagraph"/>
              <w:spacing w:before="117" w:line="236" w:lineRule="exact"/>
              <w:ind w:left="1481" w:right="1466"/>
              <w:jc w:val="center"/>
              <w:rPr>
                <w:b/>
                <w:sz w:val="18"/>
                <w:szCs w:val="18"/>
              </w:rPr>
            </w:pPr>
            <w:r w:rsidRPr="00085D2A">
              <w:rPr>
                <w:b/>
                <w:sz w:val="18"/>
                <w:szCs w:val="18"/>
              </w:rPr>
              <w:t>79</w:t>
            </w:r>
          </w:p>
        </w:tc>
        <w:tc>
          <w:tcPr>
            <w:tcW w:w="3562" w:type="dxa"/>
            <w:vAlign w:val="center"/>
          </w:tcPr>
          <w:p w:rsidR="00AD1C35" w:rsidRPr="00085D2A" w:rsidRDefault="00AD1C35" w:rsidP="00085D2A">
            <w:pPr>
              <w:pStyle w:val="TableParagraph"/>
              <w:spacing w:before="59"/>
              <w:ind w:left="15"/>
              <w:jc w:val="center"/>
              <w:rPr>
                <w:sz w:val="18"/>
                <w:szCs w:val="18"/>
              </w:rPr>
            </w:pPr>
            <w:r w:rsidRPr="00085D2A">
              <w:rPr>
                <w:sz w:val="18"/>
                <w:szCs w:val="18"/>
              </w:rPr>
              <w:t>1</w:t>
            </w:r>
          </w:p>
        </w:tc>
      </w:tr>
      <w:tr w:rsidR="00AD1C35" w:rsidRPr="00085D2A" w:rsidTr="00085D2A">
        <w:trPr>
          <w:trHeight w:val="373"/>
        </w:trPr>
        <w:tc>
          <w:tcPr>
            <w:tcW w:w="3253" w:type="dxa"/>
            <w:shd w:val="clear" w:color="auto" w:fill="D9D9D9"/>
            <w:vAlign w:val="center"/>
          </w:tcPr>
          <w:p w:rsidR="00AD1C35" w:rsidRPr="00085D2A" w:rsidRDefault="00AD1C35" w:rsidP="00085D2A">
            <w:pPr>
              <w:pStyle w:val="TableParagraph"/>
              <w:spacing w:line="239" w:lineRule="exact"/>
              <w:ind w:left="1481" w:right="1466"/>
              <w:jc w:val="center"/>
              <w:rPr>
                <w:b/>
                <w:sz w:val="18"/>
                <w:szCs w:val="18"/>
              </w:rPr>
            </w:pPr>
            <w:r w:rsidRPr="00085D2A">
              <w:rPr>
                <w:b/>
                <w:sz w:val="18"/>
                <w:szCs w:val="18"/>
              </w:rPr>
              <w:t>83</w:t>
            </w:r>
          </w:p>
        </w:tc>
        <w:tc>
          <w:tcPr>
            <w:tcW w:w="3562" w:type="dxa"/>
            <w:vAlign w:val="center"/>
          </w:tcPr>
          <w:p w:rsidR="00AD1C35" w:rsidRPr="00085D2A" w:rsidRDefault="00AD1C35" w:rsidP="00085D2A">
            <w:pPr>
              <w:pStyle w:val="TableParagraph"/>
              <w:spacing w:before="57"/>
              <w:ind w:left="15"/>
              <w:jc w:val="center"/>
              <w:rPr>
                <w:sz w:val="18"/>
                <w:szCs w:val="18"/>
              </w:rPr>
            </w:pPr>
            <w:r w:rsidRPr="00085D2A">
              <w:rPr>
                <w:sz w:val="18"/>
                <w:szCs w:val="18"/>
              </w:rPr>
              <w:t>1</w:t>
            </w:r>
          </w:p>
        </w:tc>
      </w:tr>
      <w:tr w:rsidR="00AD1C35" w:rsidRPr="00085D2A" w:rsidTr="00085D2A">
        <w:trPr>
          <w:trHeight w:val="374"/>
        </w:trPr>
        <w:tc>
          <w:tcPr>
            <w:tcW w:w="3253" w:type="dxa"/>
            <w:shd w:val="clear" w:color="auto" w:fill="D9D9D9"/>
            <w:vAlign w:val="center"/>
          </w:tcPr>
          <w:p w:rsidR="00AD1C35" w:rsidRPr="00085D2A" w:rsidRDefault="00AD1C35" w:rsidP="00085D2A">
            <w:pPr>
              <w:pStyle w:val="TableParagraph"/>
              <w:spacing w:line="239" w:lineRule="exact"/>
              <w:ind w:left="1481" w:right="1466"/>
              <w:jc w:val="center"/>
              <w:rPr>
                <w:b/>
                <w:sz w:val="18"/>
                <w:szCs w:val="18"/>
              </w:rPr>
            </w:pPr>
            <w:r w:rsidRPr="00085D2A">
              <w:rPr>
                <w:b/>
                <w:sz w:val="18"/>
                <w:szCs w:val="18"/>
              </w:rPr>
              <w:t>84</w:t>
            </w:r>
          </w:p>
        </w:tc>
        <w:tc>
          <w:tcPr>
            <w:tcW w:w="3562" w:type="dxa"/>
            <w:vAlign w:val="center"/>
          </w:tcPr>
          <w:p w:rsidR="00AD1C35" w:rsidRPr="00085D2A" w:rsidRDefault="00AD1C35" w:rsidP="00085D2A">
            <w:pPr>
              <w:pStyle w:val="TableParagraph"/>
              <w:spacing w:before="58"/>
              <w:ind w:left="15"/>
              <w:jc w:val="center"/>
              <w:rPr>
                <w:sz w:val="18"/>
                <w:szCs w:val="18"/>
              </w:rPr>
            </w:pPr>
            <w:r w:rsidRPr="00085D2A">
              <w:rPr>
                <w:sz w:val="18"/>
                <w:szCs w:val="18"/>
              </w:rPr>
              <w:t>1</w:t>
            </w:r>
          </w:p>
        </w:tc>
      </w:tr>
    </w:tbl>
    <w:p w:rsidR="00230E2B" w:rsidRDefault="00230E2B" w:rsidP="00AD1C35">
      <w:pPr>
        <w:pStyle w:val="LTAntwortRessortText"/>
        <w:ind w:left="0"/>
      </w:pPr>
    </w:p>
    <w:p w:rsidR="00230E2B" w:rsidRDefault="00230E2B">
      <w:bookmarkStart w:id="54" w:name="Frage_Nr_26_Ende"/>
      <w:bookmarkEnd w:id="5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0"/>
        <w:gridCol w:w="5796"/>
      </w:tblGrid>
      <w:tr w:rsidR="00230E2B" w:rsidTr="007B0B33">
        <w:tc>
          <w:tcPr>
            <w:tcW w:w="2050" w:type="dxa"/>
          </w:tcPr>
          <w:p w:rsidR="00230E2B" w:rsidRDefault="00230E2B" w:rsidP="00230E2B">
            <w:pPr>
              <w:pStyle w:val="LTAnfrageInitiator"/>
            </w:pPr>
            <w:r>
              <w:lastRenderedPageBreak/>
              <w:t>Abgeordnete</w:t>
            </w:r>
            <w:r>
              <w:rPr>
                <w:b/>
              </w:rPr>
              <w:br/>
              <w:t>Margit</w:t>
            </w:r>
            <w:r>
              <w:rPr>
                <w:b/>
              </w:rPr>
              <w:br/>
              <w:t>Wild</w:t>
            </w:r>
            <w:r>
              <w:rPr>
                <w:b/>
              </w:rPr>
              <w:br/>
            </w:r>
            <w:r>
              <w:t>(SPD)</w:t>
            </w:r>
            <w:bookmarkStart w:id="55" w:name="Frage_Nr_27"/>
            <w:bookmarkEnd w:id="55"/>
          </w:p>
        </w:tc>
        <w:tc>
          <w:tcPr>
            <w:tcW w:w="7200" w:type="dxa"/>
          </w:tcPr>
          <w:p w:rsidR="00230E2B" w:rsidRDefault="00E54DB2" w:rsidP="00D53BCC">
            <w:pPr>
              <w:pStyle w:val="LTAnfrageText"/>
            </w:pPr>
            <w:r w:rsidRPr="00E54DB2">
              <w:rPr>
                <w:szCs w:val="24"/>
              </w:rPr>
              <w:t>Im Nachgang zur Anfrage zum Plenum des Abgeordneten Florian von Brunn vom 24.01.2022</w:t>
            </w:r>
            <w:r w:rsidR="00D53BCC">
              <w:rPr>
                <w:szCs w:val="24"/>
              </w:rPr>
              <w:t xml:space="preserve"> (Drs. 18/19911)</w:t>
            </w:r>
            <w:r w:rsidRPr="00E54DB2">
              <w:rPr>
                <w:szCs w:val="24"/>
              </w:rPr>
              <w:t xml:space="preserve"> frage ich die Staatsregierung, waren die 42 genannten Fälle sowie die auf Seite 40 f. des aktuellen Gutachtens genannten 18 Fälle, bei denen die Tatverdächtigen inzwischen verstorben sind, und die 63 Fälle, bei denen Verjährung eingetreten ist, jeweils bereits früher Gegenstand von</w:t>
            </w:r>
            <w:r w:rsidR="00D53BCC">
              <w:rPr>
                <w:szCs w:val="24"/>
              </w:rPr>
              <w:t xml:space="preserve"> </w:t>
            </w:r>
            <w:r w:rsidRPr="00E54DB2">
              <w:rPr>
                <w:szCs w:val="24"/>
              </w:rPr>
              <w:t>(Vor-)Ermittlungen bzw. den Staatsanwaltschaften bekannt, richten sich aktuell (Vor-)Ermittlungen gegen Kardinal Marx und / oder Papst Emeritus Benedikt XVI. und teilt die Staatsregierung die Einschätzung des Passauer Strafrechtsprofessors und CSU-Kreisvorsitzenden Holm Putzke, dass „bei den Staatsanwaltschaften so etwas wie eine Beißhemmung vorhanden ist, was die katholische Kirche und den Umgang mit Missbrauchsfällen angeht“ (BR24 vom 25.01.2022)?</w:t>
            </w:r>
          </w:p>
        </w:tc>
      </w:tr>
    </w:tbl>
    <w:p w:rsidR="00230E2B" w:rsidRDefault="00230E2B" w:rsidP="00D53BCC">
      <w:pPr>
        <w:pStyle w:val="LTUeberschrAntwortRessort"/>
        <w:spacing w:before="680"/>
      </w:pPr>
      <w:r>
        <w:t>Antwort des Staatsministeriums der Justiz</w:t>
      </w:r>
    </w:p>
    <w:p w:rsidR="00230E2B" w:rsidRDefault="00230E2B" w:rsidP="00230E2B">
      <w:pPr>
        <w:pStyle w:val="LTAntwortRessortText"/>
      </w:pPr>
      <w:r>
        <w:t>Zu der Frage, ob die in der Fragestellung bezeichneten Fälle bereits Gegenstand</w:t>
      </w:r>
      <w:r w:rsidR="006F7368">
        <w:t xml:space="preserve"> </w:t>
      </w:r>
      <w:r>
        <w:t>früherer (Vor-)Ermittlungsverfahren waren oder den Staatsanwaltschaften sonst</w:t>
      </w:r>
      <w:r w:rsidR="006F7368">
        <w:t xml:space="preserve"> </w:t>
      </w:r>
      <w:r>
        <w:t>bekannt waren, ist darauf hinzuweisen, dass Ermittlungs- und Strafverfahren im</w:t>
      </w:r>
      <w:r w:rsidR="006F7368">
        <w:t xml:space="preserve"> </w:t>
      </w:r>
      <w:r>
        <w:t>Zusammenhang mit sexuellem Missbrauch durch Kirchenangehörige als solche im</w:t>
      </w:r>
      <w:r w:rsidR="006F7368">
        <w:t xml:space="preserve"> </w:t>
      </w:r>
      <w:r>
        <w:t>Fachverfahren web.sta, das in Bayern und in acht weiteren Bundesländern bei</w:t>
      </w:r>
      <w:r w:rsidR="006F7368">
        <w:t xml:space="preserve"> </w:t>
      </w:r>
      <w:r>
        <w:t>den Staatsanwaltschaften verwendet wird, nicht gesondert statistisch erfasst werden.</w:t>
      </w:r>
      <w:r w:rsidR="006F7368">
        <w:t xml:space="preserve"> </w:t>
      </w:r>
      <w:r>
        <w:t>Die Frage könnte nur umfassend beantwortet werden, wenn alle relevanten</w:t>
      </w:r>
      <w:r w:rsidR="006F7368">
        <w:t xml:space="preserve"> </w:t>
      </w:r>
      <w:r>
        <w:t>Verfahrensakten händisch durchgesehen und mit den nunmehr von der Kanzlei</w:t>
      </w:r>
      <w:r w:rsidR="006F7368">
        <w:t xml:space="preserve"> </w:t>
      </w:r>
      <w:r>
        <w:t>Westphal Spilker Wastl übermittelten Datensätzen abgeglichen werden. Dies ist</w:t>
      </w:r>
      <w:r w:rsidR="006F7368">
        <w:t xml:space="preserve"> </w:t>
      </w:r>
      <w:r>
        <w:t>innerhalb der für die Beantwortung der Anfrage zur Verfügung stehenden Zeit</w:t>
      </w:r>
      <w:r w:rsidR="006F7368">
        <w:t xml:space="preserve"> </w:t>
      </w:r>
      <w:r>
        <w:t>nicht durchführbar.</w:t>
      </w:r>
    </w:p>
    <w:p w:rsidR="00230E2B" w:rsidRDefault="00230E2B" w:rsidP="00230E2B">
      <w:pPr>
        <w:pStyle w:val="LTAntwortRessortText"/>
      </w:pPr>
      <w:r>
        <w:t>Ergänzend ist darauf hinzuweisen, dass Ermittl</w:t>
      </w:r>
      <w:r w:rsidR="006F7368">
        <w:t>ungsakten nach Ablauf der Aufbe</w:t>
      </w:r>
      <w:r>
        <w:t>wahrungsfrist ausgesondert und die Verfahren im staatsanwaltschaftlichen Datenbestand</w:t>
      </w:r>
      <w:r w:rsidR="006F7368">
        <w:t xml:space="preserve"> </w:t>
      </w:r>
      <w:r>
        <w:t>automatisiert gelöscht werden. Die Aufbewahrungsfristen folgen dem Gedanken,</w:t>
      </w:r>
      <w:r w:rsidR="006F7368">
        <w:t xml:space="preserve"> </w:t>
      </w:r>
      <w:r>
        <w:t>Verfahrensakten grundsätzlich nur so lange aufzubewahren, wie dies für</w:t>
      </w:r>
      <w:r w:rsidR="006F7368">
        <w:t xml:space="preserve"> </w:t>
      </w:r>
      <w:r>
        <w:t>die Zwecke des Strafverfahrens erforderlich ist. Beispielsweise beträgt die Aufbewahrungsfrist</w:t>
      </w:r>
      <w:r w:rsidR="006F7368">
        <w:t xml:space="preserve"> </w:t>
      </w:r>
      <w:r>
        <w:t>bei Ermittlungsverfahren in den Fällen der Verfahrensbeendigung</w:t>
      </w:r>
      <w:r w:rsidR="006F7368">
        <w:t xml:space="preserve"> </w:t>
      </w:r>
      <w:r>
        <w:t>durch die Staatsanwaltschaft, insbesond</w:t>
      </w:r>
      <w:r w:rsidR="00A57EA5">
        <w:t>ere Einstellungsverfügungen (z. </w:t>
      </w:r>
      <w:r>
        <w:t>B. wegen</w:t>
      </w:r>
      <w:r w:rsidR="006F7368">
        <w:t xml:space="preserve"> </w:t>
      </w:r>
      <w:r>
        <w:t>Verjährung oder Tod des Beschuldigten), regelmäßig fünf Jahre und beginnt mit</w:t>
      </w:r>
      <w:r w:rsidR="006F7368">
        <w:t xml:space="preserve"> </w:t>
      </w:r>
      <w:r>
        <w:t>Ablauf des Jahres, in dem die verfahrensbeendigende Entscheidung getroffen</w:t>
      </w:r>
      <w:r w:rsidR="006F7368">
        <w:t xml:space="preserve"> </w:t>
      </w:r>
      <w:r>
        <w:t>wurde (§§ 3 Ab</w:t>
      </w:r>
      <w:r w:rsidR="006F7368">
        <w:t>s.</w:t>
      </w:r>
      <w:r>
        <w:t xml:space="preserve"> 1 </w:t>
      </w:r>
      <w:r w:rsidR="005508E8">
        <w:t>S</w:t>
      </w:r>
      <w:r w:rsidR="006F7368">
        <w:t>eite</w:t>
      </w:r>
      <w:r>
        <w:t xml:space="preserve"> 2, 1 </w:t>
      </w:r>
      <w:r w:rsidR="00A57EA5">
        <w:t xml:space="preserve">Aufbewahrungsverordnung – </w:t>
      </w:r>
      <w:r>
        <w:t>AufbewV i.</w:t>
      </w:r>
      <w:r w:rsidR="00A57EA5">
        <w:t> </w:t>
      </w:r>
      <w:r>
        <w:t>V.</w:t>
      </w:r>
      <w:r w:rsidR="00A57EA5">
        <w:t> </w:t>
      </w:r>
      <w:r>
        <w:t>m. Kennziffer 622 der Anlage). Recherchen</w:t>
      </w:r>
      <w:r w:rsidR="006F7368">
        <w:t xml:space="preserve"> </w:t>
      </w:r>
      <w:r>
        <w:t>für länger zurückliegende Zeiträume sind daher in diesen Fällen nicht möglich.</w:t>
      </w:r>
    </w:p>
    <w:p w:rsidR="00230E2B" w:rsidRDefault="00230E2B" w:rsidP="00230E2B">
      <w:pPr>
        <w:pStyle w:val="LTAntwortRessortText"/>
      </w:pPr>
      <w:r>
        <w:t>Bei der Staatsanwaltschaft München I wird derzeit eine umfangreiche Prüfung</w:t>
      </w:r>
      <w:r w:rsidR="006F7368">
        <w:t xml:space="preserve"> </w:t>
      </w:r>
      <w:r>
        <w:t>durchgeführt, die alle von der Kanzlei Westpfahl Spilker Wastl übermittelten Unterlagen</w:t>
      </w:r>
      <w:r w:rsidR="006F7368">
        <w:t xml:space="preserve"> </w:t>
      </w:r>
      <w:r>
        <w:t>betreffend kirchliche Verantwortungsträger umfasst. In diesen Unterlagen</w:t>
      </w:r>
      <w:r w:rsidR="006F7368">
        <w:t xml:space="preserve"> </w:t>
      </w:r>
      <w:r>
        <w:t>sind nach Auskunft der Staatsanwaltschaft München I auch die Personen Papst</w:t>
      </w:r>
      <w:r w:rsidR="006F7368">
        <w:t xml:space="preserve"> </w:t>
      </w:r>
      <w:r>
        <w:t>em. Benedikt XVI. / Kardinal Ratzinger und Kardinal Marx genannt. Die Prüfung,</w:t>
      </w:r>
      <w:r w:rsidR="006F7368">
        <w:t xml:space="preserve"> </w:t>
      </w:r>
      <w:r>
        <w:t>ob und inwieweit Ermittlungsverfahren einzuleiten sind, ist noch nicht abgeschlossen.</w:t>
      </w:r>
    </w:p>
    <w:p w:rsidR="00D53BCC" w:rsidRDefault="00230E2B" w:rsidP="00D53BCC">
      <w:pPr>
        <w:pStyle w:val="LTAntwortRessortText"/>
      </w:pPr>
      <w:r>
        <w:t>Die zitierte Einschätzung des Strafrechtsprofessors Dr. Holm Putzke wird nicht geteilt.</w:t>
      </w:r>
      <w:r w:rsidR="006F7368">
        <w:t xml:space="preserve"> </w:t>
      </w:r>
      <w:r>
        <w:t>Die bayerischen Staatsanwaltschaften</w:t>
      </w:r>
      <w:r w:rsidR="00A57EA5">
        <w:t xml:space="preserve"> sind entsprechend dem in </w:t>
      </w:r>
      <w:r w:rsidR="00D53BCC">
        <w:t xml:space="preserve">§ 152 </w:t>
      </w:r>
      <w:r>
        <w:lastRenderedPageBreak/>
        <w:t>Ab</w:t>
      </w:r>
      <w:r w:rsidR="006F7368">
        <w:t>s.</w:t>
      </w:r>
      <w:r w:rsidR="00A57EA5">
        <w:t> </w:t>
      </w:r>
      <w:r>
        <w:t>2</w:t>
      </w:r>
      <w:r w:rsidR="00A57EA5">
        <w:t> der Strafprozessordnung (</w:t>
      </w:r>
      <w:r>
        <w:t>StPO</w:t>
      </w:r>
      <w:r w:rsidR="00A57EA5">
        <w:t>)</w:t>
      </w:r>
      <w:r>
        <w:t xml:space="preserve"> verankerten Legalitätsprinzip verpflichtet, einzuschreiten, wenn sich zureichende</w:t>
      </w:r>
      <w:r w:rsidR="006F7368">
        <w:t xml:space="preserve"> </w:t>
      </w:r>
      <w:r>
        <w:t>tatsächliche Anhaltspunkte für das Vorliegen einer verfolgbaren Straftat</w:t>
      </w:r>
      <w:r w:rsidR="006F7368">
        <w:t xml:space="preserve"> </w:t>
      </w:r>
      <w:r>
        <w:t>ergeben.</w:t>
      </w:r>
      <w:r w:rsidR="00D53BCC">
        <w:t xml:space="preserve"> </w:t>
      </w:r>
    </w:p>
    <w:p w:rsidR="00230E2B" w:rsidRDefault="00D53BCC" w:rsidP="00D53BCC">
      <w:pPr>
        <w:pStyle w:val="LTAntwortRessortText"/>
      </w:pPr>
      <w:r>
        <w:t xml:space="preserve"> </w:t>
      </w:r>
      <w:bookmarkStart w:id="56" w:name="Frage_Nr_27_Ende"/>
      <w:bookmarkEnd w:id="56"/>
      <w:r w:rsidR="00230E2B">
        <w:br w:type="page"/>
      </w:r>
    </w:p>
    <w:p w:rsidR="00230E2B" w:rsidRDefault="00230E2B" w:rsidP="00230E2B">
      <w:pPr>
        <w:pStyle w:val="LTUeberschrRessort"/>
      </w:pPr>
      <w:r>
        <w:lastRenderedPageBreak/>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3"/>
        <w:gridCol w:w="5763"/>
      </w:tblGrid>
      <w:tr w:rsidR="00230E2B" w:rsidTr="007B0B33">
        <w:tc>
          <w:tcPr>
            <w:tcW w:w="2050" w:type="dxa"/>
          </w:tcPr>
          <w:p w:rsidR="00230E2B" w:rsidRDefault="00230E2B" w:rsidP="00230E2B">
            <w:pPr>
              <w:pStyle w:val="LTAnfrageInitiator"/>
            </w:pPr>
            <w:r>
              <w:t>Abgeordneter</w:t>
            </w:r>
            <w:r>
              <w:rPr>
                <w:b/>
              </w:rPr>
              <w:br/>
              <w:t>Maximilian</w:t>
            </w:r>
            <w:r>
              <w:rPr>
                <w:b/>
              </w:rPr>
              <w:br/>
              <w:t>Deisenhofer</w:t>
            </w:r>
            <w:r>
              <w:rPr>
                <w:b/>
              </w:rPr>
              <w:br/>
            </w:r>
            <w:r>
              <w:t>(BÜNDNIS 90/DIE GRÜNEN)</w:t>
            </w:r>
            <w:bookmarkStart w:id="57" w:name="Frage_Nr_28"/>
            <w:bookmarkEnd w:id="57"/>
          </w:p>
        </w:tc>
        <w:tc>
          <w:tcPr>
            <w:tcW w:w="7200" w:type="dxa"/>
          </w:tcPr>
          <w:p w:rsidR="00230E2B" w:rsidRDefault="0012007F" w:rsidP="00A1555A">
            <w:pPr>
              <w:pStyle w:val="LTAnfrageText"/>
            </w:pPr>
            <w:r w:rsidRPr="0012007F">
              <w:rPr>
                <w:szCs w:val="24"/>
              </w:rPr>
              <w:t xml:space="preserve">Bezugnehmend auf die Anfrage </w:t>
            </w:r>
            <w:r w:rsidR="00A1555A">
              <w:rPr>
                <w:szCs w:val="24"/>
              </w:rPr>
              <w:t xml:space="preserve">zum Plenum </w:t>
            </w:r>
            <w:r w:rsidRPr="0012007F">
              <w:rPr>
                <w:szCs w:val="24"/>
              </w:rPr>
              <w:t>der Abgeordneten Stephanie Schuhknecht, BÜNDNIS 90/DIE GRÜNEN am 25.01.2022 und auf das KMS (Kultusministerielle Schreiben) Nummer II.6-BO4171.0/47 des Staatsministeriums für Unterricht und Kultus vom 27.08.2021 frage ich die Staatsregierung, wie lautet die Gesamtzahl der Räume (einschl. Lehrerzimmer, Räume für schulische Ganztagsangebote und Mittagsbetreuung, Differenzierungsräume und andere Räume, in denen sich Schülerinnen bzw. Schüler und/oder Lehrkräfte im Unterrichts- und Schulbetrieb regelmäßig über einen längeren Zeitraum aufhalten), die auf dem Bayerischen Schulportal (</w:t>
            </w:r>
            <w:hyperlink r:id="rId14" w:history="1">
              <w:r w:rsidRPr="0012007F">
                <w:rPr>
                  <w:rStyle w:val="Hyperlink"/>
                  <w:szCs w:val="24"/>
                </w:rPr>
                <w:t>https://portal.schulen.bayern.de</w:t>
              </w:r>
            </w:hyperlink>
            <w:r w:rsidRPr="0012007F">
              <w:rPr>
                <w:szCs w:val="24"/>
              </w:rPr>
              <w:t>) gemeldet wurden, wie lautet (davon) die Gesamtzahl der Klassenräume (ohne Fachräume), die auf dem Schulportal gemeldet wurden und wie viele der Räume sind laut Schulportal mit mobilen Luftreinigungsgeräten ausgestattet (bitte alle Fragen nach Monaten beginnend mit September 2021 aufschlüsseln)?</w:t>
            </w:r>
          </w:p>
        </w:tc>
      </w:tr>
    </w:tbl>
    <w:p w:rsidR="00230E2B" w:rsidRDefault="00230E2B" w:rsidP="00230E2B">
      <w:pPr>
        <w:pStyle w:val="LTUeberschrAntwortRessort"/>
      </w:pPr>
      <w:r>
        <w:t>Antwort des Staatsministeriums für Unterricht und Kultus</w:t>
      </w:r>
    </w:p>
    <w:p w:rsidR="00230E2B" w:rsidRDefault="00230E2B" w:rsidP="00F46169">
      <w:pPr>
        <w:pStyle w:val="LTAntwortRessortText"/>
      </w:pPr>
      <w:r>
        <w:t>Die Anzahl aller an den bayerischen Schulen vorhandenen Räume ist dem Staatsministerium</w:t>
      </w:r>
      <w:r w:rsidR="00F46169">
        <w:t xml:space="preserve"> </w:t>
      </w:r>
      <w:r>
        <w:t>nicht bekannt; Errichtung und Ausstattung der Schulgebäude fallen in die</w:t>
      </w:r>
      <w:r w:rsidR="00F46169">
        <w:t xml:space="preserve"> </w:t>
      </w:r>
      <w:r>
        <w:t>Zuständigkeit der Schulaufwandsträger.</w:t>
      </w:r>
      <w:r w:rsidR="00F46169">
        <w:t xml:space="preserve"> </w:t>
      </w:r>
      <w:r>
        <w:t>Die mit dem genannten KMS initiierte Schulabfrage soll insbesondere Erkenntnisse</w:t>
      </w:r>
      <w:r w:rsidR="00F46169">
        <w:t xml:space="preserve"> </w:t>
      </w:r>
      <w:r>
        <w:t>dazu liefern, ob die Zahl der mit mobilen Luftreinigungsgeräten ausgestatteten</w:t>
      </w:r>
      <w:r w:rsidR="00F46169">
        <w:t xml:space="preserve"> </w:t>
      </w:r>
      <w:r>
        <w:t>Räume ansteigt. Die Zahl der von den Schulen als mit mobilen Luftreinigungsgeräten</w:t>
      </w:r>
      <w:r w:rsidR="00F46169">
        <w:t xml:space="preserve"> </w:t>
      </w:r>
      <w:r>
        <w:t>ausgestattet angegebenen Räume enthält einerseits auch Geräte, die außerhalb der</w:t>
      </w:r>
      <w:r w:rsidR="00F46169">
        <w:t xml:space="preserve"> </w:t>
      </w:r>
      <w:r>
        <w:t xml:space="preserve">Förderprogramme </w:t>
      </w:r>
      <w:r w:rsidR="005508E8">
        <w:t>z. B.</w:t>
      </w:r>
      <w:r>
        <w:t xml:space="preserve"> durch Elterninitiativen beschafft werden, sie enthält andererseits</w:t>
      </w:r>
      <w:r w:rsidR="00F46169">
        <w:t xml:space="preserve"> </w:t>
      </w:r>
      <w:r>
        <w:t>aber nicht diejenigen Räume, für deren in Kürze vorgesehene Ausstattung die</w:t>
      </w:r>
      <w:r w:rsidR="00F46169">
        <w:t xml:space="preserve"> </w:t>
      </w:r>
      <w:r>
        <w:t>Schulaufwandsträger bereits eine staatliche Förderung beantragt haben. Die Schulabfrage</w:t>
      </w:r>
      <w:r w:rsidR="00F46169">
        <w:t xml:space="preserve"> </w:t>
      </w:r>
      <w:r>
        <w:t>ist daher eine Erkenntnishilfe zur Entwicklung, aber kein aktuelles Abbild der</w:t>
      </w:r>
      <w:r w:rsidR="00F46169">
        <w:t xml:space="preserve"> </w:t>
      </w:r>
      <w:r w:rsidR="00A1555A">
        <w:t>tatsächlichen Situation –</w:t>
      </w:r>
      <w:r>
        <w:t xml:space="preserve"> dies schon deshalb, weil die Schulen aufgrund der mannigfachen</w:t>
      </w:r>
      <w:r w:rsidR="00F46169">
        <w:t xml:space="preserve"> </w:t>
      </w:r>
      <w:r>
        <w:t>Anforderungen in der Pandemie ihre Daten im Schulportal z.</w:t>
      </w:r>
      <w:r w:rsidR="0057373A">
        <w:t> </w:t>
      </w:r>
      <w:r>
        <w:t>T. nicht zeitnah</w:t>
      </w:r>
      <w:r w:rsidR="00F46169">
        <w:t xml:space="preserve"> </w:t>
      </w:r>
      <w:r>
        <w:t>aktualisieren können.</w:t>
      </w:r>
    </w:p>
    <w:p w:rsidR="00230E2B" w:rsidRDefault="00230E2B" w:rsidP="00230E2B">
      <w:pPr>
        <w:pStyle w:val="LTAntwortRessortText"/>
      </w:pPr>
      <w:r>
        <w:t xml:space="preserve">Es fehlen </w:t>
      </w:r>
      <w:r w:rsidR="005508E8">
        <w:t>z. B.</w:t>
      </w:r>
      <w:r>
        <w:t xml:space="preserve"> immer noch rund 450 im Portal, die noch keine Angaben zur Ausstattung</w:t>
      </w:r>
      <w:r w:rsidR="00F46169">
        <w:t xml:space="preserve"> </w:t>
      </w:r>
      <w:r>
        <w:t>gemacht haben. Außerdem haben seit 01.10.2021 rund die Hälfte der Schulen</w:t>
      </w:r>
      <w:r w:rsidR="00F46169">
        <w:t xml:space="preserve"> </w:t>
      </w:r>
      <w:r>
        <w:t>ihre Angaben nicht aktualisiert</w:t>
      </w:r>
      <w:r w:rsidR="00A1555A">
        <w:t>.</w:t>
      </w:r>
      <w:r w:rsidR="00F46169">
        <w:t xml:space="preserve"> </w:t>
      </w:r>
      <w:r>
        <w:t>Die im Portal gemeldete Zahl an Lüftern ist deswegen nicht repräsentativ für die tatsächliche</w:t>
      </w:r>
      <w:r w:rsidR="00F46169">
        <w:t xml:space="preserve"> </w:t>
      </w:r>
      <w:r>
        <w:t>Ausstattung der Schulen mit mobilen Lüftern.</w:t>
      </w:r>
    </w:p>
    <w:p w:rsidR="00230E2B" w:rsidRDefault="00230E2B" w:rsidP="00230E2B">
      <w:pPr>
        <w:pStyle w:val="LTAntwortRessortText"/>
      </w:pPr>
      <w:r>
        <w:t>Mit der Entwicklung der Antragszahlen des Förderprogramms haben wir ohnehin inzwischen</w:t>
      </w:r>
      <w:r w:rsidR="00F46169">
        <w:t xml:space="preserve"> </w:t>
      </w:r>
      <w:r>
        <w:t>ein viel besseres Instrument, um die aktuelle Ausstattung an den Schulen</w:t>
      </w:r>
      <w:r w:rsidR="00F46169">
        <w:t xml:space="preserve"> </w:t>
      </w:r>
      <w:r>
        <w:t>abschätzen zu können, da hier konkrete Beschaffungen mit Förderanträgen dahinterstecken.</w:t>
      </w:r>
      <w:r w:rsidR="00F46169">
        <w:t xml:space="preserve"> </w:t>
      </w:r>
      <w:r>
        <w:t>Die Zahl der zur Förderung beantragten Räume liegt aktuell über alle Förderrunden</w:t>
      </w:r>
      <w:r w:rsidR="00F46169">
        <w:t xml:space="preserve"> </w:t>
      </w:r>
      <w:r w:rsidR="0057373A">
        <w:t>hinweg bei rund 54 </w:t>
      </w:r>
      <w:r>
        <w:t>000 Räumen.</w:t>
      </w:r>
    </w:p>
    <w:p w:rsidR="00230E2B" w:rsidRDefault="00230E2B">
      <w:bookmarkStart w:id="58" w:name="Frage_Nr_28_Ende"/>
      <w:bookmarkEnd w:id="5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8"/>
        <w:gridCol w:w="5728"/>
      </w:tblGrid>
      <w:tr w:rsidR="00230E2B" w:rsidTr="007B0B33">
        <w:tc>
          <w:tcPr>
            <w:tcW w:w="2050" w:type="dxa"/>
          </w:tcPr>
          <w:p w:rsidR="00230E2B" w:rsidRDefault="00230E2B" w:rsidP="00230E2B">
            <w:pPr>
              <w:pStyle w:val="LTAnfrageInitiator"/>
            </w:pPr>
            <w:r>
              <w:lastRenderedPageBreak/>
              <w:t>Abgeordneter</w:t>
            </w:r>
            <w:r>
              <w:rPr>
                <w:b/>
              </w:rPr>
              <w:br/>
              <w:t>Matthias</w:t>
            </w:r>
            <w:r>
              <w:rPr>
                <w:b/>
              </w:rPr>
              <w:br/>
              <w:t>Fischbach</w:t>
            </w:r>
            <w:r>
              <w:rPr>
                <w:b/>
              </w:rPr>
              <w:br/>
            </w:r>
            <w:r>
              <w:t>(FDP)</w:t>
            </w:r>
            <w:bookmarkStart w:id="59" w:name="Frage_Nr_29"/>
            <w:bookmarkEnd w:id="59"/>
          </w:p>
        </w:tc>
        <w:tc>
          <w:tcPr>
            <w:tcW w:w="7200" w:type="dxa"/>
          </w:tcPr>
          <w:p w:rsidR="00230E2B" w:rsidRDefault="0012007F" w:rsidP="00230E2B">
            <w:pPr>
              <w:pStyle w:val="LTAnfrageText"/>
            </w:pPr>
            <w:r w:rsidRPr="0012007F">
              <w:rPr>
                <w:szCs w:val="24"/>
              </w:rPr>
              <w:t>Vor dem Hintergrund der Auftragsvergabe für technische und fachliche Vergabeunterstützungsleistungen rund um die BayernCloud Schule an die IABG Industrieanlagen-Betriebsgesellschaft mbH ohne Einholung weiterer Angebote und der zuvor unter deren Beteiligung durchgeführten, teils erfolglosen EU-weiten Ausschreibung im offenen Verfahren aus dem Sommer 2021 mit zwei Losen für allgemeine zukünftige Unterstützungsleistungen im übergreifenden Programm ByCS frage ich die Staatsregierung, wie die Ausschreibung aus dem Sommer 2021 unter Beteiligung der IABG Industrieanlagen-Betriebsgesellschaft mbH genau ablief (bitte um Übermittlung der Ausschreibungsunterlagen, der wesentlichen Informationen zum Ausschreibungsprozess sowie allen Informationen zum Mitwirken der IABG Industrieanlagen-Betriebsgesellschaft mbH sowie des damit verbundenen Beratervertrags – insbesondere dessen Vergabeprozess, Laufzeit und Leistungsumfang), welche Formen der vertraglichen oder sonstigen Kooperation jeweils im Einzelnen zwischen o. g. Unternehmen und ggfs. verbundenen Unternehmen und dem Staatsministerium für Unterricht und Kultus in den vergangenen drei Jahren bestanden und was im Detail den Alleinstellungscharakter und die Wirtschaftlichkeit im Vergleich zur möglichen Konkurrenz ausmachten, die eine ausschließliche Aufforderung zur Angebotsabgabe an die IABG im Rahmen der „Interimsvergabe“ rechtfertigten (bitte insbesondere relevante Bestandteile des Angebotsportfolios der IABG darstellen, welche von keinem Konkurrenten in Bayern geboten werden könnten)?</w:t>
            </w:r>
          </w:p>
        </w:tc>
      </w:tr>
    </w:tbl>
    <w:p w:rsidR="00230E2B" w:rsidRDefault="00230E2B" w:rsidP="00230E2B">
      <w:pPr>
        <w:pStyle w:val="LTUeberschrAntwortRessort"/>
      </w:pPr>
      <w:r>
        <w:t>Antwort des Staatsministeriums für Unterricht und Kultus</w:t>
      </w:r>
    </w:p>
    <w:p w:rsidR="00230E2B" w:rsidRDefault="00230E2B" w:rsidP="00230E2B">
      <w:pPr>
        <w:pStyle w:val="LTAntwortRessortText"/>
      </w:pPr>
      <w:r>
        <w:t>Zum ersten Teil der Frage:</w:t>
      </w:r>
    </w:p>
    <w:p w:rsidR="00230E2B" w:rsidRDefault="00230E2B" w:rsidP="00504106">
      <w:pPr>
        <w:pStyle w:val="LTAntwortRessortText"/>
        <w:spacing w:before="120"/>
      </w:pPr>
      <w:r>
        <w:t>Die IABG ist im Rahmen einer I</w:t>
      </w:r>
      <w:r w:rsidR="00511864">
        <w:t>nterims-Vergabe beratend tätig –</w:t>
      </w:r>
      <w:r>
        <w:t xml:space="preserve"> betreffend das Projekt</w:t>
      </w:r>
      <w:r w:rsidR="00504106">
        <w:t xml:space="preserve"> </w:t>
      </w:r>
      <w:r>
        <w:t>des Ausbaus des pädagogischen virtuellen Arbeitsplatzes (pvA Stufe 2, derzeit</w:t>
      </w:r>
      <w:r w:rsidR="00504106">
        <w:t xml:space="preserve"> </w:t>
      </w:r>
      <w:r>
        <w:t>laufende EU-weite Ausschreibung) (vgl. Antwort zum dritten Teil).</w:t>
      </w:r>
      <w:r w:rsidR="00504106">
        <w:t xml:space="preserve"> </w:t>
      </w:r>
      <w:r w:rsidR="00511864">
        <w:t>Die IABG war –</w:t>
      </w:r>
      <w:r>
        <w:t xml:space="preserve"> anders als in der Anfrage dargest</w:t>
      </w:r>
      <w:r w:rsidR="00511864">
        <w:t>ellt –</w:t>
      </w:r>
      <w:r>
        <w:t xml:space="preserve"> nicht involviert in die oben genannten</w:t>
      </w:r>
      <w:r w:rsidR="00504106">
        <w:t xml:space="preserve"> </w:t>
      </w:r>
      <w:r>
        <w:t>EU-weiten Ausschreibung mit zwei Losen. Deshalb können keine Aussagen</w:t>
      </w:r>
      <w:r w:rsidR="00504106">
        <w:t xml:space="preserve"> </w:t>
      </w:r>
      <w:r>
        <w:t>zum Ablauf der Beteiligung sowie des damit verbundenen Beratervertrags mit der IABG</w:t>
      </w:r>
      <w:r w:rsidR="00504106">
        <w:t xml:space="preserve"> </w:t>
      </w:r>
      <w:r>
        <w:t>gemacht werden.</w:t>
      </w:r>
    </w:p>
    <w:p w:rsidR="00230E2B" w:rsidRDefault="00230E2B" w:rsidP="00230E2B">
      <w:pPr>
        <w:pStyle w:val="LTAntwortRessortText"/>
      </w:pPr>
      <w:r>
        <w:t>Bei der in der Anfrage erwähnten EU-weit</w:t>
      </w:r>
      <w:r w:rsidR="00511864">
        <w:t>en Ausschreibung mit zwei</w:t>
      </w:r>
      <w:r>
        <w:t xml:space="preserve"> Losen handelte es</w:t>
      </w:r>
      <w:r w:rsidR="00504106">
        <w:t xml:space="preserve"> </w:t>
      </w:r>
      <w:r>
        <w:t>sich um ein offenes Verfahren mit einer Vertragslaufzeit vom 14.09.2021 bis zum</w:t>
      </w:r>
      <w:r w:rsidR="00504106">
        <w:t xml:space="preserve"> </w:t>
      </w:r>
      <w:r>
        <w:t>13.03.2024 sowie folgenden konkreten Leistungen: Wahrnehmung verschiedener</w:t>
      </w:r>
      <w:r w:rsidR="00504106">
        <w:t xml:space="preserve"> </w:t>
      </w:r>
      <w:r>
        <w:t>strategischer und operativer Aufgaben im Programm BayernCloud Schule, insbesondere</w:t>
      </w:r>
      <w:r w:rsidR="00504106">
        <w:t xml:space="preserve"> </w:t>
      </w:r>
      <w:r>
        <w:t>im Bereich Programm-Management, Anforderungsmanagement, Service Management,</w:t>
      </w:r>
      <w:r w:rsidR="00504106">
        <w:t xml:space="preserve"> </w:t>
      </w:r>
      <w:r>
        <w:t>Business Analyse/PMO sowie allgemeine technische Beratung/Mitarbeit</w:t>
      </w:r>
      <w:r w:rsidR="00504106">
        <w:t xml:space="preserve"> </w:t>
      </w:r>
      <w:r>
        <w:t>und des Enterprise Architekten.</w:t>
      </w:r>
      <w:r w:rsidR="00504106">
        <w:t xml:space="preserve"> </w:t>
      </w:r>
      <w:r>
        <w:t>Das Vergabeverfahren mit zwei Losen konnte Anfang Oktober 2021 (nur teilweise erfolgreich)</w:t>
      </w:r>
      <w:r w:rsidR="00504106">
        <w:t xml:space="preserve"> </w:t>
      </w:r>
      <w:r>
        <w:t>beendet werden, wobei kein Bieter auf das Los, in welchem auch die Beratungsleistungen</w:t>
      </w:r>
      <w:r w:rsidR="00504106">
        <w:t xml:space="preserve"> </w:t>
      </w:r>
      <w:r>
        <w:t>zum Thema IT-Vergabe enthalten waren, ein Angebot abgegeben</w:t>
      </w:r>
      <w:r w:rsidR="00504106">
        <w:t xml:space="preserve"> </w:t>
      </w:r>
      <w:r>
        <w:t xml:space="preserve">hatte. Ein Grund war </w:t>
      </w:r>
      <w:r w:rsidR="005508E8">
        <w:t>u. a.</w:t>
      </w:r>
      <w:r>
        <w:t xml:space="preserve"> mangelnde Kapazitäten bei den Unternehmen.</w:t>
      </w:r>
    </w:p>
    <w:p w:rsidR="00230E2B" w:rsidRDefault="00230E2B" w:rsidP="00230E2B">
      <w:pPr>
        <w:pStyle w:val="LTAntwortRessortText"/>
      </w:pPr>
      <w:r>
        <w:lastRenderedPageBreak/>
        <w:t>Zum zweiten Teil der Frage:</w:t>
      </w:r>
    </w:p>
    <w:p w:rsidR="00230E2B" w:rsidRDefault="00230E2B" w:rsidP="00504106">
      <w:pPr>
        <w:pStyle w:val="LTAntwortRessortText"/>
        <w:spacing w:before="120"/>
      </w:pPr>
      <w:r>
        <w:t>Am Staatsministerium für Unterricht und Kultus wurden in den letzten</w:t>
      </w:r>
      <w:r w:rsidR="00504106">
        <w:t xml:space="preserve"> </w:t>
      </w:r>
      <w:r>
        <w:t>drei Jahren folgende IT-Dienstleistungsverträge mit der IABG (neben der oben erwähnten</w:t>
      </w:r>
      <w:r w:rsidR="00504106">
        <w:t xml:space="preserve"> </w:t>
      </w:r>
      <w:r>
        <w:t>Interimsvergabe) mit folgenden Leistungen geschlossen:</w:t>
      </w:r>
    </w:p>
    <w:p w:rsidR="00230E2B" w:rsidRDefault="00230E2B" w:rsidP="00A1555A">
      <w:pPr>
        <w:pStyle w:val="LTAntwortRessortText"/>
        <w:numPr>
          <w:ilvl w:val="0"/>
          <w:numId w:val="26"/>
        </w:numPr>
        <w:ind w:left="697" w:hanging="357"/>
      </w:pPr>
      <w:r>
        <w:t>Unterstützung bei der Angebotsauswertung für die Ausschreibung einer Videokonferenz-Lösung sowie Unterstützung bei der dazugehörigen Ausschreibung</w:t>
      </w:r>
      <w:r w:rsidR="00504106">
        <w:t xml:space="preserve"> </w:t>
      </w:r>
      <w:r>
        <w:t>eines diesbezüglichen Lasttest</w:t>
      </w:r>
      <w:r w:rsidR="00504106">
        <w:t>s</w:t>
      </w:r>
    </w:p>
    <w:p w:rsidR="00230E2B" w:rsidRDefault="00230E2B" w:rsidP="00A1555A">
      <w:pPr>
        <w:pStyle w:val="LTAntwortRessortText"/>
        <w:numPr>
          <w:ilvl w:val="0"/>
          <w:numId w:val="26"/>
        </w:numPr>
        <w:ind w:left="697" w:hanging="357"/>
      </w:pPr>
      <w:r>
        <w:t>1. Interimsvertrag: Unterstützung bei der Erstellung der Vergabeunterlagen für</w:t>
      </w:r>
      <w:r w:rsidR="00504106">
        <w:t xml:space="preserve"> </w:t>
      </w:r>
      <w:r>
        <w:t>die Ausschreibung von Kommunikation- und Kollaborationstools</w:t>
      </w:r>
    </w:p>
    <w:p w:rsidR="00230E2B" w:rsidRDefault="00230E2B" w:rsidP="00A1555A">
      <w:pPr>
        <w:pStyle w:val="LTAntwortRessortText"/>
        <w:numPr>
          <w:ilvl w:val="0"/>
          <w:numId w:val="26"/>
        </w:numPr>
        <w:ind w:left="697" w:hanging="357"/>
      </w:pPr>
      <w:r>
        <w:t>2. Interimsvertrag: Unterstützung bei der Finalisierung der Vergabeunterlagen</w:t>
      </w:r>
      <w:r w:rsidR="00504106">
        <w:t xml:space="preserve"> </w:t>
      </w:r>
      <w:r>
        <w:t>für die Ausschreibung von Kommunikation- und Kollaborationstools sowie bei</w:t>
      </w:r>
      <w:r w:rsidR="00504106">
        <w:t xml:space="preserve"> </w:t>
      </w:r>
      <w:r>
        <w:t>der Auswertung der Teilnahmeanträge.</w:t>
      </w:r>
    </w:p>
    <w:p w:rsidR="00230E2B" w:rsidRDefault="00230E2B" w:rsidP="00230E2B">
      <w:pPr>
        <w:pStyle w:val="LTAntwortRessortText"/>
      </w:pPr>
      <w:r>
        <w:t>Zum dritten Teil der Frage:</w:t>
      </w:r>
    </w:p>
    <w:p w:rsidR="00230E2B" w:rsidRDefault="00230E2B" w:rsidP="00504106">
      <w:pPr>
        <w:pStyle w:val="LTAntwortRessortText"/>
        <w:spacing w:before="120"/>
      </w:pPr>
      <w:r>
        <w:t>Es handelt sich bei der Beratungsleistung um eine freiberufliche Leistung. Gemäß</w:t>
      </w:r>
      <w:r w:rsidR="00504106">
        <w:t xml:space="preserve"> </w:t>
      </w:r>
      <w:r>
        <w:t xml:space="preserve">§ 50 </w:t>
      </w:r>
      <w:r w:rsidR="00511864">
        <w:t>der Unterschwellenvergabeordnung (</w:t>
      </w:r>
      <w:r>
        <w:t>UVgO</w:t>
      </w:r>
      <w:r w:rsidR="00511864">
        <w:t>)</w:t>
      </w:r>
      <w:r>
        <w:t xml:space="preserve"> sind öffentliche Aufträge über Leistungen, die im Rahmen einer freiberuflichen</w:t>
      </w:r>
      <w:r w:rsidR="00504106">
        <w:t xml:space="preserve"> </w:t>
      </w:r>
      <w:r>
        <w:t>Tätigkeit erbracht oder im Wettbewerb mit freiberuflich Tätigen angeboten werden,</w:t>
      </w:r>
      <w:r w:rsidR="00504106">
        <w:t xml:space="preserve"> </w:t>
      </w:r>
      <w:r>
        <w:t>grundsätzlich im Wettbewerb zu vergeben. Dabei ist so viel Wettbewerb zu</w:t>
      </w:r>
      <w:r w:rsidR="00504106">
        <w:t xml:space="preserve"> </w:t>
      </w:r>
      <w:r>
        <w:t>schaffen, wie dies nach der Natur des Geschäfts oder nach den besonderen Umständen</w:t>
      </w:r>
      <w:r w:rsidR="00504106">
        <w:t xml:space="preserve"> </w:t>
      </w:r>
      <w:r>
        <w:t>erforderlich ist.</w:t>
      </w:r>
      <w:r w:rsidR="00504106">
        <w:t xml:space="preserve"> </w:t>
      </w:r>
      <w:r>
        <w:t>Aufgrund besonderer Umstände war zur Erreichung des Beschaffungszwecks auch</w:t>
      </w:r>
      <w:r w:rsidR="00504106">
        <w:t xml:space="preserve"> </w:t>
      </w:r>
      <w:r>
        <w:t>unter Berücksichtigung der Einhaltung des Grundsatzes der Schaffung größtmöglichen</w:t>
      </w:r>
      <w:r w:rsidR="00504106">
        <w:t xml:space="preserve"> </w:t>
      </w:r>
      <w:r>
        <w:t>Wettbewerbs (§ 50 UVgO) sowie darüber h</w:t>
      </w:r>
      <w:r w:rsidR="00511864">
        <w:t>inaus in Anlehnung an die hier –</w:t>
      </w:r>
      <w:r w:rsidR="00504106">
        <w:t xml:space="preserve"> </w:t>
      </w:r>
      <w:r>
        <w:t>nicht unmittelbar geltenden Ausnahmetatbestände des § 8 Ab</w:t>
      </w:r>
      <w:r w:rsidR="00511864">
        <w:t>s.</w:t>
      </w:r>
      <w:r>
        <w:t xml:space="preserve"> 4 Nr. 9 und10 UVgO</w:t>
      </w:r>
      <w:r w:rsidR="00504106">
        <w:t xml:space="preserve"> </w:t>
      </w:r>
      <w:r w:rsidR="00511864">
        <w:t>–</w:t>
      </w:r>
      <w:r>
        <w:t xml:space="preserve"> eine Reduktion des Wettbewerbs auf einen Teilnehmer erforderlich und geboten:</w:t>
      </w:r>
      <w:r w:rsidR="00504106">
        <w:t xml:space="preserve"> </w:t>
      </w:r>
      <w:r w:rsidR="00511864">
        <w:t>Gem. § 8 </w:t>
      </w:r>
      <w:r>
        <w:t>Ab</w:t>
      </w:r>
      <w:r w:rsidR="00511864">
        <w:t>s.</w:t>
      </w:r>
      <w:r>
        <w:t xml:space="preserve"> 3 Nr. 9 und 10 i.</w:t>
      </w:r>
      <w:r w:rsidR="00511864">
        <w:t> </w:t>
      </w:r>
      <w:r>
        <w:t>V.</w:t>
      </w:r>
      <w:r w:rsidR="00511864">
        <w:t> </w:t>
      </w:r>
      <w:r>
        <w:t>m. § 12 Ab</w:t>
      </w:r>
      <w:r w:rsidR="00511864">
        <w:t>s.</w:t>
      </w:r>
      <w:r>
        <w:t xml:space="preserve"> 3 UVgO, welche gem. § 50 UVgO</w:t>
      </w:r>
      <w:r w:rsidR="00504106">
        <w:t xml:space="preserve"> </w:t>
      </w:r>
      <w:r>
        <w:t>nicht unmittelbar auf freiberufliche Leistungen anwendbar sind, wäre eine Vergabe</w:t>
      </w:r>
      <w:r w:rsidR="00504106">
        <w:t xml:space="preserve"> </w:t>
      </w:r>
      <w:r>
        <w:t xml:space="preserve">an ein bestimmtes Unternehmen dann möglich, wenn </w:t>
      </w:r>
      <w:r w:rsidR="00490BF0">
        <w:t>„</w:t>
      </w:r>
      <w:r>
        <w:t>die Leistung aufgrund von</w:t>
      </w:r>
      <w:r w:rsidR="00504106">
        <w:t xml:space="preserve"> </w:t>
      </w:r>
      <w:r>
        <w:t>Umständen, die der Auftraggeber nicht voraussehen konnte, besonders dringlich ist</w:t>
      </w:r>
      <w:r w:rsidR="00504106">
        <w:t xml:space="preserve"> </w:t>
      </w:r>
      <w:r>
        <w:t>und die Gründe für die besondere Dringlichkeit nicht dem Verhalten des Auftraggebers</w:t>
      </w:r>
      <w:r w:rsidR="00504106">
        <w:t xml:space="preserve"> </w:t>
      </w:r>
      <w:r>
        <w:t>zuzurechnen sind</w:t>
      </w:r>
      <w:r w:rsidR="00490BF0">
        <w:t>“</w:t>
      </w:r>
      <w:r>
        <w:t xml:space="preserve"> und </w:t>
      </w:r>
      <w:r w:rsidR="00490BF0">
        <w:t>„</w:t>
      </w:r>
      <w:r>
        <w:t>die Leistung nur von einem bestimmten Unternehmen</w:t>
      </w:r>
      <w:r w:rsidR="00504106">
        <w:t xml:space="preserve"> </w:t>
      </w:r>
      <w:r>
        <w:t>erbracht oder bereitgestellt werden kann</w:t>
      </w:r>
      <w:r w:rsidR="00490BF0">
        <w:t>“</w:t>
      </w:r>
      <w:r>
        <w:t>.</w:t>
      </w:r>
    </w:p>
    <w:p w:rsidR="00230E2B" w:rsidRDefault="00230E2B" w:rsidP="00230E2B">
      <w:pPr>
        <w:pStyle w:val="LTAntwortRessortText"/>
      </w:pPr>
      <w:r>
        <w:t>Zur Unvorhersehbarkeit des Ergebnisses der EU-weiten Ausschreibung mit zwei Losen</w:t>
      </w:r>
      <w:r w:rsidR="00504106">
        <w:t xml:space="preserve"> </w:t>
      </w:r>
      <w:r>
        <w:t>siehe die Antwort oben.</w:t>
      </w:r>
    </w:p>
    <w:p w:rsidR="00230E2B" w:rsidRDefault="00230E2B" w:rsidP="00230E2B">
      <w:pPr>
        <w:pStyle w:val="LTAntwortRessortText"/>
      </w:pPr>
      <w:r>
        <w:t>Zur Dringlichkeit der Leistung:</w:t>
      </w:r>
    </w:p>
    <w:p w:rsidR="00230E2B" w:rsidRDefault="00230E2B" w:rsidP="00504106">
      <w:pPr>
        <w:pStyle w:val="LTAntwortRessortText"/>
        <w:spacing w:before="120"/>
      </w:pPr>
      <w:r>
        <w:t>Da der Zeitpunkt, zu dem die Komponenten des pädagogisch virtuellen Arbeitsplatzes</w:t>
      </w:r>
      <w:r w:rsidR="00504106">
        <w:t xml:space="preserve"> </w:t>
      </w:r>
      <w:r>
        <w:t>Stufe 2 den Schulen zur Verfügung gestellt werden sollen, gesetzt ist (2. Halbjahr</w:t>
      </w:r>
      <w:r w:rsidR="00504106">
        <w:t xml:space="preserve"> </w:t>
      </w:r>
      <w:r>
        <w:t>Schuljahr 22/23), sollte eine Verzögerung durch unnötige Einarbeitungszeit eines</w:t>
      </w:r>
      <w:r w:rsidR="00504106">
        <w:t xml:space="preserve"> </w:t>
      </w:r>
      <w:r>
        <w:t>bislang unbeteiligten Unternehmens vermieden werden.</w:t>
      </w:r>
    </w:p>
    <w:p w:rsidR="00230E2B" w:rsidRDefault="00230E2B" w:rsidP="00230E2B">
      <w:pPr>
        <w:pStyle w:val="LTAntwortRessortText"/>
      </w:pPr>
      <w:r>
        <w:t>Zur Alleinstellung:</w:t>
      </w:r>
    </w:p>
    <w:p w:rsidR="00230E2B" w:rsidRDefault="00230E2B" w:rsidP="00504106">
      <w:pPr>
        <w:pStyle w:val="LTAntwortRessortText"/>
        <w:spacing w:before="120"/>
      </w:pPr>
      <w:r>
        <w:t>Zum Zeitpunkt der Interims-Vergabe an die IABG hätte die Beauftragung eines</w:t>
      </w:r>
      <w:r w:rsidR="00504106">
        <w:t xml:space="preserve"> </w:t>
      </w:r>
      <w:r>
        <w:t>neuen Dienstleisters als reine Zwischenlösung bis zum erfolgreichen Abschluss des</w:t>
      </w:r>
      <w:r w:rsidR="00504106">
        <w:t xml:space="preserve"> </w:t>
      </w:r>
      <w:r>
        <w:t>Vergabeverfahrens zur Beschaffung des (längerfristigen) technischen Vergabeberaters</w:t>
      </w:r>
      <w:r w:rsidR="00504106">
        <w:t xml:space="preserve"> </w:t>
      </w:r>
      <w:r>
        <w:t>deutlich mehr Aufwand durch die notwendige Einarbeitung aufgrund der Komplexität</w:t>
      </w:r>
      <w:r w:rsidR="00504106">
        <w:t xml:space="preserve"> </w:t>
      </w:r>
      <w:r>
        <w:t>der bereits bestehenden Vergabeunterlagen (&gt; 300 Seiten, zwei Lose, Teilnahmewettbewerb,</w:t>
      </w:r>
      <w:r w:rsidR="00504106">
        <w:t xml:space="preserve"> </w:t>
      </w:r>
      <w:r>
        <w:t>Verhandlungsverfahren) bedeutet, als es tatsächlich einen Nutzen für</w:t>
      </w:r>
      <w:r w:rsidR="00504106">
        <w:t xml:space="preserve"> </w:t>
      </w:r>
      <w:r>
        <w:t>die Ausschreibungsprozesse dargestellt hätte.</w:t>
      </w:r>
    </w:p>
    <w:p w:rsidR="00230E2B" w:rsidRDefault="00230E2B">
      <w:bookmarkStart w:id="60" w:name="Frage_Nr_29_Ende"/>
      <w:bookmarkEnd w:id="6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230E2B" w:rsidTr="007B0B33">
        <w:tc>
          <w:tcPr>
            <w:tcW w:w="2050" w:type="dxa"/>
          </w:tcPr>
          <w:p w:rsidR="00230E2B" w:rsidRDefault="00230E2B" w:rsidP="00230E2B">
            <w:pPr>
              <w:pStyle w:val="LTAnfrageInitiator"/>
            </w:pPr>
            <w:r>
              <w:lastRenderedPageBreak/>
              <w:t>Abgeordneter</w:t>
            </w:r>
            <w:r>
              <w:rPr>
                <w:b/>
              </w:rPr>
              <w:br/>
              <w:t>Volkmar</w:t>
            </w:r>
            <w:r>
              <w:rPr>
                <w:b/>
              </w:rPr>
              <w:br/>
              <w:t>Halbleib</w:t>
            </w:r>
            <w:r>
              <w:rPr>
                <w:b/>
              </w:rPr>
              <w:br/>
            </w:r>
            <w:r>
              <w:t>(SPD)</w:t>
            </w:r>
            <w:bookmarkStart w:id="61" w:name="Frage_Nr_30"/>
            <w:bookmarkEnd w:id="61"/>
          </w:p>
        </w:tc>
        <w:tc>
          <w:tcPr>
            <w:tcW w:w="7200" w:type="dxa"/>
          </w:tcPr>
          <w:p w:rsidR="00230E2B" w:rsidRDefault="00A615E7" w:rsidP="00A1555A">
            <w:pPr>
              <w:pStyle w:val="LTAnfrageText"/>
            </w:pPr>
            <w:r w:rsidRPr="00A615E7">
              <w:rPr>
                <w:szCs w:val="24"/>
              </w:rPr>
              <w:t xml:space="preserve">Ich frage die Staatsregierung, im Hinblick darauf, dass die Kosten für die zu Wochenbeginn durchzuführenden „normalen“ Nasen/Rachen-Selbsttests an Förderschulen ersetzt werden, nicht aber für die </w:t>
            </w:r>
            <w:r w:rsidR="00A1555A">
              <w:rPr>
                <w:szCs w:val="24"/>
              </w:rPr>
              <w:t>Lolli-Tests</w:t>
            </w:r>
            <w:r w:rsidRPr="00A615E7">
              <w:rPr>
                <w:szCs w:val="24"/>
              </w:rPr>
              <w:t>, die für Kinder notwendig sind, die wegen ihrer geistigen Behinderung bzw. wegen Autismus und der damit verbundenen Abwehrreaktion nicht mit den Nasen/Rache-Selbsttests getestet werden können und im Hinblick darauf, dass ein Verzicht auf die Tests nach den Sonderregelungen für Förderschulen weder dem Gesundheitsschutz noch einem gemeinschaftlichen Ansatz der Schulen für alle Kinder entspricht, wie sie diesen Sachverhalt beurteilt, ob sie die aus diesem Grund veranlassten sog. Lolli-Tests künftig in ihrem Schutzkonzept für die (Förder-)Schulen als sinnvoll und notwendig anerkennt und ob der Freistaat sowohl künftig die Kosten für diese Lolli-Tests übernimmt, als auch rückwirkend den Eltern bzw. Elternbeiräten erstattet?</w:t>
            </w:r>
          </w:p>
        </w:tc>
      </w:tr>
    </w:tbl>
    <w:p w:rsidR="00230E2B" w:rsidRDefault="00230E2B" w:rsidP="00230E2B">
      <w:pPr>
        <w:pStyle w:val="LTUeberschrAntwortRessort"/>
      </w:pPr>
      <w:r>
        <w:t>Antwort des Staatsministeriums für Unterricht und Kultus</w:t>
      </w:r>
    </w:p>
    <w:p w:rsidR="00230E2B" w:rsidRDefault="00230E2B" w:rsidP="00230E2B">
      <w:pPr>
        <w:pStyle w:val="LTAntwortRessortText"/>
      </w:pPr>
      <w:r>
        <w:t>In den Grundschulen, in der Grundschulstufe der Förderzentren sowie in den weiteren</w:t>
      </w:r>
      <w:r w:rsidR="00C8769A">
        <w:t xml:space="preserve"> </w:t>
      </w:r>
      <w:r>
        <w:t>Jahrgangsstufen der Förderzentren mit den Förderschwerpunkten geistige Entwicklung,</w:t>
      </w:r>
      <w:r w:rsidR="00C8769A">
        <w:t xml:space="preserve"> </w:t>
      </w:r>
      <w:r>
        <w:t xml:space="preserve">körperliche und motorische Entwicklung und Sehen wurde auf </w:t>
      </w:r>
      <w:r w:rsidR="00490BF0">
        <w:t>„</w:t>
      </w:r>
      <w:r>
        <w:t>PCR-Pooltestungen</w:t>
      </w:r>
      <w:r w:rsidR="00490BF0">
        <w:t>“</w:t>
      </w:r>
      <w:r w:rsidR="00C8769A">
        <w:t xml:space="preserve"> </w:t>
      </w:r>
      <w:r>
        <w:t>umgestellt, die zweimal wöchentlich abgenommen werden; hier ist zusätzlich</w:t>
      </w:r>
      <w:r w:rsidR="00C8769A">
        <w:t xml:space="preserve"> </w:t>
      </w:r>
      <w:r>
        <w:t>an jedem Montagmorgen ein zusätzlicher Testnachweis zu erbringen oder</w:t>
      </w:r>
      <w:r w:rsidR="00C8769A">
        <w:t xml:space="preserve"> </w:t>
      </w:r>
      <w:r>
        <w:t>ein über die Schule zur Verfügung gestellter Selbsttest unter Aufsicht vorzunehmen.</w:t>
      </w:r>
    </w:p>
    <w:p w:rsidR="00230E2B" w:rsidRDefault="00230E2B" w:rsidP="00230E2B">
      <w:pPr>
        <w:pStyle w:val="LTAntwortRessortText"/>
      </w:pPr>
      <w:r>
        <w:t>Die zusätzlich zu Wochenbeginn an jedem Montagmorgen vorgeschriebenen Selbsttests</w:t>
      </w:r>
      <w:r w:rsidR="00C8769A">
        <w:t xml:space="preserve"> </w:t>
      </w:r>
      <w:r>
        <w:t>werden ebenso wie die PCR-Pooltests zentral beschafft und den Schulen kostenlos</w:t>
      </w:r>
      <w:r w:rsidR="00C8769A">
        <w:t xml:space="preserve"> </w:t>
      </w:r>
      <w:r>
        <w:t>zur Verfügung gestellt. Mit der Anwendung der Selbsttests wurden bisher positive</w:t>
      </w:r>
      <w:r w:rsidR="00C8769A">
        <w:t xml:space="preserve"> </w:t>
      </w:r>
      <w:r>
        <w:t>Erfahrungen gemacht.</w:t>
      </w:r>
    </w:p>
    <w:p w:rsidR="00230E2B" w:rsidRDefault="00230E2B" w:rsidP="00230E2B">
      <w:pPr>
        <w:pStyle w:val="LTAntwortRessortText"/>
      </w:pPr>
      <w:r>
        <w:t>Ein Anspruch auf Beschaffung und Zurverfügungstellung anderer als der an den</w:t>
      </w:r>
      <w:r w:rsidR="00C8769A">
        <w:t xml:space="preserve"> </w:t>
      </w:r>
      <w:r>
        <w:t>Schulen vorgesehenen Tests oder Testverfahren nach Wahl der Erziehungsberechtigten</w:t>
      </w:r>
      <w:r w:rsidR="00C8769A">
        <w:t xml:space="preserve"> </w:t>
      </w:r>
      <w:r>
        <w:t>besteht weder gegen den Freistaat Bayern noch die jeweilige Schule vor Ort.</w:t>
      </w:r>
      <w:r w:rsidR="00C8769A">
        <w:t xml:space="preserve"> </w:t>
      </w:r>
      <w:r>
        <w:t>Dementsprechend besteht auch kein Kostenersatzanspruch für durch die Erziehungsberechtigen</w:t>
      </w:r>
      <w:r w:rsidR="00C8769A">
        <w:t xml:space="preserve"> </w:t>
      </w:r>
      <w:r>
        <w:t>selbst ausgewählte und beschaffte Test</w:t>
      </w:r>
      <w:r w:rsidR="00C8769A">
        <w:t>s.</w:t>
      </w:r>
    </w:p>
    <w:p w:rsidR="00230E2B" w:rsidRDefault="00230E2B" w:rsidP="00230E2B">
      <w:pPr>
        <w:pStyle w:val="LTAntwortRessortText"/>
      </w:pPr>
      <w:r>
        <w:t>Für Schülerinnen und Schüler mit festgestelltem sonderpädagogischen Förderbedarf</w:t>
      </w:r>
      <w:r w:rsidR="00C8769A">
        <w:t xml:space="preserve"> </w:t>
      </w:r>
      <w:r>
        <w:t xml:space="preserve">hat das Staatsministerium für Unterricht und Kultus </w:t>
      </w:r>
      <w:r w:rsidR="00116CF4">
        <w:t>–</w:t>
      </w:r>
      <w:r>
        <w:t xml:space="preserve"> wie in</w:t>
      </w:r>
      <w:r w:rsidR="00C8769A">
        <w:t xml:space="preserve"> </w:t>
      </w:r>
      <w:r>
        <w:t>§ 12 A</w:t>
      </w:r>
      <w:r w:rsidR="00116CF4">
        <w:t>bs.</w:t>
      </w:r>
      <w:r>
        <w:t xml:space="preserve"> 2 Satz 6 der 15. </w:t>
      </w:r>
      <w:r w:rsidR="00A1555A">
        <w:t>Bayerischen Infektionsschutzmaßnahmenv</w:t>
      </w:r>
      <w:r w:rsidR="001D67DF">
        <w:t>erordnung (</w:t>
      </w:r>
      <w:r>
        <w:t>BayIfSMV</w:t>
      </w:r>
      <w:r w:rsidR="001D67DF">
        <w:t>) vorgesehen –</w:t>
      </w:r>
      <w:r>
        <w:t xml:space="preserve"> mit Schreiben vom 09.04.2021</w:t>
      </w:r>
      <w:r w:rsidR="00C8769A">
        <w:t xml:space="preserve"> </w:t>
      </w:r>
      <w:r>
        <w:t>(SI/III.7- BS 4363.075/1) Ausnahmen bekannt gemacht, die auch nach Einführung</w:t>
      </w:r>
      <w:r w:rsidR="00C8769A">
        <w:t xml:space="preserve"> </w:t>
      </w:r>
      <w:r>
        <w:t xml:space="preserve">der PCR-Pooltestungen in den </w:t>
      </w:r>
      <w:r w:rsidR="005508E8">
        <w:t>o. g.</w:t>
      </w:r>
      <w:r>
        <w:t xml:space="preserve"> Schularten und Jahrgangsstufen weiterhin entsprechend</w:t>
      </w:r>
      <w:r w:rsidR="00C8769A">
        <w:t xml:space="preserve"> </w:t>
      </w:r>
      <w:r>
        <w:t>anzuwenden sind:</w:t>
      </w:r>
    </w:p>
    <w:p w:rsidR="00230E2B" w:rsidRDefault="00230E2B" w:rsidP="00A1555A">
      <w:pPr>
        <w:pStyle w:val="LTAntwortRessortText"/>
        <w:numPr>
          <w:ilvl w:val="0"/>
          <w:numId w:val="27"/>
        </w:numPr>
        <w:ind w:left="697" w:hanging="357"/>
      </w:pPr>
      <w:r>
        <w:t>Wenn Schülerinnen und Schüler aufgrund ihres sonderpädagogischen Förderbedarfs</w:t>
      </w:r>
      <w:r w:rsidR="00C8769A">
        <w:t xml:space="preserve"> </w:t>
      </w:r>
      <w:r>
        <w:t>die Selbsttests nicht al</w:t>
      </w:r>
      <w:r w:rsidR="005C0849">
        <w:t>leine durchführen können, kann –</w:t>
      </w:r>
      <w:r>
        <w:t xml:space="preserve"> soweit an der</w:t>
      </w:r>
      <w:r w:rsidR="00C8769A">
        <w:t xml:space="preserve"> </w:t>
      </w:r>
      <w:r w:rsidR="005C0849">
        <w:t>Schule vorhanden –</w:t>
      </w:r>
      <w:r>
        <w:t xml:space="preserve"> mit Einverständnis der Erziehungsberechtigten eine schulische</w:t>
      </w:r>
      <w:r w:rsidR="00C8769A">
        <w:t xml:space="preserve"> </w:t>
      </w:r>
      <w:r>
        <w:t>Pflegekraft oder auch eine gegebenenfalls vorhandene Schulbegleitung</w:t>
      </w:r>
      <w:r w:rsidR="00C8769A">
        <w:t xml:space="preserve"> </w:t>
      </w:r>
      <w:r>
        <w:t>in der Schule bei der Selbsttestung unterstützen. Inwiefern gegebenenfalls</w:t>
      </w:r>
      <w:r w:rsidR="00C8769A">
        <w:t xml:space="preserve"> </w:t>
      </w:r>
      <w:r>
        <w:t>auch lokale Testzentren beziehungsweise Vertragsärzte unterstützen können,</w:t>
      </w:r>
      <w:r w:rsidR="00C8769A">
        <w:t xml:space="preserve"> </w:t>
      </w:r>
      <w:r>
        <w:t>ist von den Beteiligten vor Ort zu klären.</w:t>
      </w:r>
    </w:p>
    <w:p w:rsidR="00230E2B" w:rsidRDefault="00230E2B" w:rsidP="00A1555A">
      <w:pPr>
        <w:pStyle w:val="LTAntwortRessortText"/>
        <w:numPr>
          <w:ilvl w:val="0"/>
          <w:numId w:val="27"/>
        </w:numPr>
        <w:ind w:left="697" w:hanging="357"/>
      </w:pPr>
      <w:r>
        <w:lastRenderedPageBreak/>
        <w:t>Wenn ein Selbsttest aufgrund des festgestellten sonderpädagogischen Förderbedarfs</w:t>
      </w:r>
      <w:r w:rsidR="00C8769A">
        <w:t xml:space="preserve"> </w:t>
      </w:r>
      <w:r>
        <w:t>auch unter diesen Maßgaben im Einzelfall nicht in der Schule</w:t>
      </w:r>
      <w:r w:rsidR="00C8769A">
        <w:t xml:space="preserve"> </w:t>
      </w:r>
      <w:r>
        <w:t>durchführbar sein sollte, können die Selbsttests nach entsprechender Glaubhaftmachung</w:t>
      </w:r>
      <w:r w:rsidR="00C8769A">
        <w:t xml:space="preserve"> </w:t>
      </w:r>
      <w:r>
        <w:t>mit Einverständnis der Schulleitung ausnahmsweise auch zuhause</w:t>
      </w:r>
      <w:r w:rsidR="00C8769A">
        <w:t xml:space="preserve"> </w:t>
      </w:r>
      <w:r>
        <w:t>unter Aufsicht und mit Unterstützung der Erziehungsberechtigten</w:t>
      </w:r>
      <w:r w:rsidR="00C8769A">
        <w:t xml:space="preserve"> </w:t>
      </w:r>
      <w:r>
        <w:t>durchgeführt werden. Die Erziehungsberechtigten haben das Testergebnis der</w:t>
      </w:r>
      <w:r w:rsidR="00C8769A">
        <w:t xml:space="preserve"> </w:t>
      </w:r>
      <w:r>
        <w:t>Schule vor dem Schulbesuch mitzuteilen. Ergänzend dürfen wir hierzu mitteilen,</w:t>
      </w:r>
      <w:r w:rsidR="00C8769A">
        <w:t xml:space="preserve"> </w:t>
      </w:r>
      <w:r>
        <w:t>dass die Testung in diesem Falle mittels aller zugelassener Selbsttests erfolgen</w:t>
      </w:r>
      <w:r w:rsidR="00C8769A">
        <w:t xml:space="preserve"> </w:t>
      </w:r>
      <w:r>
        <w:t>kann. Die Erziehungsberechtigten haben den Schulen mitzuteilen, falls</w:t>
      </w:r>
      <w:r w:rsidR="00C8769A">
        <w:t xml:space="preserve"> </w:t>
      </w:r>
      <w:r>
        <w:t>zuhause ein anderer als der von den Schulen zur Verfügung gestellter Selbsttest</w:t>
      </w:r>
      <w:r w:rsidR="00C8769A">
        <w:t xml:space="preserve"> </w:t>
      </w:r>
      <w:r>
        <w:t>durchgeführt wird, und müssen den Nachweis über die Zulassung dieses</w:t>
      </w:r>
      <w:r w:rsidR="00C8769A">
        <w:t xml:space="preserve"> </w:t>
      </w:r>
      <w:r>
        <w:t>Selbsttests führen.</w:t>
      </w:r>
    </w:p>
    <w:p w:rsidR="00230E2B" w:rsidRDefault="00230E2B" w:rsidP="00A1555A">
      <w:pPr>
        <w:pStyle w:val="LTAntwortRessortText"/>
        <w:numPr>
          <w:ilvl w:val="0"/>
          <w:numId w:val="27"/>
        </w:numPr>
        <w:ind w:left="697" w:hanging="357"/>
      </w:pPr>
      <w:r>
        <w:t>Wenn bei Schülerinnen und Schülern aufgrund ihres sonderpädagogischen</w:t>
      </w:r>
      <w:r w:rsidR="00C8769A">
        <w:t xml:space="preserve"> </w:t>
      </w:r>
      <w:r>
        <w:t>Förderbedarfs nach entsprechender Glaubhaftmachung überhaupt kein Test</w:t>
      </w:r>
      <w:r w:rsidR="00C8769A">
        <w:t xml:space="preserve"> </w:t>
      </w:r>
      <w:r>
        <w:t>auf eine Infektion mit dem Coronavirus SARS-CoV-2 durchführbar sein sollte,</w:t>
      </w:r>
      <w:r w:rsidR="00C8769A">
        <w:t xml:space="preserve"> </w:t>
      </w:r>
      <w:r>
        <w:t>kann die Schulleitung von der Testpflicht befreien. Es ist in diesem Ausnahmefall</w:t>
      </w:r>
      <w:r w:rsidR="00C8769A">
        <w:t xml:space="preserve"> </w:t>
      </w:r>
      <w:r>
        <w:t>auf eine besonders genaue Beachtung und zuverlässige Umsetzung</w:t>
      </w:r>
      <w:r w:rsidR="00C8769A">
        <w:t xml:space="preserve"> </w:t>
      </w:r>
      <w:r>
        <w:t>insbesondere des Rahmenhygieneplans Schulen zu achten, um etwaige Infektionen</w:t>
      </w:r>
      <w:r w:rsidR="00C8769A">
        <w:t xml:space="preserve"> </w:t>
      </w:r>
      <w:r>
        <w:t>auszuschließen.</w:t>
      </w:r>
    </w:p>
    <w:p w:rsidR="00230E2B" w:rsidRDefault="00230E2B" w:rsidP="00230E2B">
      <w:pPr>
        <w:pStyle w:val="LTAntwortRessortText"/>
      </w:pPr>
      <w:r>
        <w:t>Das Testkonzept hat sich in der Praxis bewährt. Eine Änderung des bestehenden</w:t>
      </w:r>
      <w:r w:rsidR="00C8769A">
        <w:t xml:space="preserve"> </w:t>
      </w:r>
      <w:r>
        <w:t>Testkonzepts, insbesondere eine Kostenerstattung für selbst beschaffte Lolli-Tests,</w:t>
      </w:r>
      <w:r w:rsidR="00C8769A">
        <w:t xml:space="preserve"> </w:t>
      </w:r>
      <w:r>
        <w:t>ist nicht beabsichtigt.</w:t>
      </w:r>
    </w:p>
    <w:p w:rsidR="00230E2B" w:rsidRDefault="00230E2B" w:rsidP="00230E2B">
      <w:pPr>
        <w:pStyle w:val="LTAntwortRessortText"/>
      </w:pPr>
      <w:r>
        <w:t>Unbenommen davon können für alle Schülerinnen und Schüler, die aus gesundheitlichen</w:t>
      </w:r>
      <w:r w:rsidR="00C8769A">
        <w:t xml:space="preserve"> </w:t>
      </w:r>
      <w:r>
        <w:t>oder anderen Gründen nicht an den kostenlosen in der Schule angebotenen</w:t>
      </w:r>
      <w:r w:rsidR="00C8769A">
        <w:t xml:space="preserve"> </w:t>
      </w:r>
      <w:r>
        <w:t>Tests teilnehmen können, die Gesu</w:t>
      </w:r>
      <w:r w:rsidR="00916304">
        <w:t>ndheitsämter gemäß § 16 der 15. </w:t>
      </w:r>
      <w:r>
        <w:t>BayIfSMV weitergehende</w:t>
      </w:r>
      <w:r w:rsidR="00C8769A">
        <w:t xml:space="preserve"> </w:t>
      </w:r>
      <w:r>
        <w:t>oder ergänzende Anordnungen oder Ausnahmeregelungen treffen. Sofern</w:t>
      </w:r>
      <w:r w:rsidR="00C8769A">
        <w:t xml:space="preserve"> </w:t>
      </w:r>
      <w:r>
        <w:t>diese keine eigenen Bestimmungen zur Kostentragung oder -erstattung enthalten,</w:t>
      </w:r>
      <w:r w:rsidR="00C8769A">
        <w:t xml:space="preserve"> </w:t>
      </w:r>
      <w:r>
        <w:t>richtet sich die Kostentragung für extern beigebrachte Tests nach den allgemeinen</w:t>
      </w:r>
      <w:r w:rsidR="00C8769A">
        <w:t xml:space="preserve"> </w:t>
      </w:r>
      <w:r>
        <w:t>Regelungen.</w:t>
      </w:r>
    </w:p>
    <w:p w:rsidR="00230E2B" w:rsidRDefault="00230E2B">
      <w:bookmarkStart w:id="62" w:name="Frage_Nr_30_Ende"/>
      <w:bookmarkEnd w:id="6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230E2B" w:rsidTr="007B0B33">
        <w:tc>
          <w:tcPr>
            <w:tcW w:w="2050" w:type="dxa"/>
          </w:tcPr>
          <w:p w:rsidR="00230E2B" w:rsidRDefault="00230E2B" w:rsidP="00230E2B">
            <w:pPr>
              <w:pStyle w:val="LTAnfrageInitiator"/>
            </w:pPr>
            <w:r>
              <w:lastRenderedPageBreak/>
              <w:t>Abgeordneter</w:t>
            </w:r>
            <w:r>
              <w:rPr>
                <w:b/>
              </w:rPr>
              <w:br/>
              <w:t>Helmut</w:t>
            </w:r>
            <w:r>
              <w:rPr>
                <w:b/>
              </w:rPr>
              <w:br/>
              <w:t>Markwort</w:t>
            </w:r>
            <w:r>
              <w:rPr>
                <w:b/>
              </w:rPr>
              <w:br/>
            </w:r>
            <w:r>
              <w:t>(FDP)</w:t>
            </w:r>
            <w:bookmarkStart w:id="63" w:name="Frage_Nr_31"/>
            <w:bookmarkEnd w:id="63"/>
          </w:p>
        </w:tc>
        <w:tc>
          <w:tcPr>
            <w:tcW w:w="7200" w:type="dxa"/>
          </w:tcPr>
          <w:p w:rsidR="00230E2B" w:rsidRDefault="00A903E1" w:rsidP="00230E2B">
            <w:pPr>
              <w:pStyle w:val="LTAnfrageText"/>
            </w:pPr>
            <w:r w:rsidRPr="00A903E1">
              <w:rPr>
                <w:szCs w:val="24"/>
              </w:rPr>
              <w:t>Vor dem Hintergrund der Bekanntmachung des Staatsministeriums für Unterricht und Kultus vom 8. Oktober 2013, Az. I.4-5 K5027-5b.116 918, die zuletzt durch Bekanntmachung vom 16. Oktober 2018 (Amtsblatt der Bayerischen Staatsministerien für Unterricht und Kultus und für Wissenschaft und Kunst –KWMBl. Seite 391) geändert worden ist, welche den Vollzug der Leistungen für die Kirchen in Bayern beim Landesamt für Schule verortet, frage ich die Staatsregierung, welche Gründe für diese Zuteilung sprechen (bitte insbesondere auch die fachliche Verbindung der einzelnen Leistungen wie beispielsweise die Förderung von außerordentlichen Bedürfnissen der Kirchen zu Aufgaben rund um das Schulsystem eingehen), welche Personalressourcen werden für die Aufgaben im Rahmen des Vollzugs eingesetzt (bitte klar bezüglich der einzelnen Förderungen abgrenzen und neben den Vollzeitkapazitäten auch auf die jährlichen Kosten eingehen) und welche Anträge wurden mit Bezug auf die Förderung von außerordentlichen Bedürfnissen der Kirchen in den vergangenen beiden Jahren im Einzelnen bearbeitet (bitte einzelne Vorhaben und dazu beantragte, bewilligte und ausgezahlte Summen sowie die mittlere Bearbeitungsdauer darstellen)?</w:t>
            </w:r>
          </w:p>
        </w:tc>
      </w:tr>
    </w:tbl>
    <w:p w:rsidR="00230E2B" w:rsidRDefault="00230E2B" w:rsidP="00230E2B">
      <w:pPr>
        <w:pStyle w:val="LTUeberschrAntwortRessort"/>
      </w:pPr>
      <w:r>
        <w:t>Antwort des Staatsministeriums für Unterricht und Kultus</w:t>
      </w:r>
    </w:p>
    <w:p w:rsidR="00230E2B" w:rsidRDefault="00230E2B" w:rsidP="00230E2B">
      <w:pPr>
        <w:pStyle w:val="LTAntwortRessortText"/>
      </w:pPr>
      <w:r>
        <w:t>1. Gründe für die Aufgabenübertragung an das Landesamt für Schule</w:t>
      </w:r>
    </w:p>
    <w:p w:rsidR="00230E2B" w:rsidRDefault="00230E2B" w:rsidP="00230E2B">
      <w:pPr>
        <w:pStyle w:val="LTAntwortRessortText"/>
      </w:pPr>
      <w:r>
        <w:t>Die in der Bekanntmachung des Staatsministeriums für Unterricht und</w:t>
      </w:r>
      <w:r w:rsidR="009078C4">
        <w:t xml:space="preserve"> </w:t>
      </w:r>
      <w:r>
        <w:t>Kultus (KMBek) vom 8. Oktober 2013, Az. I.4-5 K 5027-5b.116 918, in der aktuellen</w:t>
      </w:r>
      <w:r w:rsidR="009078C4">
        <w:t xml:space="preserve"> </w:t>
      </w:r>
      <w:r>
        <w:t>Fassung aufgeführten Aufgaben waren und sind sowohl hinsichtlich ihrer Struktur als</w:t>
      </w:r>
      <w:r w:rsidR="009078C4">
        <w:t xml:space="preserve"> </w:t>
      </w:r>
      <w:r>
        <w:t>auch ihrer Komplexität gut für die Übertragung auf eine nachgeordnete Behörde geeignet.</w:t>
      </w:r>
      <w:r w:rsidR="009078C4">
        <w:t xml:space="preserve"> </w:t>
      </w:r>
      <w:r>
        <w:t>Um einen gleichmäßigen Verwaltungsvollzug sicherzustellen, ist es sinnvoll,</w:t>
      </w:r>
      <w:r w:rsidR="009078C4">
        <w:t xml:space="preserve"> </w:t>
      </w:r>
      <w:r>
        <w:t>dass diese Aufgaben zentral von einer Stelle bearbeitet und nicht von den sieben Bezirksregierungen</w:t>
      </w:r>
      <w:r w:rsidR="009078C4">
        <w:t xml:space="preserve"> </w:t>
      </w:r>
      <w:r>
        <w:t>für ihren jeweiligen Bereich gesondert erledigt werden. Durch die</w:t>
      </w:r>
      <w:r w:rsidR="009078C4">
        <w:t xml:space="preserve"> </w:t>
      </w:r>
      <w:r>
        <w:t>Bündelung der Aufgaben auf eine Stelle können darüber hinaus Effizienzvorteile erzielt</w:t>
      </w:r>
      <w:r w:rsidR="009078C4">
        <w:t xml:space="preserve"> </w:t>
      </w:r>
      <w:r>
        <w:t>werden.</w:t>
      </w:r>
      <w:r w:rsidR="009078C4">
        <w:t xml:space="preserve"> </w:t>
      </w:r>
      <w:r>
        <w:t>Gemäß Art. 117 Ab</w:t>
      </w:r>
      <w:r w:rsidR="009078C4">
        <w:t>s.</w:t>
      </w:r>
      <w:r>
        <w:t xml:space="preserve"> 2 </w:t>
      </w:r>
      <w:r w:rsidR="00FD6DB0">
        <w:t>des Bayerischen Gesetzes über das Erziehungs- und Unterrichtswesen (</w:t>
      </w:r>
      <w:r>
        <w:t>BayEUG</w:t>
      </w:r>
      <w:r w:rsidR="00FD6DB0">
        <w:t>)</w:t>
      </w:r>
      <w:r>
        <w:t xml:space="preserve"> erfüllt das Landesamt für Schule zwar</w:t>
      </w:r>
      <w:r w:rsidR="009078C4">
        <w:t xml:space="preserve"> </w:t>
      </w:r>
      <w:r>
        <w:t>insbesondere Aufgaben der schulischen Personalverwaltung, Schulfinanzierung, etc.,</w:t>
      </w:r>
      <w:r w:rsidR="009078C4">
        <w:t xml:space="preserve"> </w:t>
      </w:r>
      <w:r>
        <w:t>jedoch nicht ausschließlich. Die Übertragung der Aufgaben auf das Landesamt für</w:t>
      </w:r>
      <w:r w:rsidR="009078C4">
        <w:t xml:space="preserve"> </w:t>
      </w:r>
      <w:r>
        <w:t>Schule war und ist daher sowohl möglich als auch sinnvoll.</w:t>
      </w:r>
    </w:p>
    <w:p w:rsidR="00230E2B" w:rsidRDefault="00230E2B" w:rsidP="00230E2B">
      <w:pPr>
        <w:pStyle w:val="LTAntwortRessortText"/>
      </w:pPr>
      <w:r>
        <w:t>2. Personalressourcen</w:t>
      </w:r>
    </w:p>
    <w:p w:rsidR="00230E2B" w:rsidRDefault="00230E2B" w:rsidP="00230E2B">
      <w:pPr>
        <w:pStyle w:val="LTAntwortRessortText"/>
      </w:pPr>
      <w:r>
        <w:t xml:space="preserve">Für den Vollzug der in der </w:t>
      </w:r>
      <w:r w:rsidR="005508E8">
        <w:t>o. g.</w:t>
      </w:r>
      <w:r>
        <w:t xml:space="preserve"> KMBek aufgeführten Aufgaben werden vom Landesamt</w:t>
      </w:r>
      <w:r w:rsidR="009078C4">
        <w:t xml:space="preserve"> </w:t>
      </w:r>
      <w:r>
        <w:t>für Schule insgesamt ca. 0,2 Mitarbeiterkapazitäten (ausgehend von einer Vollzeitbeschäftigung)</w:t>
      </w:r>
      <w:r w:rsidR="009078C4">
        <w:t xml:space="preserve"> </w:t>
      </w:r>
      <w:r w:rsidR="00927168">
        <w:t>in Besoldungsgruppe A </w:t>
      </w:r>
      <w:r>
        <w:t>11 eingesetzt. Eine Differenzierung der Zeitanteile</w:t>
      </w:r>
      <w:r w:rsidR="009078C4">
        <w:t xml:space="preserve"> </w:t>
      </w:r>
      <w:r>
        <w:t>nach den jeweiligen Aufgaben erfolgt nicht. Daher können die entsprechenden</w:t>
      </w:r>
      <w:r w:rsidR="009078C4">
        <w:t xml:space="preserve"> </w:t>
      </w:r>
      <w:r>
        <w:t>Zeitanteile auch nicht zugeordnet und benannt werden. Unter Berücksichtigung der</w:t>
      </w:r>
      <w:r w:rsidR="009078C4">
        <w:t xml:space="preserve"> </w:t>
      </w:r>
      <w:r>
        <w:t xml:space="preserve">vom Staatsministerium der Finanzen und für Heimat ermittelten </w:t>
      </w:r>
      <w:r w:rsidR="00490BF0">
        <w:t>„</w:t>
      </w:r>
      <w:r>
        <w:t>Personaldurchschnittskosten</w:t>
      </w:r>
      <w:r w:rsidR="009078C4">
        <w:t xml:space="preserve"> </w:t>
      </w:r>
      <w:r>
        <w:t>und Personalvollkosten im öffentlichen Dienst für die Zeit ab 1.</w:t>
      </w:r>
      <w:r w:rsidR="009078C4">
        <w:t xml:space="preserve"> </w:t>
      </w:r>
      <w:r>
        <w:t>Januar 2021</w:t>
      </w:r>
      <w:r w:rsidR="00490BF0">
        <w:t>“</w:t>
      </w:r>
      <w:r>
        <w:t xml:space="preserve"> ergeben sich damit Personaldurchschnittskosten in Höhe von knapp</w:t>
      </w:r>
      <w:r w:rsidR="009078C4">
        <w:t xml:space="preserve"> </w:t>
      </w:r>
      <w:r w:rsidR="00FD6DB0">
        <w:t>16 </w:t>
      </w:r>
      <w:r>
        <w:t>000 Euro.</w:t>
      </w:r>
    </w:p>
    <w:p w:rsidR="00230E2B" w:rsidRDefault="00230E2B" w:rsidP="00230E2B">
      <w:pPr>
        <w:pStyle w:val="LTAntwortRessortText"/>
      </w:pPr>
      <w:r>
        <w:lastRenderedPageBreak/>
        <w:t>3. Außerordentliche Bedürfnisse</w:t>
      </w:r>
    </w:p>
    <w:p w:rsidR="00230E2B" w:rsidRDefault="00230E2B" w:rsidP="00230E2B">
      <w:pPr>
        <w:pStyle w:val="LTAntwortRessortText"/>
      </w:pPr>
      <w:r>
        <w:t>Auf die beigefügten Aufstellungen für die Jahre 2020</w:t>
      </w:r>
      <w:r w:rsidR="00927168" w:rsidRPr="00927168">
        <w:rPr>
          <w:rStyle w:val="LTHyperlinkZchn"/>
          <w:b w:val="0"/>
        </w:rPr>
        <w:t>*)</w:t>
      </w:r>
      <w:r>
        <w:t xml:space="preserve"> und 2021</w:t>
      </w:r>
      <w:r w:rsidR="00927168" w:rsidRPr="00927168">
        <w:rPr>
          <w:rStyle w:val="LTHyperlinkZchn"/>
          <w:b w:val="0"/>
        </w:rPr>
        <w:t>**)</w:t>
      </w:r>
      <w:r>
        <w:t xml:space="preserve"> wird hingewiesen. Die</w:t>
      </w:r>
      <w:r w:rsidR="009078C4">
        <w:t xml:space="preserve"> </w:t>
      </w:r>
      <w:r>
        <w:t>ebenfalls erbetenen Angaben zu den beantragten Fördermitteln liegen nicht vor und</w:t>
      </w:r>
      <w:r w:rsidR="009078C4">
        <w:t xml:space="preserve"> </w:t>
      </w:r>
      <w:r>
        <w:t>konnten im Hinblick auf die Kürze der Zeit für die Beantwortung auch nicht nacherhoben</w:t>
      </w:r>
      <w:r w:rsidR="009078C4">
        <w:t xml:space="preserve"> </w:t>
      </w:r>
      <w:r>
        <w:t>werden. Gleiches gilt für die Bearbeitungsdauer, da auch hier keine konkreten</w:t>
      </w:r>
      <w:r w:rsidR="009078C4">
        <w:t xml:space="preserve"> </w:t>
      </w:r>
      <w:r>
        <w:t>Angaben vorliegen. Die Bearbeitungsdauer bei der Antragsbearbeitung beträgt in der</w:t>
      </w:r>
      <w:r w:rsidR="009078C4">
        <w:t xml:space="preserve"> </w:t>
      </w:r>
      <w:r>
        <w:t>Regel nur wenige Tage.</w:t>
      </w:r>
    </w:p>
    <w:p w:rsidR="00230E2B" w:rsidRDefault="00927168" w:rsidP="00230E2B">
      <w:pPr>
        <w:pStyle w:val="LTAntwortRessortText"/>
      </w:pPr>
      <w:r>
        <w:t xml:space="preserve">*) Von einem Abdruck wurde abgesehen. Die Anlage 1 ist als pdf-Dokument </w:t>
      </w:r>
      <w:hyperlink r:id="rId15" w:history="1">
        <w:r w:rsidRPr="00927168">
          <w:rPr>
            <w:rStyle w:val="LTHyperlinkZchn"/>
            <w:b w:val="0"/>
          </w:rPr>
          <w:t>hier</w:t>
        </w:r>
      </w:hyperlink>
      <w:r>
        <w:t xml:space="preserve"> einsehbar.</w:t>
      </w:r>
    </w:p>
    <w:p w:rsidR="00927168" w:rsidRDefault="00927168" w:rsidP="00230E2B">
      <w:pPr>
        <w:pStyle w:val="LTAntwortRessortText"/>
      </w:pPr>
      <w:r>
        <w:t xml:space="preserve">**) Von einem Abdruck wurde abgesehen. Die Anlage 2 ist als pdf-Dokument </w:t>
      </w:r>
      <w:hyperlink r:id="rId16" w:history="1">
        <w:r w:rsidRPr="00927168">
          <w:rPr>
            <w:rStyle w:val="LTHyperlinkZchn"/>
            <w:b w:val="0"/>
          </w:rPr>
          <w:t>hier</w:t>
        </w:r>
      </w:hyperlink>
      <w:r>
        <w:t xml:space="preserve"> einsehbar.</w:t>
      </w:r>
    </w:p>
    <w:p w:rsidR="00927168" w:rsidRDefault="00927168" w:rsidP="00230E2B">
      <w:pPr>
        <w:pStyle w:val="LTAntwortRessortText"/>
      </w:pPr>
    </w:p>
    <w:p w:rsidR="00230E2B" w:rsidRDefault="00230E2B">
      <w:bookmarkStart w:id="64" w:name="Frage_Nr_31_Ende"/>
      <w:bookmarkEnd w:id="6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230E2B" w:rsidTr="007B0B33">
        <w:tc>
          <w:tcPr>
            <w:tcW w:w="2050" w:type="dxa"/>
          </w:tcPr>
          <w:p w:rsidR="00230E2B" w:rsidRDefault="00230E2B" w:rsidP="00230E2B">
            <w:pPr>
              <w:pStyle w:val="LTAnfrageInitiator"/>
            </w:pPr>
            <w:r>
              <w:lastRenderedPageBreak/>
              <w:t>Abgeordnete</w:t>
            </w:r>
            <w:r>
              <w:rPr>
                <w:b/>
              </w:rPr>
              <w:br/>
              <w:t>Doris</w:t>
            </w:r>
            <w:r>
              <w:rPr>
                <w:b/>
              </w:rPr>
              <w:br/>
              <w:t>Rauscher</w:t>
            </w:r>
            <w:r>
              <w:rPr>
                <w:b/>
              </w:rPr>
              <w:br/>
            </w:r>
            <w:r>
              <w:t>(SPD)</w:t>
            </w:r>
            <w:bookmarkStart w:id="65" w:name="Frage_Nr_32"/>
            <w:bookmarkEnd w:id="65"/>
          </w:p>
        </w:tc>
        <w:tc>
          <w:tcPr>
            <w:tcW w:w="7200" w:type="dxa"/>
          </w:tcPr>
          <w:p w:rsidR="00230E2B" w:rsidRDefault="00A903E1" w:rsidP="00230E2B">
            <w:pPr>
              <w:pStyle w:val="LTAnfrageText"/>
            </w:pPr>
            <w:r w:rsidRPr="00A903E1">
              <w:rPr>
                <w:szCs w:val="24"/>
              </w:rPr>
              <w:t>Ich frage die Staatsregierung, wie gestalten sich derzeit die Überlegungen und Planungen für eine Fachakademie zur Erzieherausbildung im Landkreis Ebersberg (bitte mit Nennung von Planungsstand, mögliche Träger und Standorte, Finanzierung), welche Zeitschiene ist jeweils zur Umsetzung einer Fachakademie sowie der angekündigten Kinderpflegeschule in Grafing angedacht und mit wie vielen Ausbildungsplätzen an Fachakademie und Kinderpflegeschule rechnet die Staatsregierung?</w:t>
            </w:r>
          </w:p>
        </w:tc>
      </w:tr>
    </w:tbl>
    <w:p w:rsidR="00230E2B" w:rsidRDefault="00230E2B" w:rsidP="00230E2B">
      <w:pPr>
        <w:pStyle w:val="LTUeberschrAntwortRessort"/>
      </w:pPr>
      <w:r>
        <w:t>Antwort des Staatsministeriums für Unterricht und Kultus</w:t>
      </w:r>
    </w:p>
    <w:p w:rsidR="00230E2B" w:rsidRDefault="00230E2B" w:rsidP="00230E2B">
      <w:pPr>
        <w:pStyle w:val="LTAntwortRessortText"/>
      </w:pPr>
      <w:r>
        <w:t>Mit Schreiben vom 14. Juni 2021 hat der Landkreis Ebersberg einen Antrag auf Errichtung</w:t>
      </w:r>
      <w:r w:rsidR="00D63E18">
        <w:t xml:space="preserve"> </w:t>
      </w:r>
      <w:r>
        <w:t>einer Staatlichen Berufsfachschule für Kinderpflege eingereicht. Diesem Antrag</w:t>
      </w:r>
      <w:r w:rsidR="00D63E18">
        <w:t xml:space="preserve"> </w:t>
      </w:r>
      <w:r>
        <w:t>stimmte das Staatsministerium der Finanzen und für Heimat (StMFH) nach Prüfung</w:t>
      </w:r>
      <w:r w:rsidR="00D63E18">
        <w:t xml:space="preserve"> </w:t>
      </w:r>
      <w:r>
        <w:t>durch das Staatsministerium für Unterricht und Kultus (StMUK) zu.</w:t>
      </w:r>
      <w:r w:rsidR="00D63E18">
        <w:t xml:space="preserve"> </w:t>
      </w:r>
      <w:r>
        <w:t>Mit dieser Zustimmung ist keine Vorwegfestlegung über eine künftige Staatliche</w:t>
      </w:r>
      <w:r w:rsidR="00D63E18">
        <w:t xml:space="preserve"> </w:t>
      </w:r>
      <w:r>
        <w:t>Fachakademie für Sozialpädagogik verbunden.</w:t>
      </w:r>
    </w:p>
    <w:p w:rsidR="00230E2B" w:rsidRDefault="00230E2B" w:rsidP="00230E2B">
      <w:pPr>
        <w:pStyle w:val="LTAntwortRessortText"/>
      </w:pPr>
      <w:r>
        <w:t>Der Landkreis Ebersberg entscheidet als Sachaufwandsträger, zu welchem Zeitpunkt</w:t>
      </w:r>
      <w:r w:rsidR="00D63E18">
        <w:t xml:space="preserve"> </w:t>
      </w:r>
      <w:r>
        <w:t>und an welchem Ort die Berufsfachschule für Kinderpflege errichtet werden soll. Das</w:t>
      </w:r>
      <w:r w:rsidR="00D63E18">
        <w:t xml:space="preserve"> </w:t>
      </w:r>
      <w:r>
        <w:t>StMUK ist für die Finanzierung des Lehrpersonals zuständig.</w:t>
      </w:r>
      <w:r w:rsidR="00D63E18">
        <w:t xml:space="preserve"> </w:t>
      </w:r>
      <w:r>
        <w:t xml:space="preserve">Erst in weiterer Folge und Etablierung der Berufsfachschule für Kinderpflege als </w:t>
      </w:r>
      <w:r w:rsidR="00490BF0">
        <w:t>„</w:t>
      </w:r>
      <w:r>
        <w:t>Zubringerschule</w:t>
      </w:r>
      <w:r w:rsidR="00490BF0">
        <w:t>“</w:t>
      </w:r>
      <w:r w:rsidR="00D63E18">
        <w:t xml:space="preserve"> </w:t>
      </w:r>
      <w:r>
        <w:t>kann die Errichtung einer Fachakademie für Sozialpädagogik in staatlicher</w:t>
      </w:r>
      <w:r w:rsidR="00D63E18">
        <w:t xml:space="preserve"> </w:t>
      </w:r>
      <w:r>
        <w:t>Trägerschaft geprüft und ggf. vorbereitet werden.</w:t>
      </w:r>
    </w:p>
    <w:p w:rsidR="00230E2B" w:rsidRDefault="00230E2B" w:rsidP="00230E2B">
      <w:pPr>
        <w:pStyle w:val="LTAntwortRessortText"/>
      </w:pPr>
      <w:r>
        <w:t>Der Schulbetrieb der Staatlichen Berufsfachschule für Kinderpflege wird voraussichtlich</w:t>
      </w:r>
      <w:r w:rsidR="00D63E18">
        <w:t xml:space="preserve"> </w:t>
      </w:r>
      <w:r>
        <w:t>einzügig starten. Die Ausbildungskapazitäten können bedarfsbezogen erweitert</w:t>
      </w:r>
      <w:r w:rsidR="00D63E18">
        <w:t xml:space="preserve"> </w:t>
      </w:r>
      <w:r>
        <w:t>werden.</w:t>
      </w:r>
    </w:p>
    <w:p w:rsidR="00230E2B" w:rsidRDefault="00230E2B" w:rsidP="00230E2B">
      <w:pPr>
        <w:pStyle w:val="LTAntwortRessortText"/>
      </w:pPr>
      <w:r>
        <w:t>Der Regierung von Oberbayern liegt kein Antrag auf Errichtung einer Fachakademie</w:t>
      </w:r>
      <w:r w:rsidR="00D63E18">
        <w:t xml:space="preserve"> </w:t>
      </w:r>
      <w:r>
        <w:t>für Sozialpädagogik in privater Trägerschaft vor.</w:t>
      </w:r>
    </w:p>
    <w:p w:rsidR="00230E2B" w:rsidRDefault="00230E2B">
      <w:bookmarkStart w:id="66" w:name="Frage_Nr_32_Ende"/>
      <w:bookmarkEnd w:id="6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9"/>
        <w:gridCol w:w="5717"/>
      </w:tblGrid>
      <w:tr w:rsidR="00230E2B" w:rsidTr="007B0B33">
        <w:tc>
          <w:tcPr>
            <w:tcW w:w="2050" w:type="dxa"/>
          </w:tcPr>
          <w:p w:rsidR="00230E2B" w:rsidRDefault="00230E2B" w:rsidP="00230E2B">
            <w:pPr>
              <w:pStyle w:val="LTAnfrageInitiator"/>
            </w:pPr>
            <w:r>
              <w:lastRenderedPageBreak/>
              <w:t>Abgeordnete</w:t>
            </w:r>
            <w:r>
              <w:rPr>
                <w:b/>
              </w:rPr>
              <w:br/>
              <w:t>Anna</w:t>
            </w:r>
            <w:r>
              <w:rPr>
                <w:b/>
              </w:rPr>
              <w:br/>
              <w:t>Schwamberger</w:t>
            </w:r>
            <w:r>
              <w:rPr>
                <w:b/>
              </w:rPr>
              <w:br/>
            </w:r>
            <w:r>
              <w:t>(BÜNDNIS 90/DIE GRÜNEN)</w:t>
            </w:r>
            <w:bookmarkStart w:id="67" w:name="Frage_Nr_33"/>
            <w:bookmarkEnd w:id="67"/>
          </w:p>
        </w:tc>
        <w:tc>
          <w:tcPr>
            <w:tcW w:w="7200" w:type="dxa"/>
          </w:tcPr>
          <w:p w:rsidR="00230E2B" w:rsidRDefault="00255766" w:rsidP="00230E2B">
            <w:pPr>
              <w:pStyle w:val="LTAnfrageText"/>
            </w:pPr>
            <w:r w:rsidRPr="00255766">
              <w:rPr>
                <w:szCs w:val="24"/>
              </w:rPr>
              <w:t>Ich frage die Staatsregierung, ob nach ihrer Kenntnis der Verein „Wissen schafft Freiheit“</w:t>
            </w:r>
            <w:r w:rsidRPr="00255766">
              <w:rPr>
                <w:rStyle w:val="Funotenzeichen"/>
                <w:szCs w:val="24"/>
              </w:rPr>
              <w:footnoteReference w:id="3"/>
            </w:r>
            <w:r w:rsidRPr="00255766">
              <w:rPr>
                <w:szCs w:val="24"/>
              </w:rPr>
              <w:t>, der sich zum Ziel gesetzt hat, die Schul- und Lernbedingunge</w:t>
            </w:r>
            <w:r w:rsidR="00A1555A">
              <w:rPr>
                <w:szCs w:val="24"/>
              </w:rPr>
              <w:t>n der Schülerinnen bzw. Schüler</w:t>
            </w:r>
            <w:r w:rsidRPr="00255766">
              <w:rPr>
                <w:szCs w:val="24"/>
              </w:rPr>
              <w:t xml:space="preserve"> zu verbessern, aus dem Umfeld der Querdenken- Bewegung stammt, wenn ja, ob der Verein mit Konsequenzen hinsichtlich seiner Ausübung zu rechnen hat, und wie mit den von dem Verein angebotenen Lernmaterialen und Lehrerfortbildungen verfahren wird?</w:t>
            </w:r>
          </w:p>
        </w:tc>
      </w:tr>
    </w:tbl>
    <w:p w:rsidR="00230E2B" w:rsidRDefault="00230E2B" w:rsidP="00230E2B">
      <w:pPr>
        <w:pStyle w:val="LTUeberschrAntwortRessort"/>
      </w:pPr>
      <w:r>
        <w:t>Antwort des Staatsministeriums für Unterricht und Kultus</w:t>
      </w:r>
    </w:p>
    <w:p w:rsidR="00230E2B" w:rsidRDefault="00230E2B" w:rsidP="00230E2B">
      <w:pPr>
        <w:pStyle w:val="LTAntwortRessortText"/>
      </w:pPr>
      <w:r>
        <w:t>Das Staatsministerium des Innern, für Sport und Integration (StMI) beantwortet die</w:t>
      </w:r>
      <w:r w:rsidR="00A16CF2">
        <w:t xml:space="preserve"> </w:t>
      </w:r>
      <w:r>
        <w:t>Anfrage für seinen Zuständigkeitsbereich folgendermaßen:</w:t>
      </w:r>
    </w:p>
    <w:p w:rsidR="00230E2B" w:rsidRDefault="00230E2B" w:rsidP="00A16CF2">
      <w:pPr>
        <w:pStyle w:val="LTAntwortRessortText"/>
        <w:spacing w:before="0"/>
      </w:pPr>
      <w:r>
        <w:t xml:space="preserve">Der Verein </w:t>
      </w:r>
      <w:r w:rsidR="00490BF0">
        <w:t>„</w:t>
      </w:r>
      <w:r>
        <w:t>Wissen Schafft Freiheit</w:t>
      </w:r>
      <w:r w:rsidR="00490BF0">
        <w:t>“</w:t>
      </w:r>
      <w:r>
        <w:t xml:space="preserve"> mit Sitz in Österreich ist derzeit kein Beobachtungsobjekt</w:t>
      </w:r>
      <w:r w:rsidR="00A16CF2">
        <w:t xml:space="preserve"> </w:t>
      </w:r>
      <w:r>
        <w:t>des Landesamts für Verfassungsschutz. Den Sicherheitsbehörden liegen derzeit keine Erkenntnisse im Sinne der Fragestellung</w:t>
      </w:r>
      <w:r w:rsidR="00A16CF2">
        <w:t xml:space="preserve"> </w:t>
      </w:r>
      <w:r>
        <w:t>vor.</w:t>
      </w:r>
    </w:p>
    <w:p w:rsidR="00230E2B" w:rsidRDefault="00230E2B" w:rsidP="00A16CF2">
      <w:pPr>
        <w:pStyle w:val="LTAntwortRessortText"/>
        <w:spacing w:before="0"/>
      </w:pPr>
      <w:r>
        <w:t>Das Staatsministerium für Unterricht und Kultus (StMUK) teilt mit, dass hinsichtlich</w:t>
      </w:r>
      <w:r w:rsidR="00A16CF2">
        <w:t xml:space="preserve"> </w:t>
      </w:r>
      <w:r>
        <w:t>des genannten Vereins ebenfalls keine Erkenntnisse im Sinne der Fragestellung vorliegen.</w:t>
      </w:r>
      <w:r w:rsidR="00A16CF2">
        <w:t xml:space="preserve"> </w:t>
      </w:r>
      <w:r>
        <w:t>Angebote (Videos, Lehrmaterialien etc.) des Vereins werden offenbar über</w:t>
      </w:r>
      <w:r w:rsidR="00A16CF2">
        <w:t xml:space="preserve"> </w:t>
      </w:r>
      <w:r>
        <w:t>das Internet verbreitet. Schulaufsichtlich hat das StMUK keine Möglichkeit, diese Angebote</w:t>
      </w:r>
      <w:r w:rsidR="00A16CF2">
        <w:t xml:space="preserve"> </w:t>
      </w:r>
      <w:r>
        <w:t>des Vereins zu unterbinden oder sonst Einfluss darauf zu nehmen, was er</w:t>
      </w:r>
      <w:r w:rsidR="00A16CF2">
        <w:t xml:space="preserve"> </w:t>
      </w:r>
      <w:r>
        <w:t>wie mit welchen Zielen online verbreitet.</w:t>
      </w:r>
    </w:p>
    <w:p w:rsidR="00230E2B" w:rsidRDefault="00230E2B">
      <w:bookmarkStart w:id="68" w:name="Frage_Nr_33_Ende"/>
      <w:bookmarkEnd w:id="6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230E2B" w:rsidTr="007B0B33">
        <w:tc>
          <w:tcPr>
            <w:tcW w:w="2050" w:type="dxa"/>
          </w:tcPr>
          <w:p w:rsidR="00230E2B" w:rsidRDefault="00230E2B" w:rsidP="00230E2B">
            <w:pPr>
              <w:pStyle w:val="LTAnfrageInitiator"/>
            </w:pPr>
            <w:r>
              <w:lastRenderedPageBreak/>
              <w:t>Abgeordnete</w:t>
            </w:r>
            <w:r>
              <w:rPr>
                <w:b/>
              </w:rPr>
              <w:br/>
              <w:t>Diana</w:t>
            </w:r>
            <w:r>
              <w:rPr>
                <w:b/>
              </w:rPr>
              <w:br/>
              <w:t>Stachowitz</w:t>
            </w:r>
            <w:r>
              <w:rPr>
                <w:b/>
              </w:rPr>
              <w:br/>
            </w:r>
            <w:r>
              <w:t>(SPD)</w:t>
            </w:r>
            <w:bookmarkStart w:id="69" w:name="Frage_Nr_34"/>
            <w:bookmarkEnd w:id="69"/>
          </w:p>
        </w:tc>
        <w:tc>
          <w:tcPr>
            <w:tcW w:w="7200" w:type="dxa"/>
          </w:tcPr>
          <w:p w:rsidR="00230E2B" w:rsidRDefault="00F11070" w:rsidP="00230E2B">
            <w:pPr>
              <w:pStyle w:val="LTAnfrageText"/>
            </w:pPr>
            <w:r w:rsidRPr="00F11070">
              <w:rPr>
                <w:szCs w:val="24"/>
              </w:rPr>
              <w:t>Ich frage die Staatsregierung, nachdem auf der Pressekonferenz zu den Konsequenzen aus dem Missbrauchsgutachten für das Erzbistum München und Freising am 27.01.2022 Kardinal Marx erklärt hat, die Mitglieder der Aufklärungskommission für das Erzbistum seien zum größten Teil von der Staatsregierung benannt worden, frage ich sie, welche Mitglieder hat sie benannt, nach welchen Kriterien wurden sie ausgewählt und wann wurde der Landtag über die Benennung informiert?</w:t>
            </w:r>
          </w:p>
        </w:tc>
      </w:tr>
    </w:tbl>
    <w:p w:rsidR="00230E2B" w:rsidRDefault="00230E2B" w:rsidP="00F547BA">
      <w:pPr>
        <w:pStyle w:val="LTUeberschrAntwortRessort"/>
      </w:pPr>
      <w:r>
        <w:t>Antwort des Staatsministeriums für Unterricht und Kultus</w:t>
      </w:r>
      <w:r w:rsidR="00F547BA">
        <w:t xml:space="preserve"> </w:t>
      </w:r>
      <w:r>
        <w:t>im Einvernehmen mit dem</w:t>
      </w:r>
      <w:r w:rsidR="00F547BA">
        <w:t xml:space="preserve"> </w:t>
      </w:r>
      <w:r>
        <w:t>Staatsministerium der Justiz und dem Staatsministerium für Familie, Arbeit und Soziales:</w:t>
      </w:r>
    </w:p>
    <w:p w:rsidR="00230E2B" w:rsidRDefault="00230E2B" w:rsidP="00F547BA">
      <w:pPr>
        <w:pStyle w:val="LTAntwortRessortText"/>
      </w:pPr>
      <w:r>
        <w:t>Bei der Berufung von Mitgliedern in die unabhängige Kommission zur Aufarbeitung</w:t>
      </w:r>
      <w:r w:rsidR="00F547BA">
        <w:t xml:space="preserve"> </w:t>
      </w:r>
      <w:r>
        <w:t>des sexuellen Missbrauchs von Kindern und Jugendlichen in der Erzdiözese München</w:t>
      </w:r>
      <w:r w:rsidR="00F547BA">
        <w:t xml:space="preserve"> </w:t>
      </w:r>
      <w:r>
        <w:t>und Freising handelt es sich um einen innerkirchlichen Prozes</w:t>
      </w:r>
      <w:r w:rsidR="0065047D">
        <w:t>s</w:t>
      </w:r>
      <w:r w:rsidR="002A33F5">
        <w:t>.</w:t>
      </w:r>
      <w:r>
        <w:t xml:space="preserve"> Sofern von den</w:t>
      </w:r>
      <w:r w:rsidR="00F547BA">
        <w:t xml:space="preserve"> </w:t>
      </w:r>
      <w:r>
        <w:t>(Erz-)Diözesen gewünscht, wurden seitens der Staatsregierung zur Unterstützung</w:t>
      </w:r>
      <w:r w:rsidR="00F547BA">
        <w:t xml:space="preserve"> </w:t>
      </w:r>
      <w:r>
        <w:t>Vorschläge von Persönlichkeiten unterbreitet, die sich für eine Mitarbeit in der Kommission</w:t>
      </w:r>
      <w:r w:rsidR="00F547BA">
        <w:t xml:space="preserve"> </w:t>
      </w:r>
      <w:r>
        <w:t>eignen könnten. Die Entscheidung über die Berufung sowie die Benennung</w:t>
      </w:r>
      <w:r w:rsidR="00F547BA">
        <w:t xml:space="preserve"> </w:t>
      </w:r>
      <w:r>
        <w:t>oblag alleine der Erzdiözese. Das Staatsministerium für Familie, Arbeit und Soziales</w:t>
      </w:r>
      <w:r w:rsidR="00F547BA">
        <w:t xml:space="preserve"> </w:t>
      </w:r>
      <w:r>
        <w:t>(StMAS) schlug folgende Persönlichkeiten vor, die sich für eine Mitarbeit in der Kommission</w:t>
      </w:r>
      <w:r w:rsidR="00F547BA">
        <w:t xml:space="preserve"> </w:t>
      </w:r>
      <w:r>
        <w:t>eignen könnten: Herr Dr. Harald Britze, Stellvertretender Leiter des Landesjugendamts am Zentrum Bayern Familie und Soziales, und Herr Prof.</w:t>
      </w:r>
      <w:r w:rsidR="00F547BA">
        <w:t xml:space="preserve"> </w:t>
      </w:r>
      <w:r>
        <w:t>Dr. Franz Joseph Freisleder, Ärztlicher Direktor des kbo-Heckscher-Klinikums und</w:t>
      </w:r>
      <w:r w:rsidR="00F547BA">
        <w:t xml:space="preserve"> </w:t>
      </w:r>
      <w:r>
        <w:t>Honorarprofessor für Kinder- und Jugendpsychiatrie an der Ludwig-Maximilians-Universität</w:t>
      </w:r>
      <w:r w:rsidR="00F547BA">
        <w:t xml:space="preserve"> </w:t>
      </w:r>
      <w:r>
        <w:t>München; das Staatsministerium für Unterricht und Kultus (StMUK) schlug</w:t>
      </w:r>
      <w:r w:rsidR="00F547BA">
        <w:t xml:space="preserve"> </w:t>
      </w:r>
      <w:r>
        <w:t>folgende Persönlichkeit vor, die sich für eine Mitarbeit in der Kommission eignen</w:t>
      </w:r>
      <w:r w:rsidR="00F547BA">
        <w:t xml:space="preserve"> </w:t>
      </w:r>
      <w:r>
        <w:t>könnte: Frau Michaela Huber, Schulpsychologin und Supervisorin; das Staatsministerium</w:t>
      </w:r>
      <w:r w:rsidR="00F547BA">
        <w:t xml:space="preserve"> </w:t>
      </w:r>
      <w:r>
        <w:t>der Justiz (StMJ) schlug folgende Persönlichkeit vor, die sich für eine Mitarbeit</w:t>
      </w:r>
      <w:r w:rsidR="00F547BA">
        <w:t xml:space="preserve"> </w:t>
      </w:r>
      <w:r>
        <w:t>in der Kommission eignen könnte: Herr Prof. Dr. Manfred Markwardt, ehemaliger Leiter</w:t>
      </w:r>
      <w:r w:rsidR="00F547BA">
        <w:t xml:space="preserve"> </w:t>
      </w:r>
      <w:r>
        <w:t>der Abteilung Strafrecht im Staatsministerium der Justiz und Honorarprofessor</w:t>
      </w:r>
      <w:r w:rsidR="00F547BA">
        <w:t xml:space="preserve"> </w:t>
      </w:r>
      <w:r>
        <w:t>an der Technischen Universität München. Diese wurden durch die Erzdiözese</w:t>
      </w:r>
      <w:r w:rsidR="00F547BA">
        <w:t xml:space="preserve"> </w:t>
      </w:r>
      <w:r>
        <w:t xml:space="preserve">berufen. Die Kommission basiert nach kirchlichen Angaben auf der </w:t>
      </w:r>
      <w:r w:rsidR="00490BF0">
        <w:t>„</w:t>
      </w:r>
      <w:r w:rsidR="0065047D">
        <w:t>Gemeinsame(n)</w:t>
      </w:r>
      <w:r>
        <w:t xml:space="preserve"> Erklärung über verbindliche Kriterien und Standards für eine unabhängige</w:t>
      </w:r>
      <w:r w:rsidR="00F547BA">
        <w:t xml:space="preserve"> </w:t>
      </w:r>
      <w:r>
        <w:t>Aufarbeitung von sexuellem Missbrauch in der katholischen Kirche in Deutschland</w:t>
      </w:r>
      <w:r w:rsidR="00490BF0">
        <w:t>“</w:t>
      </w:r>
      <w:r w:rsidR="00F547BA">
        <w:t xml:space="preserve"> </w:t>
      </w:r>
      <w:r>
        <w:t>des Unabhängigen Beauftragten für Fragen des sexuellen Kindesmissbrauchs und</w:t>
      </w:r>
      <w:r w:rsidR="00F547BA">
        <w:t xml:space="preserve"> </w:t>
      </w:r>
      <w:r>
        <w:t>der Deutschen Bischofskonferenz, vertreten durch den Beauftragten der Deutschen</w:t>
      </w:r>
      <w:r w:rsidR="00F547BA">
        <w:t xml:space="preserve"> </w:t>
      </w:r>
      <w:r>
        <w:t>Bischofskonferenz für Fragen des sexuellen Missbrauchs im kirchlichen Bereich und</w:t>
      </w:r>
      <w:r w:rsidR="00F547BA">
        <w:t xml:space="preserve"> </w:t>
      </w:r>
      <w:r>
        <w:t>für Fragen des Kinder- u</w:t>
      </w:r>
      <w:r w:rsidR="0065047D">
        <w:t>nd Jugendschutzes vom 28. April </w:t>
      </w:r>
      <w:r>
        <w:t>2020. Diese sieht als Kriterien</w:t>
      </w:r>
      <w:r w:rsidR="00F547BA">
        <w:t xml:space="preserve"> </w:t>
      </w:r>
      <w:r>
        <w:t>für die Benennung geeigneter Personen vor, dass es sich um Expertinnen und</w:t>
      </w:r>
      <w:r w:rsidR="00F547BA">
        <w:t xml:space="preserve"> </w:t>
      </w:r>
      <w:r>
        <w:t>Experten aus Wissenschaft, Fachpraxis, Justiz und öffentlicher Verwaltung handelt,</w:t>
      </w:r>
      <w:r w:rsidR="00F547BA">
        <w:t xml:space="preserve"> </w:t>
      </w:r>
      <w:r>
        <w:t>die über persönliche und/oder fachliche Erfahrungen mit Prozessen der Aufarbeitung</w:t>
      </w:r>
      <w:r w:rsidR="00F547BA">
        <w:t xml:space="preserve"> </w:t>
      </w:r>
      <w:r>
        <w:t>sexualisierter Gewalt in Institutionen verfügen sollen. Eine Information an den Landtag</w:t>
      </w:r>
      <w:r w:rsidR="00F547BA">
        <w:t xml:space="preserve"> </w:t>
      </w:r>
      <w:r>
        <w:t>ist nicht erfolgt, da es sich um eine innerkirchliche Angelegenheit handelt. Eine</w:t>
      </w:r>
      <w:r w:rsidR="00F547BA">
        <w:t xml:space="preserve"> </w:t>
      </w:r>
      <w:r>
        <w:t xml:space="preserve">allgemeine staatliche Aufsicht über </w:t>
      </w:r>
      <w:r w:rsidR="00076FBC">
        <w:br/>
      </w:r>
      <w:r>
        <w:t>Kirchen-, Religions- und Weltanschauungsgemeinschaften</w:t>
      </w:r>
      <w:r w:rsidR="00F547BA">
        <w:t xml:space="preserve"> </w:t>
      </w:r>
      <w:r>
        <w:t>besteht von Verfassungs wegen nicht. Die eigenständigen staatlichen</w:t>
      </w:r>
      <w:r w:rsidR="00F547BA">
        <w:t xml:space="preserve"> </w:t>
      </w:r>
      <w:r>
        <w:t>Aufgaben im Rahmen des Kinderschutzes sowie der Strafverfolgung und Strafrechtspflege</w:t>
      </w:r>
      <w:r w:rsidR="00F547BA">
        <w:t xml:space="preserve"> </w:t>
      </w:r>
      <w:r>
        <w:t>bestehen unabhängig vom innerkirchlichen Umgang mit Missbrauchsfällen</w:t>
      </w:r>
      <w:r w:rsidR="00F547BA">
        <w:t xml:space="preserve"> </w:t>
      </w:r>
      <w:r>
        <w:t>und kirchlichen Präventions- und Aufarbeitungsbemühungen.</w:t>
      </w:r>
    </w:p>
    <w:p w:rsidR="00230E2B" w:rsidRDefault="00230E2B">
      <w:bookmarkStart w:id="70" w:name="Frage_Nr_34_Ende"/>
      <w:bookmarkEnd w:id="7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230E2B" w:rsidTr="007B0B33">
        <w:tc>
          <w:tcPr>
            <w:tcW w:w="2050" w:type="dxa"/>
          </w:tcPr>
          <w:p w:rsidR="00230E2B" w:rsidRDefault="00230E2B" w:rsidP="00230E2B">
            <w:pPr>
              <w:pStyle w:val="LTAnfrageInitiator"/>
            </w:pPr>
            <w:r>
              <w:lastRenderedPageBreak/>
              <w:t>Abgeordnete</w:t>
            </w:r>
            <w:r>
              <w:rPr>
                <w:b/>
              </w:rPr>
              <w:br/>
              <w:t>Dr. Simone</w:t>
            </w:r>
            <w:r>
              <w:rPr>
                <w:b/>
              </w:rPr>
              <w:br/>
              <w:t>Strohmayr</w:t>
            </w:r>
            <w:r>
              <w:rPr>
                <w:b/>
              </w:rPr>
              <w:br/>
            </w:r>
            <w:r>
              <w:t>(SPD)</w:t>
            </w:r>
            <w:bookmarkStart w:id="71" w:name="Frage_Nr_35"/>
            <w:bookmarkEnd w:id="71"/>
          </w:p>
        </w:tc>
        <w:tc>
          <w:tcPr>
            <w:tcW w:w="7200" w:type="dxa"/>
          </w:tcPr>
          <w:p w:rsidR="00230E2B" w:rsidRDefault="004F2451" w:rsidP="00230E2B">
            <w:pPr>
              <w:pStyle w:val="LTAnfrageText"/>
            </w:pPr>
            <w:r w:rsidRPr="004F2451">
              <w:rPr>
                <w:szCs w:val="24"/>
              </w:rPr>
              <w:t>Ich frage die Staatsregierung, wie viele Schulpsychologinnen bzw. Schulpsychologen sind mit wie vielen Anrechnungsstunden im Schuljahr 2021/2022 eingesetzt und mit wie vielen Stunden standen sie im Schuljahr 2020 für die Krisenintervention (KIBBS) zur Verfügung?</w:t>
            </w:r>
          </w:p>
        </w:tc>
      </w:tr>
    </w:tbl>
    <w:p w:rsidR="00230E2B" w:rsidRDefault="00230E2B" w:rsidP="00230E2B">
      <w:pPr>
        <w:pStyle w:val="LTUeberschrAntwortRessort"/>
      </w:pPr>
      <w:r>
        <w:t>Antwort des Staatsministeriums für Unterricht und Kultus</w:t>
      </w:r>
    </w:p>
    <w:p w:rsidR="00230E2B" w:rsidRDefault="00230E2B" w:rsidP="00230E2B">
      <w:pPr>
        <w:pStyle w:val="LTAntwortRessortText"/>
      </w:pPr>
      <w:r>
        <w:t xml:space="preserve">Die im Rahmen des Verfahrens </w:t>
      </w:r>
      <w:r w:rsidR="00490BF0">
        <w:t>„</w:t>
      </w:r>
      <w:r>
        <w:t>Amtliche Schuldaten</w:t>
      </w:r>
      <w:r w:rsidR="00490BF0">
        <w:t>“</w:t>
      </w:r>
      <w:r>
        <w:t xml:space="preserve"> im Oktober 2021 zum Schuljahr</w:t>
      </w:r>
      <w:r w:rsidR="00152CC6">
        <w:t xml:space="preserve"> </w:t>
      </w:r>
      <w:r>
        <w:t>2021/2022 erhobenen Daten unterliegen zunächst zeitaufwendigen Plausibilisierungsprozessen,</w:t>
      </w:r>
      <w:r w:rsidR="00152CC6">
        <w:t xml:space="preserve"> </w:t>
      </w:r>
      <w:r>
        <w:t>die noch nicht abgeschlossen sind. Zum Schuljahr 2021/2022 liegen</w:t>
      </w:r>
      <w:r w:rsidR="00152CC6">
        <w:t xml:space="preserve"> </w:t>
      </w:r>
      <w:r>
        <w:t>dem Staatsministerium für Unterricht und Kultus daher noch keine Amtlichen Daten</w:t>
      </w:r>
      <w:r w:rsidR="00152CC6">
        <w:t xml:space="preserve"> </w:t>
      </w:r>
      <w:r>
        <w:t>vor. Im Schuljahr 2020/2021 gab es an staatlichen Schulen schulartübergreifend</w:t>
      </w:r>
      <w:r w:rsidR="00152CC6">
        <w:t xml:space="preserve"> </w:t>
      </w:r>
      <w:r>
        <w:t xml:space="preserve">insgesamt </w:t>
      </w:r>
      <w:r w:rsidR="00B537AA">
        <w:t>975 Lehrkräfte, die insgesamt 8 </w:t>
      </w:r>
      <w:r>
        <w:t>020 Anrechnungsstunden für die Tätigkeit</w:t>
      </w:r>
      <w:r w:rsidR="00152CC6">
        <w:t xml:space="preserve"> </w:t>
      </w:r>
      <w:r>
        <w:t>als Schulpsychologin bzw. Schulpsychologe erhielten. Lehrkräfte, die in mehr als einer</w:t>
      </w:r>
      <w:r w:rsidR="00152CC6">
        <w:t xml:space="preserve"> </w:t>
      </w:r>
      <w:r>
        <w:t>Schulart im Einsatz waren, werden entsprechend mehrfach gezählt.</w:t>
      </w:r>
    </w:p>
    <w:p w:rsidR="00230E2B" w:rsidRDefault="00230E2B" w:rsidP="00230E2B">
      <w:pPr>
        <w:pStyle w:val="LTAntwortRessortText"/>
      </w:pPr>
      <w:r>
        <w:t>Den speziell für den Bereich der Krisenintervention fortgebildeten Schulpsychologinnen</w:t>
      </w:r>
      <w:r w:rsidR="00152CC6">
        <w:t xml:space="preserve"> </w:t>
      </w:r>
      <w:r>
        <w:t>und Schulpsychologen, die im Kriseninterventions- und -bewältigungsteam bayerischer</w:t>
      </w:r>
      <w:r w:rsidR="00152CC6">
        <w:t xml:space="preserve"> </w:t>
      </w:r>
      <w:r>
        <w:t>Schulpsychologinnen und Schulpsychologen (KIBBS) tätig sind, standen im</w:t>
      </w:r>
      <w:r w:rsidR="00152CC6">
        <w:t xml:space="preserve"> </w:t>
      </w:r>
      <w:r>
        <w:t>Schuljahr 2020/2021 insgesamt 373 Anrechnungsstunden zur Verfügung.</w:t>
      </w:r>
    </w:p>
    <w:p w:rsidR="00230E2B" w:rsidRDefault="00230E2B">
      <w:bookmarkStart w:id="72" w:name="Frage_Nr_35_Ende"/>
      <w:bookmarkEnd w:id="7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230E2B" w:rsidTr="007B0B33">
        <w:tc>
          <w:tcPr>
            <w:tcW w:w="2050" w:type="dxa"/>
          </w:tcPr>
          <w:p w:rsidR="00230E2B" w:rsidRDefault="00230E2B" w:rsidP="00230E2B">
            <w:pPr>
              <w:pStyle w:val="LTAnfrageInitiator"/>
            </w:pPr>
            <w:r>
              <w:lastRenderedPageBreak/>
              <w:t>Abgeordnete</w:t>
            </w:r>
            <w:r>
              <w:rPr>
                <w:b/>
              </w:rPr>
              <w:br/>
              <w:t>Gabriele</w:t>
            </w:r>
            <w:r>
              <w:rPr>
                <w:b/>
              </w:rPr>
              <w:br/>
              <w:t>Triebel</w:t>
            </w:r>
            <w:r>
              <w:rPr>
                <w:b/>
              </w:rPr>
              <w:br/>
            </w:r>
            <w:r>
              <w:t>(BÜNDNIS 90/DIE GRÜNEN)</w:t>
            </w:r>
            <w:bookmarkStart w:id="73" w:name="Frage_Nr_36"/>
            <w:bookmarkEnd w:id="73"/>
          </w:p>
        </w:tc>
        <w:tc>
          <w:tcPr>
            <w:tcW w:w="7200" w:type="dxa"/>
          </w:tcPr>
          <w:p w:rsidR="00230E2B" w:rsidRDefault="004F2451" w:rsidP="00230E2B">
            <w:pPr>
              <w:pStyle w:val="LTAnfrageText"/>
            </w:pPr>
            <w:r w:rsidRPr="004F2451">
              <w:rPr>
                <w:szCs w:val="24"/>
              </w:rPr>
              <w:t>Vor dem Hintergrund, dass Staatsminister für Gesundheit und Pflege, Klaus Holetschek, eine Priorisierung der Auswertung der PCR-Tests angekündigt hat, da auf Grund der aktuell hohen Inzidenzen, bereits jetzt die vorhandenen Laborkapazitäten weit überschritten sind, frage ich die Staatsregierung, wird die Auswertung der Einzeltests (Rückstellproben) der an den Schulen durchgeführten PCR-Tests nun flächendeckend nicht mehr durchgeführt, wird die Einführung der PCR-Pooltests in der 5. und 6. Klasse im März mit beiden Proben (Pool und Rückstellproben) durchgeführt werden oder bestehen jetzt schon Planungen, die Einführung von Klasse 5 und 6 nur mit den Pooltestungen, ohne Rückstellproben durchzuführen?</w:t>
            </w:r>
          </w:p>
        </w:tc>
      </w:tr>
    </w:tbl>
    <w:p w:rsidR="00230E2B" w:rsidRDefault="00230E2B" w:rsidP="00230E2B">
      <w:pPr>
        <w:pStyle w:val="LTUeberschrAntwortRessort"/>
      </w:pPr>
      <w:r>
        <w:t>Antwort des Staatsministeriums für Unterricht und Kultus</w:t>
      </w:r>
    </w:p>
    <w:p w:rsidR="00230E2B" w:rsidRDefault="00230E2B" w:rsidP="00230E2B">
      <w:pPr>
        <w:pStyle w:val="LTAntwortRessortText"/>
      </w:pPr>
      <w:r>
        <w:t>Das Staatsministerium für Gesundheit und Pflege (StMGP) sowie das Staatsministerium</w:t>
      </w:r>
      <w:r w:rsidR="009908FB">
        <w:t xml:space="preserve"> </w:t>
      </w:r>
      <w:r>
        <w:t>fü</w:t>
      </w:r>
      <w:r w:rsidR="00783AC0">
        <w:t xml:space="preserve">r Unterricht und Kultus </w:t>
      </w:r>
      <w:r>
        <w:t xml:space="preserve">gehen derzeit davon aus, dass </w:t>
      </w:r>
      <w:r w:rsidR="009908FB">
        <w:t>–</w:t>
      </w:r>
      <w:r>
        <w:t xml:space="preserve"> abhängig</w:t>
      </w:r>
      <w:r w:rsidR="009908FB">
        <w:t xml:space="preserve"> </w:t>
      </w:r>
      <w:r>
        <w:t>von de</w:t>
      </w:r>
      <w:r w:rsidR="002A354F">
        <w:t>n vorhandenen Laborkapazitäten –</w:t>
      </w:r>
      <w:r>
        <w:t xml:space="preserve"> das bislang an den Grund- und Förderschulen</w:t>
      </w:r>
      <w:r w:rsidR="009908FB">
        <w:t xml:space="preserve"> </w:t>
      </w:r>
      <w:r>
        <w:t>bestehende erfolgreiche Verfahren mit Poolproben und Rückstellproben</w:t>
      </w:r>
      <w:r w:rsidR="009908FB">
        <w:t xml:space="preserve"> </w:t>
      </w:r>
      <w:r>
        <w:t>auch bei einer Ausweitung auf die 5. und 6. Jahrgangsstufen an weiterführenden</w:t>
      </w:r>
      <w:r w:rsidR="009908FB">
        <w:t xml:space="preserve"> </w:t>
      </w:r>
      <w:r>
        <w:t>Schulen Anwendung findet; das StMGP steht in Verhandlungen mit den Laboren, um</w:t>
      </w:r>
      <w:r w:rsidR="009908FB">
        <w:t xml:space="preserve"> </w:t>
      </w:r>
      <w:r>
        <w:t>ausreichende Laborkapazitäten sicherzustellen.</w:t>
      </w:r>
    </w:p>
    <w:p w:rsidR="00230E2B" w:rsidRDefault="00230E2B">
      <w:bookmarkStart w:id="74" w:name="Frage_Nr_36_Ende"/>
      <w:bookmarkEnd w:id="74"/>
      <w:r>
        <w:br w:type="page"/>
      </w:r>
    </w:p>
    <w:p w:rsidR="00230E2B" w:rsidRDefault="00230E2B" w:rsidP="00230E2B">
      <w:pPr>
        <w:pStyle w:val="LTUeberschrRessort"/>
      </w:pPr>
      <w:r>
        <w:lastRenderedPageBreak/>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230E2B" w:rsidTr="007B0B33">
        <w:tc>
          <w:tcPr>
            <w:tcW w:w="2050" w:type="dxa"/>
          </w:tcPr>
          <w:p w:rsidR="00230E2B" w:rsidRDefault="00230E2B" w:rsidP="00230E2B">
            <w:pPr>
              <w:pStyle w:val="LTAnfrageInitiator"/>
            </w:pPr>
            <w:r>
              <w:t>Abgeordnete</w:t>
            </w:r>
            <w:r>
              <w:rPr>
                <w:b/>
              </w:rPr>
              <w:br/>
              <w:t>Anne</w:t>
            </w:r>
            <w:r>
              <w:rPr>
                <w:b/>
              </w:rPr>
              <w:br/>
              <w:t>Franke</w:t>
            </w:r>
            <w:r>
              <w:rPr>
                <w:b/>
              </w:rPr>
              <w:br/>
            </w:r>
            <w:r>
              <w:t>(BÜNDNIS 90/DIE GRÜNEN)</w:t>
            </w:r>
            <w:bookmarkStart w:id="75" w:name="Frage_Nr_37"/>
            <w:bookmarkEnd w:id="75"/>
          </w:p>
        </w:tc>
        <w:tc>
          <w:tcPr>
            <w:tcW w:w="7200" w:type="dxa"/>
          </w:tcPr>
          <w:p w:rsidR="00230E2B" w:rsidRDefault="0012007F" w:rsidP="00230E2B">
            <w:pPr>
              <w:pStyle w:val="LTAnfrageText"/>
            </w:pPr>
            <w:r w:rsidRPr="0012007F">
              <w:rPr>
                <w:szCs w:val="24"/>
              </w:rPr>
              <w:t>Ich frage die Staatsregierung, welche konkreten Maßnahmen hat Bayern seit der Evaluation des Wissenschaftsrats zur Friedens- und Konfliktforschung im Jahr 2019 durchgeführt, welche finanziellen Mittel wurden und werden zur Verfügung gestellt und welche Maßnahmen sieht die Staatsregierung zukünftig vor, um der Empfehlung des Wissenschaftsrats zur Stärkung der naturwissenschaftlich-technischen Friedens- und Konfliktforschung nachzukommen?</w:t>
            </w:r>
          </w:p>
        </w:tc>
      </w:tr>
    </w:tbl>
    <w:p w:rsidR="00230E2B" w:rsidRDefault="00230E2B" w:rsidP="00230E2B">
      <w:pPr>
        <w:pStyle w:val="LTUeberschrAntwortRessort"/>
      </w:pPr>
      <w:r>
        <w:t>Antwort des Staatsministeriums für Wissenschaft und Kunst</w:t>
      </w:r>
    </w:p>
    <w:p w:rsidR="00230E2B" w:rsidRDefault="00230E2B" w:rsidP="00230E2B">
      <w:pPr>
        <w:pStyle w:val="LTAntwortRessortText"/>
      </w:pPr>
      <w:r>
        <w:t>Die Friedens- und Konfliktforschung zeichnet sic</w:t>
      </w:r>
      <w:r w:rsidR="00EB78B6">
        <w:t>h durch Aktualität sowie wissen</w:t>
      </w:r>
      <w:r>
        <w:t>schaftliche, politische und gesellschaftliche Relevanz au</w:t>
      </w:r>
      <w:r w:rsidR="00EB78B6">
        <w:t>s. Auch aus ihrem naturwissenschaftlich-</w:t>
      </w:r>
      <w:r>
        <w:t>technischen Zweig ergeben sich wichtige Erkenntnisse für Forschung, Politik und Zivilgesellschaft zu Fragen der konvent</w:t>
      </w:r>
      <w:r w:rsidR="00EB78B6">
        <w:t>ionellen und nuklearen Rüstungs</w:t>
      </w:r>
      <w:r>
        <w:t>kontrolle und Verifikation, der Identifizierung von biologischen und chemischen Kampfstoffen sowie der Verhinderung ihrer Proliferation und Nutzung, zum Umgang mit Cyberangriffen, zu autonomen Waffensyst</w:t>
      </w:r>
      <w:r w:rsidR="00EB78B6">
        <w:t>emen und anderen neuen Technolo</w:t>
      </w:r>
      <w:r>
        <w:t>gien.</w:t>
      </w:r>
    </w:p>
    <w:p w:rsidR="00230E2B" w:rsidRDefault="00230E2B" w:rsidP="00230E2B">
      <w:pPr>
        <w:pStyle w:val="LTAntwortRessortText"/>
      </w:pPr>
      <w:r>
        <w:t>In seinen im Juli 2019 verabschiedeten Empfehlungen sah der Wissenschaftsrat das interdisziplinäre Forschungsfeld der Friedens- und K</w:t>
      </w:r>
      <w:r w:rsidR="00EB78B6">
        <w:t>onfliktforschung in seinem sozi</w:t>
      </w:r>
      <w:r>
        <w:t>alwissenschaftlichen Kernbereich als institutionel</w:t>
      </w:r>
      <w:r w:rsidR="00EB78B6">
        <w:t>l gut ausgestattet an. Zudem er</w:t>
      </w:r>
      <w:r>
        <w:t xml:space="preserve">kannte er an, dass auch in Forschung, Lehre und Wissenstransfer grundsätzlich sehr gute Leistungen erbracht werden. Verbesserungsbedarf sah der Wissenschaftsrat </w:t>
      </w:r>
      <w:r w:rsidR="005508E8">
        <w:t>u. a.</w:t>
      </w:r>
      <w:r>
        <w:t xml:space="preserve"> im Bereich der zuvor beschriebenen naturwissenschaftlichen und technischen Friedens- und Konfliktforschung.</w:t>
      </w:r>
    </w:p>
    <w:p w:rsidR="00230E2B" w:rsidRDefault="00230E2B" w:rsidP="00230E2B">
      <w:pPr>
        <w:pStyle w:val="LTAntwortRessortText"/>
      </w:pPr>
      <w:r>
        <w:t>Der W</w:t>
      </w:r>
      <w:r w:rsidR="00EB78B6">
        <w:t>issenschaftsrat sprach daher u. </w:t>
      </w:r>
      <w:r>
        <w:t>a. die Empfeh</w:t>
      </w:r>
      <w:r w:rsidR="00EB78B6">
        <w:t>lung aus, die naturwissenschaft</w:t>
      </w:r>
      <w:r>
        <w:t>liche und technische Friedens- und Konfliktforschung an mindestens zwei Stand</w:t>
      </w:r>
      <w:r w:rsidR="00EB78B6">
        <w:t>orten – innerhalb Deutschlands –</w:t>
      </w:r>
      <w:r>
        <w:t xml:space="preserve"> auszubauen, an denen die</w:t>
      </w:r>
      <w:r w:rsidR="00EB78B6">
        <w:t>se bereits institutionell veran</w:t>
      </w:r>
      <w:r>
        <w:t>kert ist. Darüber hinaus sollte sichergestellt werden</w:t>
      </w:r>
      <w:r w:rsidR="00EB78B6">
        <w:t>, dass die Zentren der naturwis</w:t>
      </w:r>
      <w:r>
        <w:t>senschaftlichen und technischen F</w:t>
      </w:r>
      <w:r w:rsidR="00EB78B6">
        <w:t>riedens- und Konfliktforschung –</w:t>
      </w:r>
      <w:r>
        <w:t xml:space="preserve"> sollten sie an</w:t>
      </w:r>
      <w:r w:rsidR="00C251A8">
        <w:t xml:space="preserve"> </w:t>
      </w:r>
      <w:r>
        <w:t xml:space="preserve">außeruniversitären </w:t>
      </w:r>
      <w:r w:rsidR="00EB78B6">
        <w:t>Einrichtungen aufgebaut werden – eng an Hochschulen angebun</w:t>
      </w:r>
      <w:r>
        <w:t>den sind. Die Empfehlungen des Wissenschaftsrats sind dabei als Anregungen zu verstehen, in diesem Fall bezogen auf ganz Deutschland. Sie sind weder für die Hochschulen noch die Länder verbindlich.</w:t>
      </w:r>
    </w:p>
    <w:p w:rsidR="00230E2B" w:rsidRDefault="00230E2B" w:rsidP="00230E2B">
      <w:pPr>
        <w:pStyle w:val="LTAntwortRessortText"/>
      </w:pPr>
      <w:r>
        <w:t>Vor diesem Hintergrund ist zudem darauf hinzuweisen, dass die außeruniversitären Forschungseinrichtungen in Bayern und die bayerischen Hochschulen im Rahmen der Wissenschaftsfreiheit und ihrer Eigenverantwortung die Schwerpunkte ihrer w</w:t>
      </w:r>
      <w:r w:rsidR="00EB78B6">
        <w:t>is</w:t>
      </w:r>
      <w:r>
        <w:t xml:space="preserve">senschaftlichen Arbeit grundsätzlich selbst bestimmen. Die bayerischen Universitäten entscheiden eigenständig und in eigener Verantwortung über ihre wissenschaftliche Schwerpunktsetzung und damit etwa darüber, ob vor Ort ein Lehrstuhl aufgebaut, ein Forschungsschwerpunkt etabliert oder ein Studiengang eingerichtet werden soll. Das Staatsministerium unterstützt die Hochschulen dabei über die Grundfinanzierung, die sie ihnen zur Verfügung stellt. Die Grundfinanzierung und </w:t>
      </w:r>
      <w:r w:rsidR="00EB78B6">
        <w:t>insbesondere die Stellen</w:t>
      </w:r>
      <w:r>
        <w:t>ausstattung aller Hochschulen ist in den letzten Jahren massiv erhöht worden, wodurch sich entsprechende Spielräume für die Schwerpunktbildung an den Hochschulen deutlich vergrößert haben.</w:t>
      </w:r>
    </w:p>
    <w:p w:rsidR="00230E2B" w:rsidRDefault="00230E2B">
      <w:bookmarkStart w:id="76" w:name="Frage_Nr_37_Ende"/>
      <w:bookmarkEnd w:id="7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230E2B" w:rsidTr="007B0B33">
        <w:tc>
          <w:tcPr>
            <w:tcW w:w="2050" w:type="dxa"/>
          </w:tcPr>
          <w:p w:rsidR="00230E2B" w:rsidRDefault="00230E2B" w:rsidP="00230E2B">
            <w:pPr>
              <w:pStyle w:val="LTAnfrageInitiator"/>
            </w:pPr>
            <w:r>
              <w:lastRenderedPageBreak/>
              <w:t>Abgeordnete</w:t>
            </w:r>
            <w:r>
              <w:rPr>
                <w:b/>
              </w:rPr>
              <w:br/>
              <w:t>Verena</w:t>
            </w:r>
            <w:r>
              <w:rPr>
                <w:b/>
              </w:rPr>
              <w:br/>
              <w:t>Osgyan</w:t>
            </w:r>
            <w:r>
              <w:rPr>
                <w:b/>
              </w:rPr>
              <w:br/>
            </w:r>
            <w:r>
              <w:t>(BÜNDNIS 90/DIE GRÜNEN)</w:t>
            </w:r>
            <w:bookmarkStart w:id="77" w:name="Frage_Nr_38"/>
            <w:bookmarkEnd w:id="77"/>
          </w:p>
        </w:tc>
        <w:tc>
          <w:tcPr>
            <w:tcW w:w="7200" w:type="dxa"/>
          </w:tcPr>
          <w:p w:rsidR="00230E2B" w:rsidRDefault="00A903E1" w:rsidP="00230E2B">
            <w:pPr>
              <w:pStyle w:val="LTAnfrageText"/>
            </w:pPr>
            <w:r w:rsidRPr="00A903E1">
              <w:rPr>
                <w:szCs w:val="24"/>
              </w:rPr>
              <w:t>Ich frage die Staatsregierung, an welchen bayerischen Hochschulen und Universitäten wurden die Freiversuchsregelungen für Prüfungen in Bachelor- und Masterstudiengängen aufgrund der erschwerten Studienbedingungen durch die Coronapandemie geändert, welche Änderungen der Freiversuchsregelungen wurden für die Staatsexamina durchgeführt und welche Vorgaben zu den Freiversuchsregelungen beinhaltet das aktuellste Schreiben des Staatsministers für Wissenschaft und Kunst Bernd Sibler an die Hochschulleitungen?</w:t>
            </w:r>
          </w:p>
        </w:tc>
      </w:tr>
    </w:tbl>
    <w:p w:rsidR="00230E2B" w:rsidRDefault="00230E2B" w:rsidP="00230E2B">
      <w:pPr>
        <w:pStyle w:val="LTUeberschrAntwortRessort"/>
      </w:pPr>
      <w:r>
        <w:t>Antwort des Staatsministeriums für Wissenschaft und Kunst</w:t>
      </w:r>
    </w:p>
    <w:p w:rsidR="00230E2B" w:rsidRDefault="00230E2B" w:rsidP="00230E2B">
      <w:pPr>
        <w:pStyle w:val="LTAntwortRessortText"/>
      </w:pPr>
      <w:r>
        <w:t xml:space="preserve">Im Hinblick auf die Freiversuchsregelungen der Hochschulen bei </w:t>
      </w:r>
      <w:r w:rsidR="00E3417F">
        <w:rPr>
          <w:u w:val="single"/>
        </w:rPr>
        <w:t>(Hochschul-)Prü</w:t>
      </w:r>
      <w:r w:rsidRPr="00D520DB">
        <w:rPr>
          <w:u w:val="single"/>
        </w:rPr>
        <w:t>fungen</w:t>
      </w:r>
      <w:r>
        <w:t xml:space="preserve"> in Bachelor- und Masterstudiengängen wird wie folgt geantwortet:</w:t>
      </w:r>
    </w:p>
    <w:p w:rsidR="00230E2B" w:rsidRDefault="00230E2B" w:rsidP="00230E2B">
      <w:pPr>
        <w:pStyle w:val="LTAntwortRessortText"/>
      </w:pPr>
      <w:r>
        <w:t>Informat</w:t>
      </w:r>
      <w:r w:rsidR="00E3417F">
        <w:t>ionen zu der Frage, an welchen</w:t>
      </w:r>
      <w:r>
        <w:t xml:space="preserve"> Hochschulen und Universitäten die Freiversuchsregelungen für Prüfungen in Bachelor- und Masterstudiengängen vor dem Hintergrund der COVID-19-Pandemie geänd</w:t>
      </w:r>
      <w:r w:rsidR="00E3417F">
        <w:t>ert worden sind, werden staatli</w:t>
      </w:r>
      <w:r>
        <w:t xml:space="preserve">cherseits im Allgemeinen nicht erhoben, zumal die </w:t>
      </w:r>
      <w:r w:rsidR="00E3417F">
        <w:t>Ausgestaltung der prüfungsrecht</w:t>
      </w:r>
      <w:r>
        <w:t>lichen Bestimmungen in den (Studien- und) Prüfungsordnungen der Hochschulen und der hochschulische Prüfungsbetrieb grundsätzl</w:t>
      </w:r>
      <w:r w:rsidR="00E3417F">
        <w:t>ich in der Verantwortung der je</w:t>
      </w:r>
      <w:r>
        <w:t>weiligen Hochschule liegen. Gemäß Art. 61 Ab</w:t>
      </w:r>
      <w:r w:rsidR="00E3417F">
        <w:t>s.</w:t>
      </w:r>
      <w:r>
        <w:t xml:space="preserve"> 3 Satz 2 Nr. 8 des Bayerischen Hochschulgesetzes (BayHSchG) gilt, dass die H</w:t>
      </w:r>
      <w:r w:rsidR="00E3417F">
        <w:t>ochschulen die Form und das Ver</w:t>
      </w:r>
      <w:r>
        <w:t>fahren ihrer Hochschulprüfungen in eigener Vera</w:t>
      </w:r>
      <w:r w:rsidR="00E3417F">
        <w:t>ntwortung in ihren Hochschulprü</w:t>
      </w:r>
      <w:r>
        <w:t>fungsordnungen festlegen. Die Hochschu</w:t>
      </w:r>
      <w:r w:rsidR="00E3417F">
        <w:t>len haben auf dieser Grundlage – wie schon bisher –</w:t>
      </w:r>
      <w:r>
        <w:t xml:space="preserve"> auch die Möglichkeit, unter Wahrung des Grund</w:t>
      </w:r>
      <w:r w:rsidR="00E3417F">
        <w:t>satzes der Chancen</w:t>
      </w:r>
      <w:r>
        <w:t xml:space="preserve">gleichheit in ihren Prüfungsordnungen eigenverantwortlich </w:t>
      </w:r>
      <w:r w:rsidR="005508E8">
        <w:t>z. B.</w:t>
      </w:r>
      <w:r>
        <w:t xml:space="preserve"> Regelungen zu freien Prüfungsversuchen (</w:t>
      </w:r>
      <w:r w:rsidR="00490BF0">
        <w:t>„</w:t>
      </w:r>
      <w:r>
        <w:t>Freiversuchen</w:t>
      </w:r>
      <w:r w:rsidR="00490BF0">
        <w:t>“</w:t>
      </w:r>
      <w:r>
        <w:t xml:space="preserve">) in Bezug auf </w:t>
      </w:r>
      <w:r w:rsidR="00E3417F">
        <w:t>ihre Hochschulprüfungen zu tref</w:t>
      </w:r>
      <w:r>
        <w:t>fen.</w:t>
      </w:r>
    </w:p>
    <w:p w:rsidR="00230E2B" w:rsidRDefault="00230E2B" w:rsidP="00230E2B">
      <w:pPr>
        <w:pStyle w:val="LTAntwortRessortText"/>
      </w:pPr>
      <w:r>
        <w:t>Das erfolgreiche Krisenmanagement der bayerischen Hochschulfamilie</w:t>
      </w:r>
      <w:r w:rsidR="00E3417F">
        <w:t xml:space="preserve"> baut wesent</w:t>
      </w:r>
      <w:r>
        <w:t>lich darauf auf, dass die staatlichen Rahmenvorgaben adäquat von der jeweiligen Hochschule ausgefüllt werden können. Die gele</w:t>
      </w:r>
      <w:r w:rsidR="00E3417F">
        <w:t>bte Eigenverantwortung der Hoch</w:t>
      </w:r>
      <w:r>
        <w:t>schulen hat sich als ein wichtiges Element bewährt, um die Folgen der COVID-19-Pandemi</w:t>
      </w:r>
      <w:r w:rsidR="00E3417F">
        <w:t>e im Hochschulbereich –</w:t>
      </w:r>
      <w:r>
        <w:t xml:space="preserve"> flexibel, situationsgerecht und angepasst an die Bedingungen vor Ort und die einze</w:t>
      </w:r>
      <w:r w:rsidR="00E3417F">
        <w:t>lnen Fächer und Fächerkulturen –</w:t>
      </w:r>
      <w:r>
        <w:t xml:space="preserve"> möglichst gut zu meistern. Die Freiheit der Hochschulen, mit Blick auf die vor Ort gegebenenfalls unterschiedlichen Gegebenheiten sachgerechte </w:t>
      </w:r>
      <w:r w:rsidR="00E3417F">
        <w:t>Lösungen auch in Bezug auf Frei</w:t>
      </w:r>
      <w:r>
        <w:t>versuchsregeln zu finden, soll auch vor diesem Hintergrund unberührt bleiben.</w:t>
      </w:r>
    </w:p>
    <w:p w:rsidR="00230E2B" w:rsidRDefault="00230E2B" w:rsidP="00230E2B">
      <w:pPr>
        <w:pStyle w:val="LTAntwortRessortText"/>
      </w:pPr>
      <w:r>
        <w:t>Das Anliegen, dass die Hochschulen prüfen, ob Prüfungen als freier (zusätzlicher) Prüfungsversuch ausgestaltet werden können (oder eine weitere Wiederholung der Prüfungen ermöglicht werden kann), ist vonseiten der Staatsregierung bereits früh-zeitig an die Hochschulen des Freistaates adressiert worden: Das entsprechende Schreiben von Herrn Staatsminister Sibler aus dem Früh</w:t>
      </w:r>
      <w:r w:rsidR="00E3417F">
        <w:t>jahr 2020 hat er auch in ei</w:t>
      </w:r>
      <w:r>
        <w:t>nem weiteren Schreiben vom 11.02.2021 an die Hochschulen des Freistaates wieder aufgegriffen und das Anliegen unterstrichen. Er hat unter anderem betont, dass es vor dem Hintergrund des Leitgedankens der gemeinsamen Krisenbewält</w:t>
      </w:r>
      <w:r w:rsidR="00E3417F">
        <w:t>igung ent</w:t>
      </w:r>
      <w:r>
        <w:t>scheidend ist, den zur Verfügung stehenden Gestaltungsspielraum mit Blick auf die auch für die Studentinnen und Studenten äußer</w:t>
      </w:r>
      <w:r w:rsidR="00E3417F">
        <w:t>st herausfordernden Rahmenbedin</w:t>
      </w:r>
      <w:r>
        <w:t>gungen möglichst flexibel unter Wahrung der Chancengleichheit aus</w:t>
      </w:r>
      <w:r>
        <w:lastRenderedPageBreak/>
        <w:t>zuschöpfen. Er hat daher an die Hochschulen appelliert, die verfügb</w:t>
      </w:r>
      <w:r w:rsidR="00E3417F">
        <w:t>aren prüfungsrechtlichen Instru</w:t>
      </w:r>
      <w:r>
        <w:t>mente zu nutzen, die die Hochschulen in Händen halten. Dieser Appell beansprucht auch in Bezug auf das Wintersemester 2021/2022 Geltung.</w:t>
      </w:r>
    </w:p>
    <w:p w:rsidR="00230E2B" w:rsidRDefault="00230E2B" w:rsidP="00230E2B">
      <w:pPr>
        <w:pStyle w:val="LTAntwortRessortText"/>
      </w:pPr>
      <w:r>
        <w:t xml:space="preserve">Gleichwohl hat Herr Staatsminister Sibler auch zur Umsetzung der Prüfungsphase im laufenden Wintersemester am 01.02.2022 ein Schreiben an die Hochschulen des Freistaates gerichtet, das unter anderem die </w:t>
      </w:r>
      <w:r w:rsidR="005508E8">
        <w:t>o. g.</w:t>
      </w:r>
      <w:r>
        <w:t xml:space="preserve"> </w:t>
      </w:r>
      <w:r w:rsidR="00E3417F">
        <w:t>Frage der Freiversuche bei Hoch</w:t>
      </w:r>
      <w:r>
        <w:t>schulprüfungen erneut aufgegriffen hat.</w:t>
      </w:r>
    </w:p>
    <w:p w:rsidR="00230E2B" w:rsidRDefault="00230E2B" w:rsidP="00230E2B">
      <w:pPr>
        <w:pStyle w:val="LTAntwortRessortText"/>
      </w:pPr>
      <w:r>
        <w:t>In Bezug auf die Frage zu Freiversuchsregelungen</w:t>
      </w:r>
      <w:r w:rsidR="00E3417F">
        <w:t xml:space="preserve"> bei Staatsprüfungen wird in Ab</w:t>
      </w:r>
      <w:r>
        <w:t xml:space="preserve">stimmung mit dem </w:t>
      </w:r>
      <w:r w:rsidR="00E3417F">
        <w:t>Staatsministerium für Gesundheit und Pflege (</w:t>
      </w:r>
      <w:r>
        <w:t>StMGP</w:t>
      </w:r>
      <w:r w:rsidR="00E3417F">
        <w:t>)</w:t>
      </w:r>
      <w:r>
        <w:t xml:space="preserve">, </w:t>
      </w:r>
      <w:r w:rsidR="00E3417F">
        <w:t>dem Staatsministerium für Unterricht und Kultus (</w:t>
      </w:r>
      <w:r>
        <w:t>StMUK</w:t>
      </w:r>
      <w:r w:rsidR="00E3417F">
        <w:t>)</w:t>
      </w:r>
      <w:r>
        <w:t xml:space="preserve">, </w:t>
      </w:r>
      <w:r w:rsidR="00E3417F">
        <w:t>dem Staatsministerium der Justiz (</w:t>
      </w:r>
      <w:r>
        <w:t>StMJ</w:t>
      </w:r>
      <w:r w:rsidR="00E3417F">
        <w:t>)</w:t>
      </w:r>
      <w:r>
        <w:t xml:space="preserve"> und </w:t>
      </w:r>
      <w:r w:rsidR="00E3417F">
        <w:t>dem Staatsministerium für Ernährung, Landwirtschaft und Forsten (</w:t>
      </w:r>
      <w:r>
        <w:t>StMELF</w:t>
      </w:r>
      <w:r w:rsidR="00E3417F">
        <w:t>)</w:t>
      </w:r>
      <w:r>
        <w:t xml:space="preserve"> wie folgt geantwortet:</w:t>
      </w:r>
    </w:p>
    <w:p w:rsidR="00230E2B" w:rsidRDefault="00230E2B" w:rsidP="00D520DB">
      <w:pPr>
        <w:pStyle w:val="LTAntwortRessortText"/>
      </w:pPr>
      <w:r>
        <w:t xml:space="preserve">Soweit Staatsexamensprüfungen im Geschäftsbereich des StMGP in Rede stehen, sind ausschließlich bundesrechtlich geregelte Heilberufe betroffen (Humanmedizin, Zahnmedizin, Pharmazie, Psychotherapie, </w:t>
      </w:r>
      <w:r w:rsidR="00E3417F">
        <w:t>Hebammen). Die maßgeblichen Prü</w:t>
      </w:r>
      <w:r>
        <w:t>fungsvorgaben ergeben sich für diese Studiengänge aus den Berufsgesetzen des Bundes und d</w:t>
      </w:r>
      <w:r w:rsidR="00E3417F">
        <w:t>en zugehörigen Verordnungen (z. </w:t>
      </w:r>
      <w:r>
        <w:t xml:space="preserve">B. Approbationsordnung für Ärzte, Studien- und Prüfungsverordnung für </w:t>
      </w:r>
      <w:r w:rsidR="00D520DB">
        <w:t>Hebammen). Abweichende Prüfungs</w:t>
      </w:r>
      <w:r w:rsidR="00E3417F">
        <w:t>modalitäten –</w:t>
      </w:r>
      <w:r>
        <w:t xml:space="preserve"> </w:t>
      </w:r>
      <w:r w:rsidR="005508E8">
        <w:t>z. B.</w:t>
      </w:r>
      <w:r>
        <w:t xml:space="preserve"> die Zahl der Wiederholungsversuche oder auch eine etwaige </w:t>
      </w:r>
      <w:r w:rsidR="00490BF0">
        <w:t>„</w:t>
      </w:r>
      <w:r>
        <w:t>Freischussregelung</w:t>
      </w:r>
      <w:r w:rsidR="00490BF0">
        <w:t>“</w:t>
      </w:r>
      <w:r w:rsidR="00E3417F">
        <w:t xml:space="preserve"> –</w:t>
      </w:r>
      <w:r>
        <w:t xml:space="preserve"> können weder durch die Ho</w:t>
      </w:r>
      <w:r w:rsidR="00E3417F">
        <w:t>chschulen noch durch die Staats</w:t>
      </w:r>
      <w:r>
        <w:t>regierung festgelegt werden. Insoweit kann nur der Bund verbindliche Regelungen treffen, was dieser bisher nicht getan hat.</w:t>
      </w:r>
    </w:p>
    <w:p w:rsidR="00230E2B" w:rsidRDefault="00230E2B" w:rsidP="00230E2B">
      <w:pPr>
        <w:pStyle w:val="LTAntwortRessortText"/>
      </w:pPr>
      <w:r>
        <w:t>Aufgrund der besonderen pandemiebedingten</w:t>
      </w:r>
      <w:r w:rsidR="00D04DC6">
        <w:t xml:space="preserve"> Rahmenbedingungen und Unsicher</w:t>
      </w:r>
      <w:r>
        <w:t>heiten im letzten Studiensemester bestehen für alle Prüfungsteilnehmerinnen und Prüfungsteilnehmer der Ersten Staatsprüfung für ein Lehramt an öffentlichen Schulen nach Auskunft des StMUK folgende Sonderregelungen: Wird die Erste Staatsprüfung für ein Lehramt an öffentlichen Schulen zum Prüfungstermin Frühjahr 2022 erstmals abgelegt, so gelten die Bestimmungen</w:t>
      </w:r>
      <w:r w:rsidR="00D04DC6">
        <w:t xml:space="preserve"> über den Freiversuch nach § 16 </w:t>
      </w:r>
      <w:r>
        <w:t>Ab</w:t>
      </w:r>
      <w:r w:rsidR="00D04DC6">
        <w:t>s.</w:t>
      </w:r>
      <w:r>
        <w:t xml:space="preserve"> 1, 2 und 4 </w:t>
      </w:r>
      <w:r w:rsidR="00D04DC6">
        <w:t>der Leistungs-Prüfungs-Ordnung (</w:t>
      </w:r>
      <w:r>
        <w:t>LPO I</w:t>
      </w:r>
      <w:r w:rsidR="00D04DC6">
        <w:t>)</w:t>
      </w:r>
      <w:r>
        <w:t xml:space="preserve"> unabhängig von der Anzahl der Hochschulsemester entsprechend. Wird die Erste Staatsprüfung zum Prüfungstermin Frühjahr </w:t>
      </w:r>
      <w:r w:rsidR="00D04DC6">
        <w:t>2022 als Wiederholung bei Nicht</w:t>
      </w:r>
      <w:r>
        <w:t>bestehen (§ 14 LPO I) oder als Wiederholung zur Notenverbesserung (§ 15 LPO I) abgelegt, kann diese Prüfung abweichend von § 14 Ab</w:t>
      </w:r>
      <w:r w:rsidR="00D04DC6">
        <w:t>s.</w:t>
      </w:r>
      <w:r>
        <w:t xml:space="preserve"> 1 Satz 1 LPO I und § 15 Ab</w:t>
      </w:r>
      <w:r w:rsidR="00D04DC6">
        <w:t>s.</w:t>
      </w:r>
      <w:r>
        <w:t xml:space="preserve"> 1 Satz 1 LPO I ein weiteres Mal wiederholt werden. Darüber hinaus wird das Wintersemester 2021/2022 in Bezug auf die Regelungen zum Freiversuch (§ 16 LPO I) nicht als Hochschulsemester gewertet.</w:t>
      </w:r>
    </w:p>
    <w:p w:rsidR="00230E2B" w:rsidRDefault="00230E2B" w:rsidP="00230E2B">
      <w:pPr>
        <w:pStyle w:val="LTAntwortRessortText"/>
      </w:pPr>
      <w:r>
        <w:t>In Bezug auf die Erste Juristische Staatsprüfung wir</w:t>
      </w:r>
      <w:r w:rsidR="00CF68FD">
        <w:t>d seitens des StMJ wie folgt ge</w:t>
      </w:r>
      <w:r>
        <w:t xml:space="preserve">antwortet: In Anlehnung an die Erstreckung </w:t>
      </w:r>
      <w:r w:rsidR="00CF68FD">
        <w:t>der Sonderregelung in Art. 99 Abs.</w:t>
      </w:r>
      <w:r>
        <w:t xml:space="preserve"> 1 des Bayerischen Hochschulgesetzes (BayHSchG) auf das Wintersemester 2021/2022 wird dieses Semester auch auf die für den Freiversuch</w:t>
      </w:r>
      <w:r w:rsidR="00CF68FD">
        <w:t xml:space="preserve"> in der staatlichen Pflichtfach</w:t>
      </w:r>
      <w:r>
        <w:t>prüfung maßgebliche Fachsemesterzahl nicht angere</w:t>
      </w:r>
      <w:r w:rsidR="00CF68FD">
        <w:t>chnet werden. Die hierfür erfor</w:t>
      </w:r>
      <w:r>
        <w:t>derliche Änderung von § 37 Ab</w:t>
      </w:r>
      <w:r w:rsidR="00CF68FD">
        <w:t>s.</w:t>
      </w:r>
      <w:r>
        <w:t xml:space="preserve"> 6 der Ausbildungs</w:t>
      </w:r>
      <w:r w:rsidR="00CF68FD">
        <w:t>- und Prüfungsordnung für Juris</w:t>
      </w:r>
      <w:r>
        <w:t xml:space="preserve">ten (JAPO) wird in Kürze im </w:t>
      </w:r>
      <w:r w:rsidR="00CF68FD">
        <w:t>Gesetz und Verordnungsblatt (</w:t>
      </w:r>
      <w:r>
        <w:t>GVBl</w:t>
      </w:r>
      <w:r w:rsidR="00CF68FD">
        <w:t>)</w:t>
      </w:r>
      <w:r>
        <w:t>. bekannt gemacht werden.</w:t>
      </w:r>
    </w:p>
    <w:p w:rsidR="00230E2B" w:rsidRDefault="00230E2B" w:rsidP="00230E2B">
      <w:pPr>
        <w:pStyle w:val="LTAntwortRessortText"/>
      </w:pPr>
      <w:r>
        <w:t>Im Bereich der Staatsexamina des StMELF gab es keine Freiversuchsregelungen.</w:t>
      </w:r>
    </w:p>
    <w:p w:rsidR="00230E2B" w:rsidRDefault="00230E2B">
      <w:bookmarkStart w:id="78" w:name="Frage_Nr_38_Ende"/>
      <w:bookmarkEnd w:id="7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8"/>
        <w:gridCol w:w="5758"/>
      </w:tblGrid>
      <w:tr w:rsidR="00230E2B" w:rsidTr="007B0B33">
        <w:tc>
          <w:tcPr>
            <w:tcW w:w="2050" w:type="dxa"/>
          </w:tcPr>
          <w:p w:rsidR="00230E2B" w:rsidRDefault="00230E2B" w:rsidP="00230E2B">
            <w:pPr>
              <w:pStyle w:val="LTAnfrageInitiator"/>
            </w:pPr>
            <w:r>
              <w:lastRenderedPageBreak/>
              <w:t>Abgeordneter</w:t>
            </w:r>
            <w:r>
              <w:rPr>
                <w:b/>
              </w:rPr>
              <w:br/>
              <w:t>Toni</w:t>
            </w:r>
            <w:r>
              <w:rPr>
                <w:b/>
              </w:rPr>
              <w:br/>
              <w:t>Schuberl</w:t>
            </w:r>
            <w:r>
              <w:rPr>
                <w:b/>
              </w:rPr>
              <w:br/>
            </w:r>
            <w:r>
              <w:t>(BÜNDNIS 90/DIE GRÜNEN)</w:t>
            </w:r>
            <w:bookmarkStart w:id="79" w:name="Frage_Nr_39"/>
            <w:bookmarkEnd w:id="79"/>
          </w:p>
        </w:tc>
        <w:tc>
          <w:tcPr>
            <w:tcW w:w="7200" w:type="dxa"/>
          </w:tcPr>
          <w:p w:rsidR="00230E2B" w:rsidRDefault="00255766" w:rsidP="00230E2B">
            <w:pPr>
              <w:pStyle w:val="LTAnfrageText"/>
            </w:pPr>
            <w:r w:rsidRPr="00255766">
              <w:rPr>
                <w:szCs w:val="24"/>
              </w:rPr>
              <w:t>Ich frage die Staatsregierung, welche Konsequenzen sie nach dem Beschluss des Verwaltungsgerichtshofs Baden-Württemberg vom 20.01.2022 (Az. 1 Seite 3846/21) zieht, der den für den Studienbetrieb an Hochschulen in Baden-Württemberg angeordneten 2G-Zugang außer Vollzug gesetzt hat, ob aus ihrer Sicht auch die vergleichbare bayerische Regelung gemäß § 5 Abs. 1 S. 1 Nr. 1 der 15. Bayerischen Infektionsschutzmaßnahmenverordnung (BayIfSMV) entsprechend rechtswidrig ist (bitte begründen) und ob sie Änderungen bei diesem schwerwiegenden Eingriff in die Grundrechte der Studierenden beim Zugang zu den Hochschulen in Bayern plant.</w:t>
            </w:r>
          </w:p>
        </w:tc>
      </w:tr>
    </w:tbl>
    <w:p w:rsidR="00230E2B" w:rsidRDefault="00230E2B" w:rsidP="00230E2B">
      <w:pPr>
        <w:pStyle w:val="LTUeberschrAntwortRessort"/>
      </w:pPr>
      <w:r>
        <w:t>Antwort des Staatsministeriums für Wissenschaft und Kunst</w:t>
      </w:r>
    </w:p>
    <w:p w:rsidR="00230E2B" w:rsidRDefault="00230E2B" w:rsidP="00230E2B">
      <w:pPr>
        <w:pStyle w:val="LTAntwortRessortText"/>
      </w:pPr>
      <w:r>
        <w:t>Für die Staatsregierung steht der Schutz von Leben und Gesundheit weiterhin an erster Stelle. Ein wesentliches Anliegen der Staatsre</w:t>
      </w:r>
      <w:r w:rsidR="00720946">
        <w:t>gierung ist, dass den Studentin</w:t>
      </w:r>
      <w:r>
        <w:t>nen und Studenten in Bayern aus der COVID-19-Pandemie auch weiterhin möglichst keine Nachteile erwachsen sollen. Für einen möglichst wirksamen Infektions- und Gesundheitsschutz auch im Hochschulbereich hat die Staatsregierung entschlossen verstärkte Maßnahmen ergriffen, die situationsangemessene Zugangsregelungen für Hochschulen umfassen. Die vor dem Hintergrund eine</w:t>
      </w:r>
      <w:r w:rsidR="00720946">
        <w:t>r Intensivierung der Infektions</w:t>
      </w:r>
      <w:r>
        <w:t>lage eingeführte grundsätzliche 2G-Regel an den Hochschulen ist Bestandteil des verstärkten Bündels von Maßnahmen, die die Staatsregierung mit Blick auf das sehr dynamische Infektionsgeschehen und die deutli</w:t>
      </w:r>
      <w:r w:rsidR="00720946">
        <w:t>che Belastung des Gesundheitsbe</w:t>
      </w:r>
      <w:r>
        <w:t xml:space="preserve">reichs ergriffen hat, um der weiteren Ausbreitung des Coronavirus </w:t>
      </w:r>
      <w:r w:rsidR="00720946">
        <w:t>SARS-CoV-2 ge</w:t>
      </w:r>
      <w:r>
        <w:t>zielt entgegenzuwirken und damit einer Überlastu</w:t>
      </w:r>
      <w:r w:rsidR="00720946">
        <w:t>ng des Gesundheitssystems vorzu</w:t>
      </w:r>
      <w:r>
        <w:t>beugen. Effektive und situationsangemessene Zugangsregeln bleiben ein tragender Pfeiler für die Absicherung des Präsenzbetriebs an</w:t>
      </w:r>
      <w:r w:rsidR="00720946">
        <w:t xml:space="preserve"> den Hochschulen und für die Ge</w:t>
      </w:r>
      <w:r>
        <w:t>währleistung eines möglichst guten Infektionsschutz</w:t>
      </w:r>
      <w:r w:rsidR="00720946">
        <w:t>es vor Ort. Dabei ist die 2G-Re</w:t>
      </w:r>
      <w:r>
        <w:t>gel im Sinne eines bestmöglichen Infektionsschutzes und zur Vermeidung weiterer Infektionsketten grundsätzlich umfassend. Die 2G-Reg</w:t>
      </w:r>
      <w:r w:rsidR="00720946">
        <w:t>el ist zugleich mit differenzie</w:t>
      </w:r>
      <w:r>
        <w:t xml:space="preserve">renden Ausnahmen versehen, insbesondere für </w:t>
      </w:r>
      <w:r w:rsidR="00720946">
        <w:t>Personen, die sich aus medizini</w:t>
      </w:r>
      <w:r>
        <w:t>schen Gründen nicht impfen lassen können und dies entsprechend nachweisen, und für Prüfungen. Unter anderem für den Prüfungsbetrieb hat die Staatsregierung am 25.01.2022 gezielte Erleichterungen bei den Zugangsregelungen im Rahmen der</w:t>
      </w:r>
      <w:r w:rsidR="008D4D58">
        <w:t xml:space="preserve"> </w:t>
      </w:r>
      <w:r>
        <w:t xml:space="preserve">Bayerischen Teststrategie beschlossen: Prüfungen sind künftig nach 3G zugänglich. Soweit bislang in der 15. </w:t>
      </w:r>
      <w:r w:rsidR="0080793E">
        <w:t>Bayerischen Infektionsschutzmaßnahmenv</w:t>
      </w:r>
      <w:r w:rsidR="00720946">
        <w:t>erordnung (</w:t>
      </w:r>
      <w:r>
        <w:t>BayIfSMV</w:t>
      </w:r>
      <w:r w:rsidR="00720946">
        <w:t>)</w:t>
      </w:r>
      <w:r>
        <w:t xml:space="preserve"> die Vorlage eines negativen PCR-Tests erforderlich (gewesen) ist (</w:t>
      </w:r>
      <w:r w:rsidR="005508E8">
        <w:t>z. B.</w:t>
      </w:r>
      <w:r>
        <w:t xml:space="preserve"> bei 2G für Personen, die sich aus medizinischen Gründen nicht impfen lassen können), genügt nunmehr ein negativer Antigentest.</w:t>
      </w:r>
    </w:p>
    <w:p w:rsidR="00230E2B" w:rsidRDefault="00230E2B" w:rsidP="00230E2B">
      <w:pPr>
        <w:pStyle w:val="LTAntwortRessortText"/>
      </w:pPr>
      <w:r>
        <w:t>Der Bayerische Verwa</w:t>
      </w:r>
      <w:r w:rsidR="00720946">
        <w:t>ltungsgerichtshof (BayVGH) hat –</w:t>
      </w:r>
      <w:r>
        <w:t xml:space="preserve"> anders als die Verwaltungs-rechtsprechung in Baden-Württemberg in Bezug auf das dortige Landesre</w:t>
      </w:r>
      <w:r w:rsidR="00720946">
        <w:t>cht –</w:t>
      </w:r>
      <w:r>
        <w:t xml:space="preserve"> mit Beschluss vom 27.12.2021 (Az. 20 NE 21.2977) die in Bayern geltende 2G-Regel konkret in Bezug auf die Hochschulen im Verfahre</w:t>
      </w:r>
      <w:r w:rsidR="00720946">
        <w:t>n des einstweiligen Rechtsschut</w:t>
      </w:r>
      <w:r>
        <w:t>zes vorläufig bestätigt. Auf die ausführliche</w:t>
      </w:r>
      <w:r w:rsidR="00720946">
        <w:t xml:space="preserve"> Begründung dieses Beschlusses – insbe</w:t>
      </w:r>
      <w:r>
        <w:t>sondere zur Geeignetheit, Erforderlichkeit u</w:t>
      </w:r>
      <w:r w:rsidR="00720946">
        <w:t>nd Angemessenheit der Maßnahme –</w:t>
      </w:r>
      <w:r>
        <w:t xml:space="preserve"> und auf die Begründung der 15. BayIfSMV wird Bezug genommen.</w:t>
      </w:r>
    </w:p>
    <w:p w:rsidR="00230E2B" w:rsidRDefault="00230E2B" w:rsidP="008D4D58">
      <w:pPr>
        <w:pStyle w:val="LTAntwortRessortText"/>
      </w:pPr>
      <w:r>
        <w:lastRenderedPageBreak/>
        <w:t>Die geltenden Maßnahmen zur Bewältigung der COVID-19-Pandemie werden von der Staatsregierung einer regelmäßigen Überprüfung</w:t>
      </w:r>
      <w:r w:rsidR="00720946">
        <w:t xml:space="preserve"> im Hinblick auf die Verhältnis</w:t>
      </w:r>
      <w:r>
        <w:t>mäßigkeit unterzogen und die Entwicklungen im Infektionsgeschehen fortlaufend sorgfältig be</w:t>
      </w:r>
      <w:r w:rsidR="00720946">
        <w:t>obachtet, um jederzeit gezielt – auch im Hochschulbereich – nachsteu</w:t>
      </w:r>
      <w:r>
        <w:t>ern zu können, falls und soweit dies erforderlich und geboten sein sollte.</w:t>
      </w:r>
    </w:p>
    <w:p w:rsidR="00230E2B" w:rsidRDefault="00230E2B">
      <w:bookmarkStart w:id="80" w:name="Frage_Nr_39_Ende"/>
      <w:bookmarkEnd w:id="8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230E2B" w:rsidTr="007B0B33">
        <w:tc>
          <w:tcPr>
            <w:tcW w:w="2050" w:type="dxa"/>
          </w:tcPr>
          <w:p w:rsidR="00230E2B" w:rsidRDefault="00230E2B" w:rsidP="00230E2B">
            <w:pPr>
              <w:pStyle w:val="LTAnfrageInitiator"/>
            </w:pPr>
            <w:r>
              <w:lastRenderedPageBreak/>
              <w:t>Abgeordneter</w:t>
            </w:r>
            <w:r>
              <w:rPr>
                <w:b/>
              </w:rPr>
              <w:br/>
              <w:t>Stefan</w:t>
            </w:r>
            <w:r>
              <w:rPr>
                <w:b/>
              </w:rPr>
              <w:br/>
              <w:t>Schuster</w:t>
            </w:r>
            <w:r>
              <w:rPr>
                <w:b/>
              </w:rPr>
              <w:br/>
            </w:r>
            <w:r>
              <w:t>(SPD)</w:t>
            </w:r>
            <w:bookmarkStart w:id="81" w:name="Frage_Nr_40"/>
            <w:bookmarkEnd w:id="81"/>
          </w:p>
        </w:tc>
        <w:tc>
          <w:tcPr>
            <w:tcW w:w="7200" w:type="dxa"/>
          </w:tcPr>
          <w:p w:rsidR="00230E2B" w:rsidRDefault="00255766" w:rsidP="00230E2B">
            <w:pPr>
              <w:pStyle w:val="LTAnfrageText"/>
            </w:pPr>
            <w:r w:rsidRPr="00255766">
              <w:rPr>
                <w:szCs w:val="24"/>
              </w:rPr>
              <w:t xml:space="preserve">Ich frage die Staatsregierung, welche fachlichen und politischen Schlüsse zieht sie aus den </w:t>
            </w:r>
            <w:r w:rsidR="0080793E">
              <w:rPr>
                <w:szCs w:val="24"/>
              </w:rPr>
              <w:t>aktuellen und in den nächsten zehn</w:t>
            </w:r>
            <w:r w:rsidRPr="00255766">
              <w:rPr>
                <w:szCs w:val="24"/>
              </w:rPr>
              <w:t xml:space="preserve"> bis 15 Jahren voraussichtlich anstehenden besonderen Herausforderungen und fachlichen Entwicklungsnotwendigkeiten der Bodendenkmalpflege in Bayern, welche zusätzlichen finanziellen, personellen und rechtlichen Ressourcen wären fachlich sinnvoll, um diesen Herausforderungen gerecht zu werden und was spricht aus Sicht der Staatsregierung nach wie vor gegen die Einführung eines sog. Schatzregals in Bayern, obwohl sich der Vorsitzende des Landesdenkmalrates 2021 für dessen Einführung ausgesprochen hat?</w:t>
            </w:r>
          </w:p>
        </w:tc>
      </w:tr>
    </w:tbl>
    <w:p w:rsidR="00230E2B" w:rsidRDefault="00230E2B" w:rsidP="00230E2B">
      <w:pPr>
        <w:pStyle w:val="LTUeberschrAntwortRessort"/>
      </w:pPr>
      <w:r>
        <w:t>Antwort des Staatsministeriums für Wissenschaft und Kunst</w:t>
      </w:r>
    </w:p>
    <w:p w:rsidR="00230E2B" w:rsidRDefault="00230E2B" w:rsidP="00230E2B">
      <w:pPr>
        <w:pStyle w:val="LTAntwortRessortText"/>
      </w:pPr>
      <w:r>
        <w:t>Das Bayerische Landesamt für Denkmalpflege (BLfD) hat in Abstimmung mit dem Staatsministerium in den letzten Jahren im Bereich der Bodendenkmalpflege neue Ansätze entwickelt, die in die Zukunft reichen und</w:t>
      </w:r>
      <w:r w:rsidR="004258D5">
        <w:t xml:space="preserve"> Herausforderungen unter Berück</w:t>
      </w:r>
      <w:r>
        <w:t xml:space="preserve">sichtigung fachlicher Notwendigkeiten aufgreifen. </w:t>
      </w:r>
      <w:r w:rsidR="004258D5">
        <w:t>Es handelt sich um einen laufen</w:t>
      </w:r>
      <w:r>
        <w:t>den Prozess, der als Daueraufgabe verstanden wird, sodass eine abschließende Aufzählung nicht möglich ist. Besonders sind an dieser Stelle aber die Kommunalen Denkmalkonzepte und die Denkmalfeststellung im Vermutungsfall zu nennen; der fachlich wünschenswerte Ausbau dieser Instrumente wird im Rahmen der jeweils vorhandenen Möglichkeiten des Haushalts angestre</w:t>
      </w:r>
      <w:r w:rsidR="004258D5">
        <w:t>bt. Die im Kontext eines Schatz</w:t>
      </w:r>
      <w:r>
        <w:t>regals vorhandenen vielfältigen und teils unterschiedlichen Interessen beim Eige</w:t>
      </w:r>
      <w:r w:rsidR="004258D5">
        <w:t>n</w:t>
      </w:r>
      <w:r>
        <w:t>tum an Bodendenkmälern und deren Erhalt sind dem Staatsministerium bewusst. Ein vom Staatsministerium eigens dafür eingerichteter A</w:t>
      </w:r>
      <w:r w:rsidR="004258D5">
        <w:t>rbeitskreis, bestehend aus Fach</w:t>
      </w:r>
      <w:r>
        <w:t>leuten des BLfD, der Archäologischen Staatssam</w:t>
      </w:r>
      <w:r w:rsidR="004258D5">
        <w:t>mlung sowie verschiedener Kreis</w:t>
      </w:r>
      <w:r>
        <w:t>archäologien hat zwischenzeitlich Ansätze zur Weiteren</w:t>
      </w:r>
      <w:r w:rsidR="004258D5">
        <w:t>twicklung erarbeitet, die in ei</w:t>
      </w:r>
      <w:r>
        <w:t>ner der kommenden Sitzungen im Landesdenkmalrat vorgestellt werden.</w:t>
      </w:r>
    </w:p>
    <w:p w:rsidR="00230E2B" w:rsidRDefault="00230E2B">
      <w:bookmarkStart w:id="82" w:name="Frage_Nr_40_Ende"/>
      <w:bookmarkEnd w:id="82"/>
      <w:r>
        <w:br w:type="page"/>
      </w:r>
    </w:p>
    <w:p w:rsidR="00230E2B" w:rsidRDefault="00230E2B" w:rsidP="00230E2B">
      <w:pPr>
        <w:pStyle w:val="LTUeberschrRessort"/>
      </w:pPr>
      <w:r>
        <w:lastRenderedPageBreak/>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230E2B" w:rsidTr="007B0B33">
        <w:tc>
          <w:tcPr>
            <w:tcW w:w="2050" w:type="dxa"/>
          </w:tcPr>
          <w:p w:rsidR="00230E2B" w:rsidRDefault="00230E2B" w:rsidP="00230E2B">
            <w:pPr>
              <w:pStyle w:val="LTAnfrageInitiator"/>
            </w:pPr>
            <w:r>
              <w:t>Abgeordneter</w:t>
            </w:r>
            <w:r>
              <w:rPr>
                <w:b/>
              </w:rPr>
              <w:br/>
              <w:t>Johannes</w:t>
            </w:r>
            <w:r>
              <w:rPr>
                <w:b/>
              </w:rPr>
              <w:br/>
              <w:t>Becher</w:t>
            </w:r>
            <w:r>
              <w:rPr>
                <w:b/>
              </w:rPr>
              <w:br/>
            </w:r>
            <w:r>
              <w:t>(BÜNDNIS 90/DIE GRÜNEN)</w:t>
            </w:r>
            <w:bookmarkStart w:id="83" w:name="Frage_Nr_41"/>
            <w:bookmarkEnd w:id="83"/>
          </w:p>
        </w:tc>
        <w:tc>
          <w:tcPr>
            <w:tcW w:w="7200" w:type="dxa"/>
          </w:tcPr>
          <w:p w:rsidR="00230E2B" w:rsidRDefault="00CC450B" w:rsidP="00230E2B">
            <w:pPr>
              <w:pStyle w:val="LTAnfrageText"/>
            </w:pPr>
            <w:r w:rsidRPr="00CC450B">
              <w:rPr>
                <w:szCs w:val="24"/>
              </w:rPr>
              <w:t>Ich frage die Staatsregierung, welche Aufträge hat die Boston Consulting Group von der Staatsregierung im Rahmen der Pandemie erhalten, was wurde konkret beauftragt und wie hoch sind die bisher entstandenen Kosten?</w:t>
            </w:r>
          </w:p>
        </w:tc>
      </w:tr>
    </w:tbl>
    <w:p w:rsidR="00230E2B" w:rsidRDefault="00230E2B" w:rsidP="00230E2B">
      <w:pPr>
        <w:pStyle w:val="LTUeberschrAntwortRessort"/>
      </w:pPr>
      <w:r>
        <w:t>Antwort des Staatsministeriums der Finanzen und für Heimat</w:t>
      </w:r>
    </w:p>
    <w:p w:rsidR="00230E2B" w:rsidRDefault="00230E2B" w:rsidP="00230E2B">
      <w:pPr>
        <w:pStyle w:val="LTAntwortRessortText"/>
      </w:pPr>
      <w:r>
        <w:t>Da in der Kürze der Zeit weder eine Resso</w:t>
      </w:r>
      <w:r w:rsidR="002C7F8E">
        <w:t>rtabfrage noch eine Geschäftsbe</w:t>
      </w:r>
      <w:r>
        <w:t>reichsabfrage aufwandstechnisch darstellbar waren, wurde der Umfang der Abfrage auf das Staatsministerium der Fin</w:t>
      </w:r>
      <w:r w:rsidR="002C7F8E">
        <w:t>anzen und für Heimat (StMFH) be</w:t>
      </w:r>
      <w:r>
        <w:t>grenzt. Das StMFH hat im Rahmen der Pandemie keine Aufträge an die Firma Boston Consulting erteilt.</w:t>
      </w:r>
    </w:p>
    <w:p w:rsidR="00230E2B" w:rsidRDefault="00230E2B">
      <w:bookmarkStart w:id="84" w:name="Frage_Nr_41_Ende"/>
      <w:bookmarkEnd w:id="8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7"/>
        <w:gridCol w:w="5739"/>
      </w:tblGrid>
      <w:tr w:rsidR="00230E2B" w:rsidTr="007B0B33">
        <w:tc>
          <w:tcPr>
            <w:tcW w:w="2050" w:type="dxa"/>
          </w:tcPr>
          <w:p w:rsidR="00230E2B" w:rsidRDefault="00230E2B" w:rsidP="00230E2B">
            <w:pPr>
              <w:pStyle w:val="LTAnfrageInitiator"/>
            </w:pPr>
            <w:r>
              <w:lastRenderedPageBreak/>
              <w:t>Abgeordnete</w:t>
            </w:r>
            <w:r>
              <w:rPr>
                <w:b/>
              </w:rPr>
              <w:br/>
              <w:t>Susanne</w:t>
            </w:r>
            <w:r>
              <w:rPr>
                <w:b/>
              </w:rPr>
              <w:br/>
              <w:t>Kurz</w:t>
            </w:r>
            <w:r>
              <w:rPr>
                <w:b/>
              </w:rPr>
              <w:br/>
            </w:r>
            <w:r>
              <w:t>(BÜNDNIS 90/DIE GRÜNEN)</w:t>
            </w:r>
            <w:bookmarkStart w:id="85" w:name="Frage_Nr_42"/>
            <w:bookmarkEnd w:id="85"/>
          </w:p>
        </w:tc>
        <w:tc>
          <w:tcPr>
            <w:tcW w:w="7200" w:type="dxa"/>
          </w:tcPr>
          <w:p w:rsidR="00230E2B" w:rsidRDefault="00A615E7" w:rsidP="00230E2B">
            <w:pPr>
              <w:pStyle w:val="LTAnfrageText"/>
            </w:pPr>
            <w:r w:rsidRPr="00A615E7">
              <w:rPr>
                <w:szCs w:val="24"/>
              </w:rPr>
              <w:t>Ich frage die Staatsregierung, inwiefern die bayeri</w:t>
            </w:r>
            <w:r w:rsidR="0080793E">
              <w:rPr>
                <w:szCs w:val="24"/>
              </w:rPr>
              <w:t xml:space="preserve">schen Finanzämter das „NEUSTART </w:t>
            </w:r>
            <w:r w:rsidRPr="00A615E7">
              <w:rPr>
                <w:szCs w:val="24"/>
              </w:rPr>
              <w:t>KULTUR-Stipendium“ nach § 3 Nr. 44 EStG als von der Einkommenssteuer befreit behandeln, inwiefern Empfängerinnen bzw. Empfänger des Stipendiums sozialversicherungspflichtig sind und inwiefern die Förderung nach § 1 Abs. 1 Nr. 1 des Umsatzsteuergesetzes (UstG) umsatzsteuerpflichtig ist?“</w:t>
            </w:r>
          </w:p>
        </w:tc>
      </w:tr>
    </w:tbl>
    <w:p w:rsidR="00230E2B" w:rsidRDefault="00230E2B" w:rsidP="00230E2B">
      <w:pPr>
        <w:pStyle w:val="LTUeberschrAntwortRessort"/>
      </w:pPr>
      <w:r>
        <w:t>Antwort des Staatsministeriums der Finanzen und für Heimat</w:t>
      </w:r>
    </w:p>
    <w:p w:rsidR="00230E2B" w:rsidRDefault="00230E2B" w:rsidP="00230E2B">
      <w:pPr>
        <w:pStyle w:val="LTAntwortRessortText"/>
      </w:pPr>
      <w:r>
        <w:t xml:space="preserve">Das von der Bundesregierung aufgelegte Programm </w:t>
      </w:r>
      <w:r w:rsidR="00490BF0">
        <w:t>„</w:t>
      </w:r>
      <w:r>
        <w:t>NEUSTART KULTUR</w:t>
      </w:r>
      <w:r w:rsidR="00490BF0">
        <w:t>“</w:t>
      </w:r>
      <w:r>
        <w:t xml:space="preserve"> beinhaltet verschiedene Stipendienprogramme mit jeweils unterschiedlichen Zielgruppen und Vergaberichtlinien. Zur steu</w:t>
      </w:r>
      <w:r w:rsidR="00241E12">
        <w:t>erlichen Behandlung solcher Sti</w:t>
      </w:r>
      <w:r>
        <w:t>pendien gibt es in Bayern bislang keine A</w:t>
      </w:r>
      <w:r w:rsidR="00241E12">
        <w:t>nweisung an die Finanzämter. Al</w:t>
      </w:r>
      <w:r>
        <w:t xml:space="preserve">lerdings hat das Bundesministerium der Finanzen angekündigt, wegen des Programms </w:t>
      </w:r>
      <w:r w:rsidR="00490BF0">
        <w:t>„</w:t>
      </w:r>
      <w:r>
        <w:t>NEUSTART KULTUR</w:t>
      </w:r>
      <w:r w:rsidR="00490BF0">
        <w:t>“</w:t>
      </w:r>
      <w:r>
        <w:t xml:space="preserve"> auf d</w:t>
      </w:r>
      <w:r w:rsidR="00241E12">
        <w:t>ie Finanzbehörden der Länder zu</w:t>
      </w:r>
      <w:r>
        <w:t>kommen zu wollen.</w:t>
      </w:r>
    </w:p>
    <w:p w:rsidR="00230E2B" w:rsidRDefault="00230E2B">
      <w:bookmarkStart w:id="86" w:name="Frage_Nr_42_Ende"/>
      <w:bookmarkEnd w:id="86"/>
      <w:r>
        <w:br w:type="page"/>
      </w:r>
    </w:p>
    <w:p w:rsidR="00230E2B" w:rsidRDefault="00230E2B" w:rsidP="00230E2B">
      <w:pPr>
        <w:pStyle w:val="LTUeberschrRessort"/>
      </w:pPr>
      <w:r>
        <w:lastRenderedPageBreak/>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4"/>
        <w:gridCol w:w="5712"/>
      </w:tblGrid>
      <w:tr w:rsidR="00230E2B" w:rsidTr="007B0B33">
        <w:tc>
          <w:tcPr>
            <w:tcW w:w="2050" w:type="dxa"/>
          </w:tcPr>
          <w:p w:rsidR="00230E2B" w:rsidRDefault="00230E2B" w:rsidP="00230E2B">
            <w:pPr>
              <w:pStyle w:val="LTAnfrageInitiator"/>
            </w:pPr>
            <w:r>
              <w:t>Abgeordneter</w:t>
            </w:r>
            <w:r>
              <w:rPr>
                <w:b/>
              </w:rPr>
              <w:br/>
              <w:t>Franz</w:t>
            </w:r>
            <w:r>
              <w:rPr>
                <w:b/>
              </w:rPr>
              <w:br/>
              <w:t>Bergmüller</w:t>
            </w:r>
            <w:r>
              <w:rPr>
                <w:b/>
              </w:rPr>
              <w:br/>
            </w:r>
            <w:r>
              <w:t>(AfD)</w:t>
            </w:r>
            <w:bookmarkStart w:id="87" w:name="Frage_Nr_43"/>
            <w:bookmarkEnd w:id="87"/>
          </w:p>
        </w:tc>
        <w:tc>
          <w:tcPr>
            <w:tcW w:w="7200" w:type="dxa"/>
          </w:tcPr>
          <w:p w:rsidR="00230E2B" w:rsidRDefault="00CC450B" w:rsidP="00230E2B">
            <w:pPr>
              <w:pStyle w:val="LTAnfrageText"/>
            </w:pPr>
            <w:r w:rsidRPr="00CC450B">
              <w:rPr>
                <w:szCs w:val="24"/>
              </w:rPr>
              <w:t>Ich frage die Staatsregierung, wie viele Antragsteller in Bayern sind vom abrupten Stopp der staatlichen KfW(= Kreditanstalt für Wiederaufbau)-Förderung für energieeffiziente Gebäude (Effizienzstandard 55, Effizienzstandard 40, Sanierungen) betroffen, wie hoch ist die gesamte Summe der gestoppten Förderung und welche Auswirkungen auf die bayerischen Antragsteller hat dieser abrupte Stopp dieser Förderung nach Kenntnis der Staatsregierung?</w:t>
            </w:r>
          </w:p>
        </w:tc>
      </w:tr>
    </w:tbl>
    <w:p w:rsidR="00230E2B" w:rsidRDefault="00230E2B" w:rsidP="00230E2B">
      <w:pPr>
        <w:pStyle w:val="LTUeberschrAntwortRessort"/>
      </w:pPr>
      <w:r>
        <w:t>Antwort des Staatsministeriums für Wirtschaft, Landesentwicklung und Energie</w:t>
      </w:r>
    </w:p>
    <w:p w:rsidR="00230E2B" w:rsidRDefault="00230E2B" w:rsidP="00230E2B">
      <w:pPr>
        <w:pStyle w:val="LTAntwortRessortText"/>
      </w:pPr>
      <w:r>
        <w:t>Angaben zur Anzahl der betroffenen Antragsteller i</w:t>
      </w:r>
      <w:r w:rsidR="00A058CB">
        <w:t>n Bayern liegen der Staatsregie</w:t>
      </w:r>
      <w:r>
        <w:t xml:space="preserve">rung nicht vor. Bundesweit sind nach Informationen aus dem </w:t>
      </w:r>
      <w:r w:rsidR="00A058CB">
        <w:t>Bundesministerium für Wirtschaft und Klimaschutz (</w:t>
      </w:r>
      <w:r>
        <w:t>BMWK</w:t>
      </w:r>
      <w:r w:rsidR="00A058CB">
        <w:t>) rund 24 000 An</w:t>
      </w:r>
      <w:r>
        <w:t>träge betroffen, darin enthalten sind ca</w:t>
      </w:r>
      <w:r w:rsidR="00A058CB">
        <w:t>. 700 Sanierungen, ca. 22 000 Anträge betreffen Effizienzhaus 55, ca. 1 </w:t>
      </w:r>
      <w:r>
        <w:t>300 Anträge betreffen Effizienzhaus 40. Im Hinblick auf die Art der Förderanträge insgesamt ergibt s</w:t>
      </w:r>
      <w:r w:rsidR="00A058CB">
        <w:t>ich folgende Verteilung: ca. 20 000 Anträge für Wohngebäude, ca. 3 </w:t>
      </w:r>
      <w:r>
        <w:t>600 Anträge gewe</w:t>
      </w:r>
      <w:r w:rsidR="00A058CB">
        <w:t>rblicher Unternehmen (Nichtwohn</w:t>
      </w:r>
      <w:r>
        <w:t>gebäude), ca. 400 Anträge von Kommunen/Gebietskörperschaften (hauptsächlich Nichtwohngebäude).</w:t>
      </w:r>
    </w:p>
    <w:p w:rsidR="00230E2B" w:rsidRDefault="00230E2B" w:rsidP="00230E2B">
      <w:pPr>
        <w:pStyle w:val="LTAntwortRessortText"/>
      </w:pPr>
      <w:r>
        <w:t>Der staatliche Mittelbeda</w:t>
      </w:r>
      <w:r w:rsidR="00A058CB">
        <w:t>rf für die noch offenen rund 24 </w:t>
      </w:r>
      <w:r>
        <w:t>000 Anträge beläuft sich laut BMWK auf ca. 7,2 Mrd. Euro.</w:t>
      </w:r>
    </w:p>
    <w:p w:rsidR="00230E2B" w:rsidRDefault="00230E2B" w:rsidP="00230E2B">
      <w:pPr>
        <w:pStyle w:val="LTAntwortRessortText"/>
      </w:pPr>
      <w:r>
        <w:t>Auswirkungen ergeben sich insbesondere dahingehend, dass bei den Antragstellern Unklarheit darüber entstand, wie mit bereits gestellten Förderanträgen umgegangen wird und wie die zukünftigen Förderbedingungen ausgestaltet werden. Nach einer Pressemitteilung vom 01.02.2022 des Bundesminist</w:t>
      </w:r>
      <w:r w:rsidR="00A058CB">
        <w:t>eriums für Wirtschaft und Klima</w:t>
      </w:r>
      <w:r>
        <w:t>schutz sollen alle Altanträge, die bis zum Antragsstopp 24.01.2022 eingegangen</w:t>
      </w:r>
      <w:r w:rsidR="005327AE">
        <w:t xml:space="preserve"> </w:t>
      </w:r>
      <w:r>
        <w:t xml:space="preserve">sind, von der </w:t>
      </w:r>
      <w:r w:rsidR="00A058CB">
        <w:t>Kreditanstalt für Wiederaufbau (</w:t>
      </w:r>
      <w:r>
        <w:t>KfW</w:t>
      </w:r>
      <w:r w:rsidR="00A058CB">
        <w:t>)</w:t>
      </w:r>
      <w:r>
        <w:t xml:space="preserve"> noch nach den bisherigen Programmkriterien geprüft und im Fall der Förderfähigkeit genehmigt werden.</w:t>
      </w:r>
    </w:p>
    <w:p w:rsidR="00230E2B" w:rsidRDefault="00230E2B">
      <w:bookmarkStart w:id="88" w:name="Frage_Nr_43_Ende"/>
      <w:bookmarkEnd w:id="8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230E2B" w:rsidTr="007B0B33">
        <w:tc>
          <w:tcPr>
            <w:tcW w:w="2050" w:type="dxa"/>
          </w:tcPr>
          <w:p w:rsidR="00230E2B" w:rsidRDefault="00230E2B" w:rsidP="00230E2B">
            <w:pPr>
              <w:pStyle w:val="LTAnfrageInitiator"/>
            </w:pPr>
            <w:r>
              <w:lastRenderedPageBreak/>
              <w:t>Abgeordneter</w:t>
            </w:r>
            <w:r>
              <w:rPr>
                <w:b/>
              </w:rPr>
              <w:br/>
              <w:t>Albert</w:t>
            </w:r>
            <w:r>
              <w:rPr>
                <w:b/>
              </w:rPr>
              <w:br/>
              <w:t>Duin</w:t>
            </w:r>
            <w:r>
              <w:rPr>
                <w:b/>
              </w:rPr>
              <w:br/>
            </w:r>
            <w:r>
              <w:t>(FDP)</w:t>
            </w:r>
            <w:bookmarkStart w:id="89" w:name="Frage_Nr_44"/>
            <w:bookmarkEnd w:id="89"/>
          </w:p>
        </w:tc>
        <w:tc>
          <w:tcPr>
            <w:tcW w:w="7200" w:type="dxa"/>
          </w:tcPr>
          <w:p w:rsidR="00230E2B" w:rsidRDefault="0012007F" w:rsidP="00230E2B">
            <w:pPr>
              <w:pStyle w:val="LTAnfrageText"/>
            </w:pPr>
            <w:r w:rsidRPr="0012007F">
              <w:rPr>
                <w:szCs w:val="24"/>
              </w:rPr>
              <w:t>Ich frage die Staatsregierung, welche Erkenntnisse sie zur Lage der bayerischen Festwirte (u. a. Insolvenzen in der Branche, Zahl der Betriebe mit Kurzarbeit, Unterstützung durch Überbrückungshilfe) hat, welchen Handlungsbedarf sie zur Unterstützung der bayerischen Festwirte</w:t>
            </w:r>
            <w:r w:rsidRPr="0012007F">
              <w:rPr>
                <w:sz w:val="24"/>
                <w:szCs w:val="24"/>
              </w:rPr>
              <w:t xml:space="preserve"> </w:t>
            </w:r>
            <w:r w:rsidRPr="0012007F">
              <w:rPr>
                <w:szCs w:val="24"/>
              </w:rPr>
              <w:t>aufgrund deren besonderer Situation zwischen Gastronomie und Schaustellern sowie Marktkaufleuten sieht und welche Ansatzpunkte sie sieht, die bayerischen Festwirte mit bayerischen Mitteln besser zu unterstützen (u. a. Zugang zum Unternehmerlohn der Härtefallhilfe auch für GmbHs mit Mitarbeitern bzw. größere Mitarbeiterzahl, weitere Hilfsprogramme auf Landesebene, Öffnungsstrategie)?</w:t>
            </w:r>
          </w:p>
        </w:tc>
      </w:tr>
    </w:tbl>
    <w:p w:rsidR="00230E2B" w:rsidRDefault="00230E2B" w:rsidP="00230E2B">
      <w:pPr>
        <w:pStyle w:val="LTUeberschrAntwortRessort"/>
      </w:pPr>
      <w:r>
        <w:t>Antwort des Staatsministeriums für Wirtschaft, Landesentwicklung und Energie</w:t>
      </w:r>
    </w:p>
    <w:p w:rsidR="00230E2B" w:rsidRDefault="00230E2B" w:rsidP="00230E2B">
      <w:pPr>
        <w:pStyle w:val="LTAntwortRessortText"/>
      </w:pPr>
      <w:r>
        <w:t>Angaben über Überbrückungshilfen speziell für Festwirte liegen der Staatsregierung nicht vor. Rund 50</w:t>
      </w:r>
      <w:r w:rsidR="002E3B73">
        <w:t xml:space="preserve"> </w:t>
      </w:r>
      <w:r w:rsidR="005508E8">
        <w:t>Prozent</w:t>
      </w:r>
      <w:r>
        <w:t xml:space="preserve"> der in Bayern </w:t>
      </w:r>
      <w:r w:rsidR="002E3B73">
        <w:t>ausgezahlten Coronahilfen von 9 </w:t>
      </w:r>
      <w:r>
        <w:t>Mrd. Euro gingen an Unternehmen des Gastgewerbes (Gastronomie und Beherbergung).</w:t>
      </w:r>
    </w:p>
    <w:p w:rsidR="00230E2B" w:rsidRDefault="00230E2B" w:rsidP="00230E2B">
      <w:pPr>
        <w:pStyle w:val="LTAntwortRessortText"/>
      </w:pPr>
      <w:r>
        <w:t>Für die vorliegenden Zahlen der Jahre 2020 und 2021 zeigen sich jeweils im Vergleich zu den entsprechenden Vorjahreszeiträumen deutliche Rückgänge (über 20</w:t>
      </w:r>
      <w:r w:rsidR="002E3B73">
        <w:t> </w:t>
      </w:r>
      <w:r w:rsidR="005508E8">
        <w:t>Prozent</w:t>
      </w:r>
      <w:r>
        <w:t>) bei den Unternehmensinsolvenzen im Gastgewerbe. Auch hier liegen keine Informationen speziell für den Teilbereich der Festwirte vor.</w:t>
      </w:r>
    </w:p>
    <w:p w:rsidR="00230E2B" w:rsidRDefault="00230E2B" w:rsidP="00230E2B">
      <w:pPr>
        <w:pStyle w:val="LTAntwortRessortText"/>
      </w:pPr>
      <w:r>
        <w:t xml:space="preserve">Die Überbrückungshilfen des Bundes stehen als branchenübergreifende Programme zur Verfügung und gehen weit über eine reine Fixkostenerstattung </w:t>
      </w:r>
      <w:r w:rsidR="002E3B73">
        <w:t>hinaus</w:t>
      </w:r>
      <w:r>
        <w:t xml:space="preserve"> </w:t>
      </w:r>
      <w:r w:rsidR="002E3B73">
        <w:t>Für Fest</w:t>
      </w:r>
      <w:r>
        <w:t>wirte, die einen Umsatzeinbruch von mind. 30</w:t>
      </w:r>
      <w:r w:rsidR="002E3B73">
        <w:t xml:space="preserve"> </w:t>
      </w:r>
      <w:r w:rsidR="005508E8">
        <w:t>Prozent</w:t>
      </w:r>
      <w:r>
        <w:t xml:space="preserve"> zum Referenzeitraum (dieser umfasst bei Klein- und Kleinstunternehmen wahlweise die monatlichen Durchschnittsumsätze im Jahr 2019) nachweisen können, greifen die Überbrückungshilfe III (Förderzeitraum November 2020 bis Juni 2021), III Plus (Juli bis Dezember 2021) und IV (Januar bis März 2022). Die Staatsregierung setzt sich dafür ein, dass in der Überbrückungshilfe IV nicht nur Klein- und Kleinstunternehmen, sondern Unternehmen jeder Größe die</w:t>
      </w:r>
      <w:r w:rsidR="004B0E4F">
        <w:t xml:space="preserve"> </w:t>
      </w:r>
      <w:r>
        <w:t>Möglichkeit haben, auf den monatsdurchschnittlic</w:t>
      </w:r>
      <w:r w:rsidR="002E3B73">
        <w:t>hen Umsatz im Jahr 2019 als Ver</w:t>
      </w:r>
      <w:r>
        <w:t>gleichsumsatz abzustellen (</w:t>
      </w:r>
      <w:r w:rsidR="00490BF0">
        <w:t>„</w:t>
      </w:r>
      <w:r>
        <w:t>1/12-Regelung</w:t>
      </w:r>
      <w:r w:rsidR="00490BF0">
        <w:t>“</w:t>
      </w:r>
      <w:r>
        <w:t>). Die Bundesregierung hält aber an der Beschränkung auf Klein- und Kleinstunternehmen fest.</w:t>
      </w:r>
    </w:p>
    <w:p w:rsidR="00230E2B" w:rsidRDefault="00230E2B" w:rsidP="00230E2B">
      <w:pPr>
        <w:pStyle w:val="LTAntwortRessortText"/>
      </w:pPr>
      <w:r>
        <w:t>Erstattet werden bis zu 90</w:t>
      </w:r>
      <w:r w:rsidR="002E3B73">
        <w:t xml:space="preserve"> </w:t>
      </w:r>
      <w:r w:rsidR="005508E8">
        <w:t>Prozent</w:t>
      </w:r>
      <w:r>
        <w:t xml:space="preserve"> (Überbrückungshilfe IV) bzw. 100</w:t>
      </w:r>
      <w:r w:rsidR="002E3B73">
        <w:t xml:space="preserve"> </w:t>
      </w:r>
      <w:r w:rsidR="005508E8">
        <w:t>Prozent</w:t>
      </w:r>
      <w:r>
        <w:t xml:space="preserve"> (Überbrückungshilfe III/III Plus) der betrieblichen Fixkosten. Diese umfassen </w:t>
      </w:r>
      <w:r w:rsidR="005508E8">
        <w:t>z. B.</w:t>
      </w:r>
      <w:r w:rsidR="002E3B73">
        <w:t xml:space="preserve"> Miet- und Instandhal</w:t>
      </w:r>
      <w:r>
        <w:t>tungskosten und Abschreibungen auf Wirtschaftsgüter sowie verderbliche Ware.</w:t>
      </w:r>
    </w:p>
    <w:p w:rsidR="00230E2B" w:rsidRDefault="00230E2B" w:rsidP="00230E2B">
      <w:pPr>
        <w:pStyle w:val="LTAntwortRessortText"/>
      </w:pPr>
      <w:r>
        <w:t>Ergänzend ist in der Überbrückungshilfe ein Eigenkapitalzuschuss zur Substanzs</w:t>
      </w:r>
      <w:r w:rsidR="002E3B73">
        <w:t>tär</w:t>
      </w:r>
      <w:r>
        <w:t>kung vorgesehen, d.</w:t>
      </w:r>
      <w:r w:rsidR="002E3B73">
        <w:t> </w:t>
      </w:r>
      <w:r>
        <w:t xml:space="preserve">h. bei einem monatlichen Umsatzeinbruch von mindestens 50 </w:t>
      </w:r>
      <w:r w:rsidR="005508E8">
        <w:t>Prozent</w:t>
      </w:r>
      <w:r>
        <w:t xml:space="preserve"> im jeweiligen Zeitraum werden Aufschläge auf die Überbrückungshilfe im jeweiligen Monat des Erreichens der Schwelle gewährt. Der Eigenkapitalzuschuss beträgt bis zu 30</w:t>
      </w:r>
      <w:r w:rsidR="002E3B73">
        <w:t xml:space="preserve"> </w:t>
      </w:r>
      <w:r w:rsidR="005508E8">
        <w:t>Prozent</w:t>
      </w:r>
      <w:r>
        <w:t xml:space="preserve"> (Überbrückungshilfe IV) bzw. 40 </w:t>
      </w:r>
      <w:r w:rsidR="005508E8">
        <w:t>Prozent</w:t>
      </w:r>
      <w:r>
        <w:t xml:space="preserve"> (Überbrückungshilfe III/III Plus) des Betrags, den ein Unternehmen für die förderfähigen Fixkosten </w:t>
      </w:r>
      <w:r w:rsidR="002E3B73">
        <w:t>erstattet bekommt. Die Staatsre</w:t>
      </w:r>
      <w:r>
        <w:t>gierung setzt sich für eine Erhöhung des Eigenkapitalzuschusses in der Überbr</w:t>
      </w:r>
      <w:r w:rsidR="002E3B73">
        <w:t>ü</w:t>
      </w:r>
      <w:r>
        <w:t>ckungshilfe IV ein.</w:t>
      </w:r>
    </w:p>
    <w:p w:rsidR="00230E2B" w:rsidRDefault="00230E2B" w:rsidP="00230E2B">
      <w:pPr>
        <w:pStyle w:val="LTAntwortRessortText"/>
      </w:pPr>
      <w:r>
        <w:lastRenderedPageBreak/>
        <w:t>Außerdem werden</w:t>
      </w:r>
      <w:r w:rsidR="002E3B73">
        <w:t xml:space="preserve"> für die Veranstaltungsbranche – hierzu gehören auch Festwirte –</w:t>
      </w:r>
      <w:r>
        <w:t xml:space="preserve"> Ausfall- und Vorbereitungskosten erstattet. Die Staatsregierung setzt sich beim Bund dafür ein, dass diese Sonderregelung auch für Veranstaltungen gilt, die nach dem 31. Dezember 2021 stattfinden.</w:t>
      </w:r>
    </w:p>
    <w:p w:rsidR="00230E2B" w:rsidRDefault="00230E2B" w:rsidP="00230E2B">
      <w:pPr>
        <w:pStyle w:val="LTAntwortRessortText"/>
      </w:pPr>
      <w:r>
        <w:t>Für Beschicker von abgesagten Weihnachtsmärkt</w:t>
      </w:r>
      <w:r w:rsidR="00DF1862">
        <w:t>en sieht die Überbrückungshilfe </w:t>
      </w:r>
      <w:r>
        <w:t xml:space="preserve">IV einen erhöhten Eigenkapitalzuschuss von 50 Prozent vor, wenn sie im Dezember 2021 einen Umsatzeinbruch von mindestens 50 Prozent erlitten haben. Um den Betroffenen noch gezielter helfen zu können, hat die Staatsregierung für die von der Absage von Weihnachtsmärkten betroffenen Marktkaufleute und </w:t>
      </w:r>
      <w:r w:rsidR="00DF1862">
        <w:t>Schausteller die Bayerische Son</w:t>
      </w:r>
      <w:r>
        <w:t xml:space="preserve">derhilfe Weihnachtsmärkte mit einem Unternehmerlohn von bis </w:t>
      </w:r>
      <w:r w:rsidR="00DF1862">
        <w:t>zu 1 500 Euro monat</w:t>
      </w:r>
      <w:r>
        <w:t xml:space="preserve">lich für November 2021 bis März 2022 geschaffen. </w:t>
      </w:r>
      <w:r w:rsidR="00DF1862">
        <w:t>Dieses Programm richtet sich ex</w:t>
      </w:r>
      <w:r>
        <w:t>plizit an Soloselbständige und Kleinstunternehmen.</w:t>
      </w:r>
    </w:p>
    <w:p w:rsidR="004B0E4F" w:rsidRDefault="00230E2B" w:rsidP="00230E2B">
      <w:pPr>
        <w:pStyle w:val="LTAntwortRessortText"/>
      </w:pPr>
      <w:r>
        <w:t>Die Bayerische Härtefal</w:t>
      </w:r>
      <w:r w:rsidR="00DF1862">
        <w:t>lhilfe steht allen Unternehmen – also auch Festwirten –</w:t>
      </w:r>
      <w:r>
        <w:t xml:space="preserve"> offen, soweit sie coronabedingt in ihrer wirtschaftlichen Existenz bedroht und nicht bereits in anderen Hilfsprogrammen antragsberechtigt sind. </w:t>
      </w:r>
      <w:r w:rsidR="00DF1862">
        <w:t>Viele Unternehmen des Gastgewer</w:t>
      </w:r>
      <w:r>
        <w:t>bes sind aber bereits in der Überbrückungshilfe antragsberechti</w:t>
      </w:r>
      <w:r w:rsidR="00DF1862">
        <w:t>gt. In der Härtefallhilfe kann –</w:t>
      </w:r>
      <w:r>
        <w:t xml:space="preserve"> anders al</w:t>
      </w:r>
      <w:r w:rsidR="00DF1862">
        <w:t>s bei der Überbrückungshilfe – ein Unternehmerlohn von 1 </w:t>
      </w:r>
      <w:r>
        <w:t>180 Euro pro Fördermonat beantragt werden, wenn sonst keine Fixkostenpositionen beantragt werden.</w:t>
      </w:r>
    </w:p>
    <w:p w:rsidR="00230E2B" w:rsidRDefault="00230E2B" w:rsidP="00230E2B">
      <w:pPr>
        <w:pStyle w:val="LTAntwortRessortText"/>
      </w:pPr>
      <w:r>
        <w:t xml:space="preserve">Aussagen zu einer Öffnungsstrategie können aktuell nicht getroffen werden, da diese vom Infektionsgeschehen und Beschlüssen der </w:t>
      </w:r>
      <w:r w:rsidR="00DF1862">
        <w:t>Ministerpräsidentenkonferenz ab</w:t>
      </w:r>
      <w:r>
        <w:t>hängt.</w:t>
      </w:r>
    </w:p>
    <w:p w:rsidR="00230E2B" w:rsidRDefault="00230E2B">
      <w:bookmarkStart w:id="90" w:name="Frage_Nr_44_Ende"/>
      <w:bookmarkEnd w:id="9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1"/>
        <w:gridCol w:w="5805"/>
      </w:tblGrid>
      <w:tr w:rsidR="00230E2B" w:rsidTr="007B0B33">
        <w:tc>
          <w:tcPr>
            <w:tcW w:w="2050" w:type="dxa"/>
          </w:tcPr>
          <w:p w:rsidR="00230E2B" w:rsidRDefault="00230E2B" w:rsidP="00230E2B">
            <w:pPr>
              <w:pStyle w:val="LTAnfrageInitiator"/>
            </w:pPr>
            <w:r>
              <w:lastRenderedPageBreak/>
              <w:t>Abgeordneter</w:t>
            </w:r>
            <w:r>
              <w:rPr>
                <w:b/>
              </w:rPr>
              <w:br/>
              <w:t>Gerd</w:t>
            </w:r>
            <w:r>
              <w:rPr>
                <w:b/>
              </w:rPr>
              <w:br/>
              <w:t>Mannes</w:t>
            </w:r>
            <w:r>
              <w:rPr>
                <w:b/>
              </w:rPr>
              <w:br/>
            </w:r>
            <w:r>
              <w:t>(AfD)</w:t>
            </w:r>
            <w:bookmarkStart w:id="91" w:name="Frage_Nr_45"/>
            <w:bookmarkEnd w:id="91"/>
          </w:p>
        </w:tc>
        <w:tc>
          <w:tcPr>
            <w:tcW w:w="7200" w:type="dxa"/>
          </w:tcPr>
          <w:p w:rsidR="00230E2B" w:rsidRDefault="00A903E1" w:rsidP="00230E2B">
            <w:pPr>
              <w:pStyle w:val="LTAnfrageText"/>
            </w:pPr>
            <w:r w:rsidRPr="00A903E1">
              <w:rPr>
                <w:szCs w:val="24"/>
              </w:rPr>
              <w:t>Ich frage die Staatsregierung, seit dem 01.03.2020 bis zum Zeitpunkt der Beantwortung dieser Anfrage zum Plenum, wie viele Unternehmen und Solo-Selbstständige in Bayern mussten (müssen) bereits geleistete Corona-Hilfen (jeglicher Form) zurückzahlen, wie viel Geld musste (muss noch) insgesamt zurückgezahlt werden und was sind nach Ansicht der Staatsregierung die wichtigsten Gründe für die Rückzahlungsforderungen der bereits geleisteten Corona-Hilfen?</w:t>
            </w:r>
          </w:p>
        </w:tc>
      </w:tr>
    </w:tbl>
    <w:p w:rsidR="00230E2B" w:rsidRDefault="00230E2B" w:rsidP="00230E2B">
      <w:pPr>
        <w:pStyle w:val="LTUeberschrAntwortRessort"/>
      </w:pPr>
      <w:r>
        <w:t>Antwort des Staatsministeriums für Wirtschaft, Landesentwicklung und Energie</w:t>
      </w:r>
    </w:p>
    <w:p w:rsidR="00230E2B" w:rsidRDefault="00230E2B" w:rsidP="00230E2B">
      <w:pPr>
        <w:pStyle w:val="LTAntwortRessortText"/>
      </w:pPr>
      <w:r>
        <w:t>In Bayern wurden im Rahmen der Corona-Sofort</w:t>
      </w:r>
      <w:r w:rsidR="00FA2EF7">
        <w:t>hilfen rund 2,2 Mrd. Euro ausbe</w:t>
      </w:r>
      <w:r>
        <w:t xml:space="preserve">zahlt. Die Gesamtsumme der bis dato erfolgten Rückzahlungen </w:t>
      </w:r>
      <w:r w:rsidR="00FA2EF7">
        <w:t>beträgt rund 210 </w:t>
      </w:r>
      <w:r>
        <w:t>Mio. Euro. Die Rückzahlungen erfolg(t)en in der Regel auf fre</w:t>
      </w:r>
      <w:r w:rsidR="00FA2EF7">
        <w:t>iwilliger Basis nach selbsttäti</w:t>
      </w:r>
      <w:r>
        <w:t>ger Überprüfung des tatsächlich entstandenen Liq</w:t>
      </w:r>
      <w:r w:rsidR="00FA2EF7">
        <w:t>uiditätsengpasses durch die Emp</w:t>
      </w:r>
      <w:r>
        <w:t>fänger; d.</w:t>
      </w:r>
      <w:r w:rsidR="00FA2EF7">
        <w:t> </w:t>
      </w:r>
      <w:r>
        <w:t>h. zurückgezahlt wurden die zu viel erhaltenen und somit nicht benötigten Soforthilfe-Beträge.</w:t>
      </w:r>
    </w:p>
    <w:p w:rsidR="00230E2B" w:rsidRDefault="00230E2B" w:rsidP="00230E2B">
      <w:pPr>
        <w:pStyle w:val="LTAntwortRessortText"/>
      </w:pPr>
      <w:r>
        <w:t>Nur ein geringer Anteil (etwa 10 Prozent) beruht auf Rückforderungen, wobei diese häufig auf fehlerhaften Auszahlungen (Doppelzahlungen) beruhen.</w:t>
      </w:r>
    </w:p>
    <w:p w:rsidR="00230E2B" w:rsidRDefault="00230E2B" w:rsidP="00230E2B">
      <w:pPr>
        <w:pStyle w:val="LTAntwortRessortText"/>
      </w:pPr>
      <w:r>
        <w:t>Die genaue Zahl der Rückzahler wurde statistisch nicht erfasst.</w:t>
      </w:r>
    </w:p>
    <w:p w:rsidR="00230E2B" w:rsidRDefault="00230E2B" w:rsidP="00DF1CCD">
      <w:pPr>
        <w:pStyle w:val="LTAntwortRessortText"/>
      </w:pPr>
      <w:r>
        <w:t>Demnächst wird in Bayern die in der zwischen de</w:t>
      </w:r>
      <w:r w:rsidR="00FA2EF7">
        <w:t>m Bund und den Ländern geschlos</w:t>
      </w:r>
      <w:r>
        <w:t>senen Verwaltungsvereinbarung sowie in den Rich</w:t>
      </w:r>
      <w:r w:rsidR="00FA2EF7">
        <w:t>tlinien vorgesehene Stichproben</w:t>
      </w:r>
      <w:r>
        <w:t>prüfung (Umfang: 1 Prozent der bewilligten Soforthilfen) durchgeführt. Ob und ggf. in welcher Höhe im Rahmen der Stichprobenprüfung noch Rückzahlungen erfolgen bzw. Rückforderungen veranlasst sind, kann zum derzeit</w:t>
      </w:r>
      <w:r w:rsidR="00FA2EF7">
        <w:t>igen Zeitpunkt nicht gesagt wer</w:t>
      </w:r>
      <w:r>
        <w:t>den.</w:t>
      </w:r>
    </w:p>
    <w:p w:rsidR="00230E2B" w:rsidRDefault="00230E2B" w:rsidP="00230E2B">
      <w:pPr>
        <w:pStyle w:val="LTAntwortRessortText"/>
      </w:pPr>
      <w:r>
        <w:t>Die bisherigen Rückforderungen in den von der Industrie- und Handelskammer für München und Oberbayern (IHK) für ganz Baye</w:t>
      </w:r>
      <w:r w:rsidR="00FA2EF7">
        <w:t>rn abgewickelten Corona-Überbrü</w:t>
      </w:r>
      <w:r>
        <w:t>ckungshilfen des Bundes (inklusive Neustarthilfen und November-Dezemberhilfe) summieren sich auf 35,2 Millionen Euro. (Stand 23.11</w:t>
      </w:r>
      <w:r w:rsidR="00FA2EF7">
        <w:t>.2021). Bei den bisherigen Rück</w:t>
      </w:r>
      <w:r>
        <w:t>forderungen bzw. Rückzahlungen handelt es sich um A</w:t>
      </w:r>
      <w:r w:rsidR="00FA2EF7">
        <w:t>ntragsablehnungen mit Rück</w:t>
      </w:r>
      <w:r>
        <w:t>for</w:t>
      </w:r>
      <w:r w:rsidR="00FA2EF7">
        <w:t>derung der Abschlagszahlung (i. d. </w:t>
      </w:r>
      <w:r>
        <w:t>R. 50 Prozent der beantragten Fördersumme) bzw. einer gegebenenfalls erfolgten weiteren Auszahlung. Es kommen auch freiwillige Rückzahlungen der Antragsteller vor. Im Verhältnis zur insgesamt in Bayern ausgezahlten Summe der Corona-Überbrückungshilfen entsprach das ca. 0,4 Prozent der Gesamtsumme. Dieses Verhältnis dürfte sich laut A</w:t>
      </w:r>
      <w:r w:rsidR="00FA2EF7">
        <w:t>uskunft der IHK auch zum aktuel</w:t>
      </w:r>
      <w:r>
        <w:t>len Zeitpunkt nur marginal verändert haben.</w:t>
      </w:r>
    </w:p>
    <w:p w:rsidR="00230E2B" w:rsidRDefault="00230E2B" w:rsidP="00230E2B">
      <w:pPr>
        <w:pStyle w:val="LTAntwortRessortText"/>
      </w:pPr>
      <w:r>
        <w:t>Auf die einzelnen Programme verteilen sich die Rückforderungen wie folgt:</w:t>
      </w:r>
    </w:p>
    <w:p w:rsidR="00230E2B" w:rsidRDefault="00230E2B" w:rsidP="0080793E">
      <w:pPr>
        <w:pStyle w:val="LTAntwortRessortText"/>
        <w:numPr>
          <w:ilvl w:val="0"/>
          <w:numId w:val="28"/>
        </w:numPr>
        <w:ind w:left="697" w:hanging="357"/>
      </w:pPr>
      <w:r>
        <w:t>Überbrückungshilfe I: 0,5 Millionen Euro</w:t>
      </w:r>
    </w:p>
    <w:p w:rsidR="00230E2B" w:rsidRDefault="00230E2B" w:rsidP="0080793E">
      <w:pPr>
        <w:pStyle w:val="LTAntwortRessortText"/>
        <w:numPr>
          <w:ilvl w:val="0"/>
          <w:numId w:val="28"/>
        </w:numPr>
        <w:spacing w:before="0"/>
        <w:ind w:left="697" w:hanging="357"/>
      </w:pPr>
      <w:r>
        <w:t>Überbrückungshilfe II: 1,0 Millionen Euro</w:t>
      </w:r>
    </w:p>
    <w:p w:rsidR="00230E2B" w:rsidRDefault="00230E2B" w:rsidP="0080793E">
      <w:pPr>
        <w:pStyle w:val="LTAntwortRessortText"/>
        <w:numPr>
          <w:ilvl w:val="0"/>
          <w:numId w:val="28"/>
        </w:numPr>
        <w:spacing w:before="0"/>
        <w:ind w:left="697" w:hanging="357"/>
      </w:pPr>
      <w:r>
        <w:t>Überbrückungshilfe III: 4,2 Millionen Euro</w:t>
      </w:r>
    </w:p>
    <w:p w:rsidR="00230E2B" w:rsidRDefault="00FA2EF7" w:rsidP="0080793E">
      <w:pPr>
        <w:pStyle w:val="LTAntwortRessortText"/>
        <w:numPr>
          <w:ilvl w:val="0"/>
          <w:numId w:val="28"/>
        </w:numPr>
        <w:spacing w:before="0"/>
        <w:ind w:left="697" w:hanging="357"/>
      </w:pPr>
      <w:r>
        <w:t>Überbrückungshilfe III Plus: 3 </w:t>
      </w:r>
      <w:r w:rsidR="00230E2B">
        <w:t>276 Euro</w:t>
      </w:r>
    </w:p>
    <w:p w:rsidR="00230E2B" w:rsidRDefault="00FA2EF7" w:rsidP="0080793E">
      <w:pPr>
        <w:pStyle w:val="LTAntwortRessortText"/>
        <w:numPr>
          <w:ilvl w:val="0"/>
          <w:numId w:val="28"/>
        </w:numPr>
        <w:spacing w:before="0"/>
        <w:ind w:left="697" w:hanging="357"/>
      </w:pPr>
      <w:r>
        <w:t>Neustarthilfe: 7 </w:t>
      </w:r>
      <w:r w:rsidR="00230E2B">
        <w:t>243 Euro</w:t>
      </w:r>
    </w:p>
    <w:p w:rsidR="00230E2B" w:rsidRDefault="00230E2B" w:rsidP="0080793E">
      <w:pPr>
        <w:pStyle w:val="LTAntwortRessortText"/>
        <w:numPr>
          <w:ilvl w:val="0"/>
          <w:numId w:val="28"/>
        </w:numPr>
        <w:spacing w:before="0"/>
        <w:ind w:left="697" w:hanging="357"/>
      </w:pPr>
      <w:r>
        <w:t>Neustarthilfe Plus: 0 Euro</w:t>
      </w:r>
    </w:p>
    <w:p w:rsidR="00230E2B" w:rsidRDefault="00230E2B" w:rsidP="0080793E">
      <w:pPr>
        <w:pStyle w:val="LTAntwortRessortText"/>
        <w:numPr>
          <w:ilvl w:val="0"/>
          <w:numId w:val="28"/>
        </w:numPr>
        <w:spacing w:before="0"/>
        <w:ind w:left="697" w:hanging="357"/>
      </w:pPr>
      <w:r>
        <w:lastRenderedPageBreak/>
        <w:t>Novemberhilfe: 10,2 Millionen Euro</w:t>
      </w:r>
    </w:p>
    <w:p w:rsidR="00230E2B" w:rsidRDefault="00230E2B" w:rsidP="0080793E">
      <w:pPr>
        <w:pStyle w:val="LTAntwortRessortText"/>
        <w:numPr>
          <w:ilvl w:val="0"/>
          <w:numId w:val="28"/>
        </w:numPr>
        <w:spacing w:before="0"/>
        <w:ind w:left="697" w:hanging="357"/>
      </w:pPr>
      <w:r>
        <w:t>Dezemberhilfe: 19,3 Millionen Euro.</w:t>
      </w:r>
    </w:p>
    <w:p w:rsidR="00230E2B" w:rsidRDefault="00230E2B" w:rsidP="00230E2B">
      <w:pPr>
        <w:pStyle w:val="LTAntwortRessortText"/>
      </w:pPr>
      <w:r>
        <w:t>Eine verhältnismäßig hohe Zahl an Rückforderungen</w:t>
      </w:r>
      <w:r w:rsidR="009B71B7">
        <w:t xml:space="preserve"> von Direktantragstellern (Solo</w:t>
      </w:r>
      <w:r>
        <w:t>selbstständigen) in der November- und Dezemberhilfe war nötig, nachdem es im Rahmen des vom Bund vorgegebenen Antragsmech</w:t>
      </w:r>
      <w:r w:rsidR="009B71B7">
        <w:t>anismus zu einer vorläufigen au</w:t>
      </w:r>
      <w:r>
        <w:t>tomatisierten Bewilligung und Auszahlung von För</w:t>
      </w:r>
      <w:r w:rsidR="009B71B7">
        <w:t>dermitteln gekommen war. Die Be</w:t>
      </w:r>
      <w:r>
        <w:t>willigungsstelle hat im Rahmen der vorgeschriebenen Nachprüfung alle Betroffenen angehört und die Rückforderungsgründe (Fehlen der d</w:t>
      </w:r>
      <w:r w:rsidR="009B71B7">
        <w:t>irekten oder mittelbaren Betrof</w:t>
      </w:r>
      <w:r>
        <w:t xml:space="preserve">fenheit von den für November bzw. Dezember 2020 </w:t>
      </w:r>
      <w:r w:rsidR="009B71B7">
        <w:t>staatlich verordneten Schließun</w:t>
      </w:r>
      <w:r>
        <w:t>gen (Lockdown light)) erläutert.</w:t>
      </w:r>
    </w:p>
    <w:p w:rsidR="00230E2B" w:rsidRDefault="00230E2B" w:rsidP="00230E2B">
      <w:pPr>
        <w:pStyle w:val="LTAntwortRessortText"/>
      </w:pPr>
      <w:r>
        <w:t>Die Frage nach der Höhe der noch zurückzuzahlend</w:t>
      </w:r>
      <w:r w:rsidR="009B71B7">
        <w:t>en Förderungen kann nicht beant</w:t>
      </w:r>
      <w:r>
        <w:t>wortet werden, dies wird sich erst im Rahmen der Schlussabrechnung ergeben. Die Schlussabrechnungen der Corona-Überbrückungshilfen des Bundes beginnen erst ab Februar 2022.</w:t>
      </w:r>
    </w:p>
    <w:p w:rsidR="00230E2B" w:rsidRDefault="00230E2B">
      <w:bookmarkStart w:id="92" w:name="Frage_Nr_45_Ende"/>
      <w:bookmarkEnd w:id="9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8"/>
        <w:gridCol w:w="5738"/>
      </w:tblGrid>
      <w:tr w:rsidR="00230E2B" w:rsidTr="007B0B33">
        <w:tc>
          <w:tcPr>
            <w:tcW w:w="2050" w:type="dxa"/>
          </w:tcPr>
          <w:p w:rsidR="00230E2B" w:rsidRDefault="00230E2B" w:rsidP="00230E2B">
            <w:pPr>
              <w:pStyle w:val="LTAnfrageInitiator"/>
            </w:pPr>
            <w:r>
              <w:lastRenderedPageBreak/>
              <w:t>Abgeordneter</w:t>
            </w:r>
            <w:r>
              <w:rPr>
                <w:b/>
              </w:rPr>
              <w:br/>
              <w:t>Christoph</w:t>
            </w:r>
            <w:r>
              <w:rPr>
                <w:b/>
              </w:rPr>
              <w:br/>
              <w:t>Skutella</w:t>
            </w:r>
            <w:r>
              <w:rPr>
                <w:b/>
              </w:rPr>
              <w:br/>
            </w:r>
            <w:r>
              <w:t>(FDP)</w:t>
            </w:r>
            <w:bookmarkStart w:id="93" w:name="Frage_Nr_46"/>
            <w:bookmarkEnd w:id="93"/>
          </w:p>
        </w:tc>
        <w:tc>
          <w:tcPr>
            <w:tcW w:w="7200" w:type="dxa"/>
          </w:tcPr>
          <w:p w:rsidR="00230E2B" w:rsidRDefault="00F11070" w:rsidP="00230E2B">
            <w:pPr>
              <w:pStyle w:val="LTAnfrageText"/>
            </w:pPr>
            <w:r w:rsidRPr="00F11070">
              <w:rPr>
                <w:szCs w:val="24"/>
              </w:rPr>
              <w:t>Vor dem Hintergrund der Untersuchungen der US-amerikanischen Umweltorganisation Clean Air Task Force (CATF) und der Deutschen Umwelthilfe (DUH) zu Methanlecks in Deutschland und deren Beschwerden und Auskunftsersuchen an die entsprechenden Landesumweltämter frage ich die Staatsregierung, warum bisher noch keinerlei Untersuchungen zu Methanleckagen im bayerischen Erdgasnetz durchgeführt wurden, was gegen die zwei untersuchten Lecks in Rothenstadt und Waidhaus unternommen wurde und was sie angesichts der geplanten Klimaneutralität im Jahr 2040 gegen die Methan-Emissionen durch die ansässige Erdgasinfrastruktur unternimmt?</w:t>
            </w:r>
          </w:p>
        </w:tc>
      </w:tr>
    </w:tbl>
    <w:p w:rsidR="00230E2B" w:rsidRDefault="00230E2B" w:rsidP="00230E2B">
      <w:pPr>
        <w:pStyle w:val="LTUeberschrAntwortRessort"/>
      </w:pPr>
      <w:r>
        <w:t>Antwort des Staatsministeriums für Wirtschaft, Landesentwicklung und Energie</w:t>
      </w:r>
    </w:p>
    <w:p w:rsidR="00230E2B" w:rsidRDefault="00230E2B" w:rsidP="00230E2B">
      <w:pPr>
        <w:pStyle w:val="LTAntwortRessortText"/>
      </w:pPr>
      <w:r>
        <w:t>Erdgas-Verdichterstationen, wie die beiden in der A</w:t>
      </w:r>
      <w:r w:rsidR="00596A82">
        <w:t>nfrage genannten Anlagen in Rot</w:t>
      </w:r>
      <w:r>
        <w:t>henstadt und Waidhaus, bedürfen einer immissionsschutzrechtlichen Genehmigung. In der Genehmigung sind die für die Errichtung und</w:t>
      </w:r>
      <w:r w:rsidR="00596A82">
        <w:t xml:space="preserve"> beim Betrieb einzuhaltenden An</w:t>
      </w:r>
      <w:r>
        <w:t>forderungen festgelegt. Die Anlagen unterliegen der immissionsschutzrechtlichen Überwachung.</w:t>
      </w:r>
    </w:p>
    <w:p w:rsidR="00230E2B" w:rsidRDefault="00230E2B" w:rsidP="00230E2B">
      <w:pPr>
        <w:pStyle w:val="LTAntwortRessortText"/>
      </w:pPr>
      <w:r>
        <w:t xml:space="preserve">In den Mitteilungen der Genehmigungsbehörden an die </w:t>
      </w:r>
      <w:r w:rsidR="00596A82">
        <w:t>Deutsche Umwelthilfe (</w:t>
      </w:r>
      <w:r>
        <w:t>DUH</w:t>
      </w:r>
      <w:r w:rsidR="00596A82">
        <w:t>) zu den Anlagen in Rot</w:t>
      </w:r>
      <w:r>
        <w:t>henstadt und Waidhaus wurde ausgeführt, dass die M</w:t>
      </w:r>
      <w:r w:rsidR="00596A82">
        <w:t>ethanaustritte auf Störungen zu</w:t>
      </w:r>
      <w:r>
        <w:t>rückzuführen waren und abgestellt wurden. Die Überwachungszyklen wurden infolge der Vorfälle verkürzt.</w:t>
      </w:r>
    </w:p>
    <w:p w:rsidR="00230E2B" w:rsidRDefault="00230E2B" w:rsidP="00CD6F57">
      <w:pPr>
        <w:pStyle w:val="LTAntwortRessortText"/>
      </w:pPr>
      <w:r>
        <w:t>Da es sich bei den Methanemissionen um kein spezi</w:t>
      </w:r>
      <w:r w:rsidR="00596A82">
        <w:t>fisch deutsches oder gar bayeri</w:t>
      </w:r>
      <w:r>
        <w:t>sches Problem handelt, begrüßt die St</w:t>
      </w:r>
      <w:r w:rsidR="00596A82">
        <w:t>aatsregierung, dass die Europäi</w:t>
      </w:r>
      <w:r>
        <w:t>sche Kommission sich des Themas annimmt und im Oktober 2020 eine Mitteilung über eine EU-Strategie zur Verringerung der Methanemissionen mit insgesamt 24 Maßnahmen vorgelegt hat.</w:t>
      </w:r>
      <w:r w:rsidR="00596A82">
        <w:rPr>
          <w:rStyle w:val="Funotenzeichen"/>
        </w:rPr>
        <w:footnoteReference w:id="4"/>
      </w:r>
    </w:p>
    <w:p w:rsidR="00230E2B" w:rsidRDefault="00230E2B" w:rsidP="00230E2B">
      <w:pPr>
        <w:pStyle w:val="LTAntwortRessortText"/>
      </w:pPr>
      <w:r>
        <w:t>Die Methanstrategie wurde von der deutschen Erdgaswirtschaft begrüß</w:t>
      </w:r>
      <w:r w:rsidR="00596A82">
        <w:t>t. In der gemeinsamen Stellungnahme vom</w:t>
      </w:r>
      <w:r>
        <w:t xml:space="preserve"> </w:t>
      </w:r>
      <w:r w:rsidR="00596A82">
        <w:t>Bundesverband der Energie- und Wasserwirtschaft (</w:t>
      </w:r>
      <w:r>
        <w:t>BDEW</w:t>
      </w:r>
      <w:r w:rsidR="00596A82">
        <w:t>)</w:t>
      </w:r>
      <w:r>
        <w:t xml:space="preserve"> und </w:t>
      </w:r>
      <w:r w:rsidR="00596A82">
        <w:t>dem Deutschen Verein des Gas- und Wasserfaches (</w:t>
      </w:r>
      <w:r>
        <w:t>DVGW</w:t>
      </w:r>
      <w:r w:rsidR="00596A82">
        <w:t>)</w:t>
      </w:r>
      <w:r>
        <w:t xml:space="preserve"> wurde auch dargestellt, welche Fortschritte in Deutschland bei der Reduzierung der Methanemissionen bereits erzielt wurden.</w:t>
      </w:r>
      <w:r w:rsidR="00596A82">
        <w:rPr>
          <w:rStyle w:val="Funotenzeichen"/>
        </w:rPr>
        <w:footnoteReference w:id="5"/>
      </w:r>
    </w:p>
    <w:p w:rsidR="00230E2B" w:rsidRDefault="00230E2B" w:rsidP="00230E2B">
      <w:pPr>
        <w:pStyle w:val="LTAntwortRessortText"/>
      </w:pPr>
      <w:r>
        <w:t>Am 15.12.2021 hat die Europäische Kommission ei</w:t>
      </w:r>
      <w:r w:rsidR="00596A82">
        <w:t>nen Verordnungsvorschlag zur Re</w:t>
      </w:r>
      <w:r>
        <w:t>duzierung der Methanemissionen im Energiesektor vor</w:t>
      </w:r>
      <w:r w:rsidR="00596A82">
        <w:t>gelegt, der bisher nur in engli</w:t>
      </w:r>
      <w:r>
        <w:t>scher Sprache vorliegt.</w:t>
      </w:r>
      <w:r w:rsidR="00596A82">
        <w:rPr>
          <w:rStyle w:val="Funotenzeichen"/>
        </w:rPr>
        <w:footnoteReference w:id="6"/>
      </w:r>
      <w:r>
        <w:t xml:space="preserve"> Die Verhandlungen in Brüssel bleiben abzuwarten.</w:t>
      </w:r>
    </w:p>
    <w:p w:rsidR="00230E2B" w:rsidRDefault="00230E2B">
      <w:bookmarkStart w:id="94" w:name="Frage_Nr_46_Ende"/>
      <w:bookmarkEnd w:id="94"/>
      <w:r>
        <w:br w:type="page"/>
      </w:r>
    </w:p>
    <w:p w:rsidR="00230E2B" w:rsidRDefault="00230E2B" w:rsidP="00230E2B">
      <w:pPr>
        <w:pStyle w:val="LTUeberschrRessort"/>
      </w:pPr>
      <w:r>
        <w:lastRenderedPageBreak/>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230E2B" w:rsidTr="007B0B33">
        <w:tc>
          <w:tcPr>
            <w:tcW w:w="2050" w:type="dxa"/>
          </w:tcPr>
          <w:p w:rsidR="00230E2B" w:rsidRDefault="00230E2B" w:rsidP="00230E2B">
            <w:pPr>
              <w:pStyle w:val="LTAnfrageInitiator"/>
            </w:pPr>
            <w:r>
              <w:t>Abgeordnete</w:t>
            </w:r>
            <w:r>
              <w:rPr>
                <w:b/>
              </w:rPr>
              <w:br/>
              <w:t>Kerstin</w:t>
            </w:r>
            <w:r>
              <w:rPr>
                <w:b/>
              </w:rPr>
              <w:br/>
              <w:t>Celina</w:t>
            </w:r>
            <w:r>
              <w:rPr>
                <w:b/>
              </w:rPr>
              <w:br/>
            </w:r>
            <w:r>
              <w:t>(BÜNDNIS 90/DIE GRÜNEN)</w:t>
            </w:r>
            <w:bookmarkStart w:id="95" w:name="Frage_Nr_47"/>
            <w:bookmarkEnd w:id="95"/>
          </w:p>
        </w:tc>
        <w:tc>
          <w:tcPr>
            <w:tcW w:w="7200" w:type="dxa"/>
          </w:tcPr>
          <w:p w:rsidR="00230E2B" w:rsidRPr="006231DF" w:rsidRDefault="006231DF" w:rsidP="00230E2B">
            <w:pPr>
              <w:pStyle w:val="LTAnfrageText"/>
            </w:pPr>
            <w:r w:rsidRPr="006231DF">
              <w:rPr>
                <w:szCs w:val="24"/>
              </w:rPr>
              <w:t>Ich frage die Staatsregierung, welche Maßnahmen hat sie bereits ergriffen, um den in der Regierungserklärung von Ministerpräsident Dr. Markus Söder am 21.07.2021 angekündigten „Bayerischen Wassercent“ einzuführen, bezieht sich die Planung der Einführung eines Wassercents auf Trinkwasser und Grundwasser gleichermaßen und wie steht sie zur verpflichtenden Einführung von verplombten Wasseruhren, um gerade in besonders trockenen Gebieten Bayerns sicherzustellen, dass tatsächlich nur die genehmigte Wassermenge entnommen wird, um „fehlerhafte Aufzeichnungen von Wassermengen, (...) Defekte bei Drucksonden oder Mängel bei Datenloggern zur Aufzeichnung der Wasserstände“ zu vermeiden (vgl. Antwort auf Frage 5 der Schriftlichen Anfrage „Grundwasserentnahmen in der Region „Bergtheimer Mulde“, Drs. 18/6526, der Abgeordneten Paul Knoblach, Patrick Friedl und Kerstin Celina)?</w:t>
            </w:r>
          </w:p>
        </w:tc>
      </w:tr>
    </w:tbl>
    <w:p w:rsidR="00230E2B" w:rsidRDefault="00230E2B" w:rsidP="00230E2B">
      <w:pPr>
        <w:pStyle w:val="LTUeberschrAntwortRessort"/>
      </w:pPr>
      <w:r>
        <w:t>Antwort des Staatsministeriums für Umwelt und Verbraucherschutz</w:t>
      </w:r>
    </w:p>
    <w:p w:rsidR="00230E2B" w:rsidRDefault="00230E2B" w:rsidP="00230E2B">
      <w:pPr>
        <w:pStyle w:val="LTAntwortRessortText"/>
      </w:pPr>
      <w:r>
        <w:t xml:space="preserve">Das Fach- und Finanzkonzept des </w:t>
      </w:r>
      <w:r w:rsidR="00442E9B">
        <w:t>Staatsministeriums für Umwelt und Verbraucherschutz (</w:t>
      </w:r>
      <w:r>
        <w:t>StMUV</w:t>
      </w:r>
      <w:r w:rsidR="00442E9B">
        <w:t>)</w:t>
      </w:r>
      <w:r>
        <w:t xml:space="preserve"> zur Einführung eines Wassercents wird derzeit innerhalb der Staatsregierung abgestimmt. Gegenstand ist die Erhebung eines Entgelts für Wasserentnahmetatbestände aus oberflächennahem Grundwasser, Tiefengrundwasser und Oberflächenwasser. Die Entnahme von Wasser zu Zwecken der Trinkwasserversorgung ist hierbei nur ein Entnahmetatbestand neben anderen.</w:t>
      </w:r>
    </w:p>
    <w:p w:rsidR="00230E2B" w:rsidRDefault="00230E2B" w:rsidP="00230E2B">
      <w:pPr>
        <w:pStyle w:val="LTAntwortRessortText"/>
      </w:pPr>
      <w:r>
        <w:t>Die Aufzeichnung der entnommenen Wassermengen und der Betrieb regelkonformer Wassermengenmessgeräte liegen in der Verantwortung der Eigenüberwachung auf Basis der Eigenüberwachungsverordnung bzw. der Wasserrechtsbescheide. Bei stichprobenweisen Kontrollen sind bisher nur einige wenige Beanstandungen bei der Überprüfung von Messeinr</w:t>
      </w:r>
      <w:r w:rsidR="00442E9B">
        <w:t>ichtungen aufgefallen (siehe o. </w:t>
      </w:r>
      <w:r>
        <w:t>g. Antwort auf Frage 5 in Dr</w:t>
      </w:r>
      <w:r w:rsidR="00442E9B">
        <w:t>s.</w:t>
      </w:r>
      <w:r>
        <w:t xml:space="preserve"> 18/6526). Auch bei einer Plombierung, die hohen zusätzlichen Aufwand für die staatliche Gewässeraufsicht oder private Sachverständige bedeuten würde, wären Unregelmäßigkeiten durch Ausbau, Richtungsumbau oder Bypass möglich. Daher wird eine verpflichtende Einführung von verplombten Wasseruhren zur Aufzeichnung der entnommenen Wassermengen nicht als zielführend erachtet.</w:t>
      </w:r>
    </w:p>
    <w:p w:rsidR="00230E2B" w:rsidRDefault="00230E2B">
      <w:bookmarkStart w:id="96" w:name="Frage_Nr_47_Ende"/>
      <w:bookmarkEnd w:id="9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230E2B" w:rsidTr="007B0B33">
        <w:tc>
          <w:tcPr>
            <w:tcW w:w="2050" w:type="dxa"/>
          </w:tcPr>
          <w:p w:rsidR="00230E2B" w:rsidRDefault="00230E2B" w:rsidP="00230E2B">
            <w:pPr>
              <w:pStyle w:val="LTAnfrageInitiator"/>
            </w:pPr>
            <w:r>
              <w:lastRenderedPageBreak/>
              <w:t>Abgeordneter</w:t>
            </w:r>
            <w:r>
              <w:rPr>
                <w:b/>
              </w:rPr>
              <w:br/>
              <w:t>Ludwig</w:t>
            </w:r>
            <w:r>
              <w:rPr>
                <w:b/>
              </w:rPr>
              <w:br/>
              <w:t>Hartmann</w:t>
            </w:r>
            <w:r>
              <w:rPr>
                <w:b/>
              </w:rPr>
              <w:br/>
            </w:r>
            <w:r>
              <w:t>(BÜNDNIS 90/DIE GRÜNEN)</w:t>
            </w:r>
            <w:bookmarkStart w:id="97" w:name="Frage_Nr_48"/>
            <w:bookmarkEnd w:id="97"/>
          </w:p>
        </w:tc>
        <w:tc>
          <w:tcPr>
            <w:tcW w:w="7200" w:type="dxa"/>
          </w:tcPr>
          <w:p w:rsidR="00230E2B" w:rsidRPr="00A615E7" w:rsidRDefault="00A615E7" w:rsidP="00230E2B">
            <w:pPr>
              <w:pStyle w:val="LTAnfrageText"/>
            </w:pPr>
            <w:r w:rsidRPr="00A615E7">
              <w:rPr>
                <w:szCs w:val="24"/>
              </w:rPr>
              <w:t>Ich frage die Staatsregierung, welche konkreten Schlussfolgerungen sie aus dem Passus des Ampel-Koalitionsvertrags auf Bundesebene („Wir stoppen den Einschlag in alten, naturnahen Buchenwäldern in öffentlichem Besitz.“, Seite 39) in Bezug auf die Zukunft des Steigerwalds zieht, welche konkreten Maßnahmen ergriffen werden müssten, sobald dieses Ziel Rechtssicherheit erlangt und welche Möglichkeiten die Staatsregierung angesichts dieses Passus noch sieht, ihre bisherige Position aufrecht zu erhalten?</w:t>
            </w:r>
          </w:p>
        </w:tc>
      </w:tr>
    </w:tbl>
    <w:p w:rsidR="00230E2B" w:rsidRDefault="00230E2B" w:rsidP="006C3758">
      <w:pPr>
        <w:pStyle w:val="LTUeberschrAntwortRessort"/>
      </w:pPr>
      <w:r>
        <w:t>Antwort des Staatsministeriums für Umwelt und Verbraucherschutz</w:t>
      </w:r>
      <w:r w:rsidR="006C3758">
        <w:t xml:space="preserve"> </w:t>
      </w:r>
      <w:r>
        <w:t>in Abstimmung mit dem Staatsministerium für Ernährung, Landwirtschaft und Forsten</w:t>
      </w:r>
    </w:p>
    <w:p w:rsidR="00230E2B" w:rsidRDefault="00230E2B" w:rsidP="00230E2B">
      <w:pPr>
        <w:pStyle w:val="LTAntwortRessortText"/>
      </w:pPr>
      <w:r>
        <w:t>Aus Sicht des Biodiversitätsschutzes sind alte naturnahe Buchenwälder von höchstem Wert. Ihr durchwegs günstiger Erhaltungszustand in den Natura 2</w:t>
      </w:r>
      <w:r w:rsidR="00E60A30">
        <w:t> </w:t>
      </w:r>
      <w:r>
        <w:t>000-Buchenlebensraumtypen Bayerns spiegelt dies wider. Die Bundesregierung hat noch keine Festlegungen getroffen, wie sie ihre Absicht aus dem Koalitionsvertrag umsetzen möchte, insbesondere auf welche Art der Schutz erfolgen soll, welche Kriterien gelten sollen und welche Entschädigungslösungen für betroffene Waldbesitzer ggf. ins Auge gefasst werden. Zu den Auswirkungen dieser Koalitionsaussage auf einzelne Waldgebiete in Bayern können deshalb noch keine Aussagen getroffen werden.</w:t>
      </w:r>
    </w:p>
    <w:p w:rsidR="00230E2B" w:rsidRDefault="00230E2B">
      <w:bookmarkStart w:id="98" w:name="Frage_Nr_48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1"/>
        <w:gridCol w:w="5765"/>
      </w:tblGrid>
      <w:tr w:rsidR="00230E2B" w:rsidTr="007B0B33">
        <w:tc>
          <w:tcPr>
            <w:tcW w:w="2050" w:type="dxa"/>
          </w:tcPr>
          <w:p w:rsidR="00230E2B" w:rsidRDefault="00230E2B" w:rsidP="00230E2B">
            <w:pPr>
              <w:pStyle w:val="LTAnfrageInitiator"/>
            </w:pPr>
            <w:r>
              <w:lastRenderedPageBreak/>
              <w:t>Abgeordneter</w:t>
            </w:r>
            <w:r>
              <w:rPr>
                <w:b/>
              </w:rPr>
              <w:br/>
              <w:t>Paul</w:t>
            </w:r>
            <w:r>
              <w:rPr>
                <w:b/>
              </w:rPr>
              <w:br/>
              <w:t>Knoblach</w:t>
            </w:r>
            <w:r>
              <w:rPr>
                <w:b/>
              </w:rPr>
              <w:br/>
            </w:r>
            <w:r>
              <w:t>(BÜNDNIS 90/DIE GRÜNEN)</w:t>
            </w:r>
            <w:bookmarkStart w:id="99" w:name="Frage_Nr_49"/>
            <w:bookmarkEnd w:id="99"/>
          </w:p>
        </w:tc>
        <w:tc>
          <w:tcPr>
            <w:tcW w:w="7200" w:type="dxa"/>
          </w:tcPr>
          <w:p w:rsidR="00230E2B" w:rsidRDefault="00A615E7" w:rsidP="00230E2B">
            <w:pPr>
              <w:pStyle w:val="LTAnfrageText"/>
            </w:pPr>
            <w:r w:rsidRPr="00A615E7">
              <w:rPr>
                <w:szCs w:val="24"/>
              </w:rPr>
              <w:t>Ich frage die Staatsregierung, wie hoch sind aktuell die Fleischhygienegebühren in Bayern (bitte aufschlüsseln nach erhebendes Veterinäramt, Schlachtzahl, Tierart), wann ist die Umsetzung der Vereinheitlichung der Gebühren in die Praxis gemäß Drs. 18/11800 zu erwarten und wodurch ergeben sich die teils hohen Gebührenunterschiede?</w:t>
            </w:r>
          </w:p>
        </w:tc>
      </w:tr>
    </w:tbl>
    <w:p w:rsidR="00230E2B" w:rsidRDefault="00230E2B" w:rsidP="00230E2B">
      <w:pPr>
        <w:pStyle w:val="LTUeberschrAntwortRessort"/>
      </w:pPr>
      <w:r>
        <w:t>Antwort des Staatsministeriums für Umwelt und Verbraucherschutz</w:t>
      </w:r>
    </w:p>
    <w:p w:rsidR="00230E2B" w:rsidRDefault="00230E2B" w:rsidP="00230E2B">
      <w:pPr>
        <w:pStyle w:val="LTAntwortRessortText"/>
      </w:pPr>
      <w:r>
        <w:t>Europarechtlich besteht die Vorgabe, dass für amtliche Kontrollen in Schlachthöfen Gebühren zu erheben sind (vgl. Art. 79 Ab</w:t>
      </w:r>
      <w:r w:rsidR="0075716F">
        <w:t>s.</w:t>
      </w:r>
      <w:r>
        <w:t xml:space="preserve"> 1 VO (EU) 2017/625). Nach bayerischem Recht (Art. 21b Ab</w:t>
      </w:r>
      <w:r w:rsidR="0075716F">
        <w:t>s.</w:t>
      </w:r>
      <w:r>
        <w:t xml:space="preserve"> 1 </w:t>
      </w:r>
      <w:r w:rsidR="0075716F">
        <w:t xml:space="preserve">des Gesundheitsdienstes und Vebraucherschutzgesetz – </w:t>
      </w:r>
      <w:r>
        <w:t>GDVG) besteht im Bereich der amtlichen Kontrollen von Schlachtbetrieben die Verpflichtung zur Erhebung kostendeckender Gebühren.</w:t>
      </w:r>
    </w:p>
    <w:p w:rsidR="00230E2B" w:rsidRDefault="00230E2B" w:rsidP="00230E2B">
      <w:pPr>
        <w:pStyle w:val="LTAntwortRessortText"/>
      </w:pPr>
      <w:r>
        <w:t>Aktuell werden die Gebühren für Kontrollen am Schlachthof (darunter insbesondere Gebühren für die Schlachttier- und Fleischuntersuchung) deshalb unter Berücksichtigung des tatsächlichen Aufwands für die jeweiligen Kontrollen berechnet und innerhalb eines im bayerischen Kostenverzeichnis vorgegebenen Gebührenrahmens auf Pro-Tier-Gebühren umgerechnet.</w:t>
      </w:r>
    </w:p>
    <w:p w:rsidR="00230E2B" w:rsidRDefault="00230E2B" w:rsidP="00230E2B">
      <w:pPr>
        <w:pStyle w:val="LTAntwortRessortText"/>
      </w:pPr>
      <w:r>
        <w:t>Die von den zuständigen Landkreisen und kreisfreien Städten erhobenen Gebühren werden nicht zentral erfasst. Insbesondere unterscheiden sich die Gebühren nicht nur je nach Landkreis, sondern gemäß oben dargestellter Berechnungsmethode auch von Betrieb zu Betrieb.</w:t>
      </w:r>
    </w:p>
    <w:p w:rsidR="00230E2B" w:rsidRDefault="00230E2B" w:rsidP="00230E2B">
      <w:pPr>
        <w:pStyle w:val="LTAntwortRessortText"/>
      </w:pPr>
      <w:r>
        <w:t>Zur Umsetzung der Landtagsbeschlüsse Dr</w:t>
      </w:r>
      <w:r w:rsidR="00A253DA">
        <w:t>s.</w:t>
      </w:r>
      <w:r>
        <w:t xml:space="preserve"> 18/11799 und Dr</w:t>
      </w:r>
      <w:r w:rsidR="00A253DA">
        <w:t>s.</w:t>
      </w:r>
      <w:r>
        <w:t xml:space="preserve"> 18/11800 hat das </w:t>
      </w:r>
      <w:r w:rsidR="0075716F">
        <w:t>Staatsministerium fü</w:t>
      </w:r>
      <w:r w:rsidR="00361E2E">
        <w:t>r Umwelt und Verbraucherschutz</w:t>
      </w:r>
      <w:r>
        <w:t xml:space="preserve"> ein Konzept zur finanziellen Entlastung kleiner Schlachtbetriebe erarbeitet, welches sich derzeit in Abstimmung innerhalb der Staatsregierung befindet.</w:t>
      </w:r>
    </w:p>
    <w:p w:rsidR="00230E2B" w:rsidRDefault="00230E2B">
      <w:bookmarkStart w:id="100" w:name="Frage_Nr_49_Ende"/>
      <w:bookmarkEnd w:id="10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230E2B" w:rsidTr="007B0B33">
        <w:tc>
          <w:tcPr>
            <w:tcW w:w="2050" w:type="dxa"/>
          </w:tcPr>
          <w:p w:rsidR="00230E2B" w:rsidRDefault="00230E2B" w:rsidP="00230E2B">
            <w:pPr>
              <w:pStyle w:val="LTAnfrageInitiator"/>
            </w:pPr>
            <w:r>
              <w:lastRenderedPageBreak/>
              <w:t>Abgeordnete</w:t>
            </w:r>
            <w:r>
              <w:rPr>
                <w:b/>
              </w:rPr>
              <w:br/>
              <w:t>Rosi</w:t>
            </w:r>
            <w:r>
              <w:rPr>
                <w:b/>
              </w:rPr>
              <w:br/>
              <w:t>Steinberger</w:t>
            </w:r>
            <w:r>
              <w:rPr>
                <w:b/>
              </w:rPr>
              <w:br/>
            </w:r>
            <w:r>
              <w:t>(BÜNDNIS 90/DIE GRÜNEN)</w:t>
            </w:r>
            <w:bookmarkStart w:id="101" w:name="Frage_Nr_50"/>
            <w:bookmarkEnd w:id="101"/>
          </w:p>
        </w:tc>
        <w:tc>
          <w:tcPr>
            <w:tcW w:w="7200" w:type="dxa"/>
          </w:tcPr>
          <w:p w:rsidR="00230E2B" w:rsidRDefault="004B6A13" w:rsidP="00230E2B">
            <w:pPr>
              <w:pStyle w:val="LTAnfrageText"/>
            </w:pPr>
            <w:r w:rsidRPr="004B6A13">
              <w:rPr>
                <w:szCs w:val="24"/>
              </w:rPr>
              <w:t>Ich frage die Staatsregierung, was sie tut, um einen geringeren Verbrauch von Plastik im Freistaat zu erreichen, welche Initiativen zur Plastikreduktion gibt es in der öffentlichen Beschaffung und wie viele Ressourcen wurden bereits in Folge der Ressourceneffizienzstrategie eingespart?</w:t>
            </w:r>
          </w:p>
        </w:tc>
      </w:tr>
    </w:tbl>
    <w:p w:rsidR="00230E2B" w:rsidRDefault="00230E2B" w:rsidP="00230E2B">
      <w:pPr>
        <w:pStyle w:val="LTUeberschrAntwortRessort"/>
      </w:pPr>
      <w:r>
        <w:t>Antwort des Staatsministeriums für Umwelt und Verbraucherschutz</w:t>
      </w:r>
    </w:p>
    <w:p w:rsidR="00230E2B" w:rsidRDefault="00230E2B" w:rsidP="00230E2B">
      <w:pPr>
        <w:pStyle w:val="LTAntwortRessortText"/>
      </w:pPr>
      <w:r>
        <w:t xml:space="preserve">Der Staatsregierung ist speziell die Reduzierung von Kunststoffabfällen ein sehr wichtiges Anliegen. Zur Stärkung von Aktivitäten zur Vermeidung und zur Verwertung (Recycling) von Abfällen aus Kunststoff hat der Ministerrat bereits 2018 und 2019 Maßnahmen zur Reduzierung unnötiger Kunststoffabfälle auf den Weg gebracht. Die Beschlüsse beinhalten </w:t>
      </w:r>
      <w:r w:rsidR="005508E8">
        <w:t>u. a.</w:t>
      </w:r>
      <w:r>
        <w:t xml:space="preserve"> eine gemeinsame Initiative mit der Wirtschaft zur Verringerung von Kunststoffeinträgen in die Umwelt, eine Ausweitung der Forschung zu Mikroplastik z.</w:t>
      </w:r>
      <w:r w:rsidR="004A141C">
        <w:t> </w:t>
      </w:r>
      <w:r>
        <w:t>B. in Gewässerorganismen und zu abbaubaren Biokunststoffen, eine qualitative und quantitative Weiterentwicklung des Recyclings, die Beratung und Unterstützung von Kommunen zur Vermeidung von Kunststoffabfällen sowie eine erfolgreiche Initiative Bayerns im Bundesrat, um bei der Europäischen Union ein Verbot von Mikroplastik in Kosmetika zu erwirken.</w:t>
      </w:r>
    </w:p>
    <w:p w:rsidR="00230E2B" w:rsidRDefault="00230E2B" w:rsidP="00230E2B">
      <w:pPr>
        <w:pStyle w:val="LTAntwortRessortText"/>
      </w:pPr>
      <w:r>
        <w:t xml:space="preserve">Darüber hinaus hat das </w:t>
      </w:r>
      <w:r w:rsidR="004A141C">
        <w:t>Staatsministerium für Umwelt und Verbraucherschutz (</w:t>
      </w:r>
      <w:r>
        <w:t>StMUV</w:t>
      </w:r>
      <w:r w:rsidR="004A141C">
        <w:t>)</w:t>
      </w:r>
      <w:r>
        <w:t xml:space="preserve"> mit dem Ressourceneffizienzzentrum Bayern (REZ) einen zentralen Ansprechpartner für die bayerische Wirtschaft etabliert. Zu den unterstützenden Angeboten des REZ gehört die Bündelung und Bereitstellung von Informationen, wie beispielsweise der gemeinsamen Studie von REZ und </w:t>
      </w:r>
      <w:r w:rsidR="004A141C">
        <w:t>des Bayerischen Industrie- und Handelskammertags (</w:t>
      </w:r>
      <w:r>
        <w:t>BIHK</w:t>
      </w:r>
      <w:r w:rsidR="004A141C">
        <w:t>)</w:t>
      </w:r>
      <w:r>
        <w:t xml:space="preserve"> </w:t>
      </w:r>
      <w:r w:rsidR="00490BF0">
        <w:t>„</w:t>
      </w:r>
      <w:r>
        <w:t>Recyclingfähig</w:t>
      </w:r>
      <w:r w:rsidR="004A141C">
        <w:t>e und nachhaltige Verpackungen –</w:t>
      </w:r>
      <w:r>
        <w:t xml:space="preserve"> ein Leitfaden für Unternehmen</w:t>
      </w:r>
      <w:r w:rsidR="00490BF0">
        <w:t>“</w:t>
      </w:r>
      <w:r>
        <w:t>.</w:t>
      </w:r>
    </w:p>
    <w:p w:rsidR="00230E2B" w:rsidRDefault="00230E2B" w:rsidP="00230E2B">
      <w:pPr>
        <w:pStyle w:val="LTAntwortRessortText"/>
      </w:pPr>
      <w:r>
        <w:t xml:space="preserve">Mit der Projektverbundreihe ForCYCLE finanziert das StMUV die Entwicklung innovativer Technologien und Verfahren für mehr Ressourceneffizienz in der bayerischen Wirtschaft. Zu nennen ist hier beispielsweise das Projekt </w:t>
      </w:r>
      <w:r w:rsidR="00490BF0">
        <w:t>„</w:t>
      </w:r>
      <w:r>
        <w:t>Recycling von Metall-Kunststoffverbunden und Hybridwerkstoffen</w:t>
      </w:r>
      <w:r w:rsidR="00490BF0">
        <w:t>“</w:t>
      </w:r>
      <w:r>
        <w:t xml:space="preserve"> oder </w:t>
      </w:r>
      <w:r w:rsidR="00490BF0">
        <w:t>„</w:t>
      </w:r>
      <w:r>
        <w:t>Digitale multikriterielle Materialauswahl zur optimierten Kreislauffäh</w:t>
      </w:r>
      <w:r w:rsidR="004A141C">
        <w:t>igkeit von Kunststoffprodukten –</w:t>
      </w:r>
      <w:r>
        <w:t xml:space="preserve"> DIMOP</w:t>
      </w:r>
      <w:r w:rsidR="00490BF0">
        <w:t>“</w:t>
      </w:r>
      <w:r>
        <w:t>.</w:t>
      </w:r>
    </w:p>
    <w:p w:rsidR="00230E2B" w:rsidRDefault="00230E2B" w:rsidP="00F56E6B">
      <w:pPr>
        <w:pStyle w:val="LTAntwortRessortText"/>
      </w:pPr>
      <w:r>
        <w:t>Mit dem Bayerischen Ressourceneffizienzpreis werden bayerische Unternehmen gewürdigt, die sich besonders für einen nachhaltigen Umgang mit natürlichen Ressourcen in Bayern einsetzen. Unter den Preisträgern 2021 wurde ein Unternehmen ausgezeichnet, das Kunststoff-Regranulate, die qualitativ auf Augenhöhe mit Neuware sind, produziert.</w:t>
      </w:r>
    </w:p>
    <w:p w:rsidR="00230E2B" w:rsidRDefault="00230E2B" w:rsidP="00230E2B">
      <w:pPr>
        <w:pStyle w:val="LTAntwortRessortText"/>
      </w:pPr>
      <w:r>
        <w:t xml:space="preserve">Das StMUV hat schon 2016 einen Runden Tisch mit Unternehmen, Kommunen und Verbänden ins Leben gerufen, um den Konsummüll in den Städten zu verringern und vor allem Alltagsmüll wie Coffee-to-go-Becher zu reduzieren. In diesem Zusammenhang fördert auch der Runde Tisch </w:t>
      </w:r>
      <w:r w:rsidR="00490BF0">
        <w:t>„</w:t>
      </w:r>
      <w:r w:rsidR="004A141C">
        <w:t>Pack Mer's –</w:t>
      </w:r>
      <w:r>
        <w:t xml:space="preserve"> Sinnvoller und sparsamer Umgang mit Verpackungen</w:t>
      </w:r>
      <w:r w:rsidR="00490BF0">
        <w:t>“</w:t>
      </w:r>
      <w:r>
        <w:t xml:space="preserve"> durch einen Austausch von best-practice-Beispielen aus Handel und Außer-Haus-Gastronomie die Reduzierung von Verpackungsmüll. Aktuell wird ein weiterer Runder Tisch zum Thema </w:t>
      </w:r>
      <w:r w:rsidR="00490BF0">
        <w:t>„</w:t>
      </w:r>
      <w:r>
        <w:t>Mehrweg-Verpackungen</w:t>
      </w:r>
      <w:r w:rsidR="00490BF0">
        <w:t>“</w:t>
      </w:r>
      <w:r>
        <w:t xml:space="preserve"> vorbereitet.</w:t>
      </w:r>
    </w:p>
    <w:p w:rsidR="00230E2B" w:rsidRDefault="00230E2B" w:rsidP="00230E2B">
      <w:pPr>
        <w:pStyle w:val="LTAntwortRessortText"/>
      </w:pPr>
      <w:r>
        <w:lastRenderedPageBreak/>
        <w:t xml:space="preserve">Als wichtiger Baustein zur Reduzierung von Einwegverpackungen wurde vom StMUV das Merkblatt </w:t>
      </w:r>
      <w:r w:rsidR="00490BF0">
        <w:t>„</w:t>
      </w:r>
      <w:r>
        <w:t>Hygienisches Befüllen mitgebrachter kundeneigener Behältnisse</w:t>
      </w:r>
      <w:r w:rsidR="00490BF0">
        <w:t>“</w:t>
      </w:r>
      <w:r>
        <w:t xml:space="preserve"> erstellt, um den Verbraucher und den Handel beim verpackungslosen Einkaufen zu unterstützen. Die interaktiven Karten des Abfallratgebers Bayern geben zudem als Onlineinformationsangebot einen Überblick zu Anbietern in Bayern, welche die Befüllung eigener Becher oder Mehrwegsysteme unterstützen.</w:t>
      </w:r>
    </w:p>
    <w:p w:rsidR="00230E2B" w:rsidRDefault="00230E2B" w:rsidP="00230E2B">
      <w:pPr>
        <w:pStyle w:val="LTAntwortRessortText"/>
      </w:pPr>
      <w:r>
        <w:t>Auch seitens der vom StMUV geförderten bayerischen Verbraucherverbände existieren eine Vielzahl von Aktivitäten und Informationen zum und rund um das Thema Plastiksparen, die vom StMUV aktiv unterstützt werden.</w:t>
      </w:r>
    </w:p>
    <w:p w:rsidR="00230E2B" w:rsidRDefault="00230E2B" w:rsidP="00230E2B">
      <w:pPr>
        <w:pStyle w:val="LTAntwortRessortText"/>
      </w:pPr>
      <w:r>
        <w:t xml:space="preserve">Der Leitfaden </w:t>
      </w:r>
      <w:r w:rsidR="00490BF0">
        <w:t>„</w:t>
      </w:r>
      <w:r>
        <w:t>Umwelt- und Klimaschutz in Behörden</w:t>
      </w:r>
      <w:r w:rsidR="00490BF0">
        <w:t>“</w:t>
      </w:r>
      <w:r>
        <w:t xml:space="preserve"> dient der Erfüllung des Ziels der Bayerischen Staatsregierung, möglichst auf Einwegkunststoffartikel zu verzichten. Den Gemeinden, Städten, Landkreisen und Bezirken sowie den sonstigen juristischen Personen des öffentlichen Rechts in Bayern wird empfohlen, die rechtlich möglichen Einschränkungen für die Ausgabe von Plastiktüten oder anderen Einweg-Plastikartikeln auszuschöpfen und selbst auf deren Einsatz zu verzichten. Für die im Leitfaden ausgewählten Produktgruppen werden konkrete Handlungsempfehlungen bei der Beschaffung und beim Einholen von Dienstleistungen gegeben. Staatliche Vergabestellen in Bayern müssen zudem bereits die Ziele Abfallvermeidung, Schadstoffminimierung und Energieeffizienz bei der öffentlichen Beschaffung berücksichtigen Diese Vorgaben gelten auch für den kommunalen Bereich.</w:t>
      </w:r>
    </w:p>
    <w:p w:rsidR="00230E2B" w:rsidRDefault="00230E2B" w:rsidP="00230E2B">
      <w:pPr>
        <w:pStyle w:val="LTAntwortRessortText"/>
      </w:pPr>
      <w:r>
        <w:t>Konkrete Zahlen zu Ressourceneinsparungen in Folge der Ressourcenstrategie liegen nicht vor</w:t>
      </w:r>
    </w:p>
    <w:p w:rsidR="00230E2B" w:rsidRDefault="00230E2B">
      <w:bookmarkStart w:id="102" w:name="Frage_Nr_50_Ende"/>
      <w:bookmarkEnd w:id="10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230E2B" w:rsidTr="007B0B33">
        <w:tc>
          <w:tcPr>
            <w:tcW w:w="2050" w:type="dxa"/>
          </w:tcPr>
          <w:p w:rsidR="00230E2B" w:rsidRDefault="00230E2B" w:rsidP="00230E2B">
            <w:pPr>
              <w:pStyle w:val="LTAnfrageInitiator"/>
            </w:pPr>
            <w:r>
              <w:lastRenderedPageBreak/>
              <w:t>Abgeordneter</w:t>
            </w:r>
            <w:r>
              <w:rPr>
                <w:b/>
              </w:rPr>
              <w:br/>
              <w:t>Martin</w:t>
            </w:r>
            <w:r>
              <w:rPr>
                <w:b/>
              </w:rPr>
              <w:br/>
              <w:t>Stümpfig</w:t>
            </w:r>
            <w:r>
              <w:rPr>
                <w:b/>
              </w:rPr>
              <w:br/>
            </w:r>
            <w:r>
              <w:t>(BÜNDNIS 90/DIE GRÜNEN)</w:t>
            </w:r>
            <w:bookmarkStart w:id="103" w:name="Frage_Nr_51"/>
            <w:bookmarkEnd w:id="103"/>
          </w:p>
        </w:tc>
        <w:tc>
          <w:tcPr>
            <w:tcW w:w="7200" w:type="dxa"/>
          </w:tcPr>
          <w:p w:rsidR="00230E2B" w:rsidRDefault="004F2451" w:rsidP="00230E2B">
            <w:pPr>
              <w:pStyle w:val="LTAnfrageText"/>
            </w:pPr>
            <w:r w:rsidRPr="004F2451">
              <w:rPr>
                <w:szCs w:val="24"/>
              </w:rPr>
              <w:t xml:space="preserve">Ich frage die Staatsregierung, wie wird sichergestellt, dass dem Grundsatz „des Vorrangs der Vermeidung“ von Treibhausgas- Emissionen insbesondere in der Staatsverwaltung Sorge getragen wird, wie wird das kontrolliert, nachdem im Art. 4 des Entwurfs der Fortschreibung des bayerischen Klimaschutzgesetzes der Ausgleich der Treibhausgasemissionen </w:t>
            </w:r>
            <w:r w:rsidR="00361E2E">
              <w:rPr>
                <w:szCs w:val="24"/>
              </w:rPr>
              <w:t xml:space="preserve">(THG) </w:t>
            </w:r>
            <w:r w:rsidRPr="004F2451">
              <w:rPr>
                <w:szCs w:val="24"/>
              </w:rPr>
              <w:t>beschrieben ist und wann wird der Entwurf des Klimaschutzgesetzes in den Landtag eingebracht?</w:t>
            </w:r>
          </w:p>
        </w:tc>
      </w:tr>
    </w:tbl>
    <w:p w:rsidR="00230E2B" w:rsidRDefault="00230E2B" w:rsidP="00230E2B">
      <w:pPr>
        <w:pStyle w:val="LTUeberschrAntwortRessort"/>
      </w:pPr>
      <w:r>
        <w:t>Antwort des Staatsministeriums für Umwelt und Verbraucherschutz</w:t>
      </w:r>
    </w:p>
    <w:p w:rsidR="00230E2B" w:rsidRDefault="00230E2B" w:rsidP="00230E2B">
      <w:pPr>
        <w:pStyle w:val="LTAntwortRessortText"/>
      </w:pPr>
      <w:r>
        <w:t xml:space="preserve">Bei der KIimaneutralstellung wird dem Prinzip </w:t>
      </w:r>
      <w:r w:rsidR="00490BF0">
        <w:t>„</w:t>
      </w:r>
      <w:r>
        <w:t>Vermeiden vor Verringern vor Ausgleich</w:t>
      </w:r>
      <w:r w:rsidR="00490BF0">
        <w:t>“</w:t>
      </w:r>
      <w:r>
        <w:t xml:space="preserve"> gefolgt. Im Rahmen der Umsetzung einer klimaneutralen Staatsregierung ist es das Ziel, dass die Ressorts einem PDCA-Zyklus folgen. Um e</w:t>
      </w:r>
      <w:r w:rsidR="00080E30">
        <w:t>ine stetige Verbesserung des o. </w:t>
      </w:r>
      <w:r>
        <w:t>g. Prinzips zu garantieren und ungenutzte Potenziale zur THG-Verringerung offenzulegen, werden die jährlichen Berichte durch den Koordinierungsstab eingehend geprüft und bei Bedarf bei den Maßnahmen nachgesteuert.</w:t>
      </w:r>
    </w:p>
    <w:p w:rsidR="00230E2B" w:rsidRDefault="00230E2B" w:rsidP="00230E2B">
      <w:pPr>
        <w:pStyle w:val="LTAntwortRessortText"/>
      </w:pPr>
      <w:r>
        <w:t>Der Entwurf der Novelle des Bayerischen Klimaschutzgesetzes wird nach Auswertung der Verbandsanhörung und Beratung im Ministerrat voraussichtlich im Frühjahr 2022 dem Landtag zur Beschlussfassung übermittelt.</w:t>
      </w:r>
    </w:p>
    <w:p w:rsidR="00230E2B" w:rsidRDefault="00230E2B">
      <w:bookmarkStart w:id="104" w:name="Frage_Nr_51_Ende"/>
      <w:bookmarkEnd w:id="104"/>
      <w:r>
        <w:br w:type="page"/>
      </w:r>
    </w:p>
    <w:p w:rsidR="00230E2B" w:rsidRDefault="00230E2B" w:rsidP="00230E2B">
      <w:pPr>
        <w:pStyle w:val="LTUeberschrRessort"/>
      </w:pPr>
      <w:r>
        <w:lastRenderedPageBreak/>
        <w:t>Geschäftsbereich des Staatsministeriums für Ernährung, Landwirtschaft und Forsten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230E2B" w:rsidTr="007B0B33">
        <w:tc>
          <w:tcPr>
            <w:tcW w:w="2050" w:type="dxa"/>
          </w:tcPr>
          <w:p w:rsidR="00230E2B" w:rsidRDefault="00230E2B" w:rsidP="00230E2B">
            <w:pPr>
              <w:pStyle w:val="LTAnfrageInitiator"/>
            </w:pPr>
            <w:r>
              <w:t>Abgeordnete</w:t>
            </w:r>
            <w:r>
              <w:rPr>
                <w:b/>
              </w:rPr>
              <w:br/>
              <w:t>Martina</w:t>
            </w:r>
            <w:r>
              <w:rPr>
                <w:b/>
              </w:rPr>
              <w:br/>
              <w:t>Fehlner</w:t>
            </w:r>
            <w:r>
              <w:rPr>
                <w:b/>
              </w:rPr>
              <w:br/>
            </w:r>
            <w:r>
              <w:t>(SPD)</w:t>
            </w:r>
            <w:bookmarkStart w:id="105" w:name="Frage_Nr_52"/>
            <w:bookmarkEnd w:id="105"/>
          </w:p>
        </w:tc>
        <w:tc>
          <w:tcPr>
            <w:tcW w:w="7200" w:type="dxa"/>
          </w:tcPr>
          <w:p w:rsidR="00230E2B" w:rsidRDefault="0012007F" w:rsidP="00230E2B">
            <w:pPr>
              <w:pStyle w:val="LTAnfrageText"/>
            </w:pPr>
            <w:r w:rsidRPr="0012007F">
              <w:rPr>
                <w:szCs w:val="24"/>
              </w:rPr>
              <w:t>Da laut Beschluss des EU-Parlaments vom Mai 2017 die Lebensmittelverschwendung bis zum Jahr 2025 um 30 Prozent und bis zum Jahr 2030 um 50 Prozent verringert werden soll, frage ich die Staatsregierung, wie sich die Zahl der entsorgten Lebensmittel in den letzten fünf Jahren in Bayern entwickelt hat (bitte aufgelistet nach Regierungsbezirken, Landkreisen, kreisfreien Städten angeben), wie sich die Menge der entsorgten Lebensmittel prozentual in den letzten fünf Jahren zusammengesetzt hat (bitte aufgelistet nach den häufigsten Warengruppen wie Backwaren, Molkereiprodukte, Obst und Gemüse, Fleisch und Wurst, Süßigkeiten angeben) und wie sich die Mengen der entsorgten Lebensmittel über die Biogasanlagen entwickelt hat (bitte aufgelistet nach Regierungsbezirken, Landkreisen, kreisfreien Städten angeben)?</w:t>
            </w:r>
          </w:p>
        </w:tc>
      </w:tr>
    </w:tbl>
    <w:p w:rsidR="00230E2B" w:rsidRDefault="00230E2B" w:rsidP="00230E2B">
      <w:pPr>
        <w:pStyle w:val="LTUeberschrAntwortRessort"/>
      </w:pPr>
      <w:r>
        <w:t>Antwort des Staatsministeriums für Ernährung, Landwirtschaft und Forsten</w:t>
      </w:r>
    </w:p>
    <w:p w:rsidR="00230E2B" w:rsidRDefault="00230E2B" w:rsidP="00230E2B">
      <w:pPr>
        <w:pStyle w:val="LTAntwortRessortText"/>
      </w:pPr>
      <w:r>
        <w:t>Aufgrund der aufwendigen Auswertung von Statistiken zur Lebensmittelerzeugung,</w:t>
      </w:r>
      <w:r w:rsidR="008C1F1D">
        <w:t xml:space="preserve"> </w:t>
      </w:r>
      <w:r>
        <w:t>-verarbeitung sowie zum Lebensmittelhandel und Lebensmittelkonsum</w:t>
      </w:r>
      <w:r w:rsidR="008C1F1D">
        <w:t xml:space="preserve"> </w:t>
      </w:r>
      <w:r>
        <w:t>und der anzusetzenden Abfallströme reichen die aktuellen Erfassungen</w:t>
      </w:r>
      <w:r w:rsidR="008C1F1D">
        <w:t xml:space="preserve"> </w:t>
      </w:r>
      <w:r>
        <w:t>des Bundes und Bayerns rückwirkend in das Jahr 2015.</w:t>
      </w:r>
    </w:p>
    <w:p w:rsidR="00230E2B" w:rsidRDefault="00230E2B" w:rsidP="00230E2B">
      <w:pPr>
        <w:pStyle w:val="LTAntwortRessortText"/>
      </w:pPr>
      <w:r>
        <w:t>Bayern ist das einzige Bundesland, das parallel zum Bund eine eigene Erfassung</w:t>
      </w:r>
      <w:r w:rsidR="008C1F1D">
        <w:t xml:space="preserve"> </w:t>
      </w:r>
      <w:r>
        <w:t xml:space="preserve">für die Jahre 2012 und 2015 erstellt hat. Die Studie </w:t>
      </w:r>
      <w:r w:rsidR="00490BF0">
        <w:t>„</w:t>
      </w:r>
      <w:r>
        <w:t>Fortlaufende Erfassung</w:t>
      </w:r>
      <w:r w:rsidR="008C1F1D">
        <w:t xml:space="preserve"> </w:t>
      </w:r>
      <w:r>
        <w:t>von Lebensmittelverlusten in Bayern</w:t>
      </w:r>
      <w:r w:rsidR="00490BF0">
        <w:t>“</w:t>
      </w:r>
      <w:r>
        <w:t xml:space="preserve"> vergleicht die Bezugszeiträume</w:t>
      </w:r>
      <w:r w:rsidR="008C1F1D">
        <w:t xml:space="preserve"> </w:t>
      </w:r>
      <w:r>
        <w:t>2012 und 2015. Während diesem Zeitraum is</w:t>
      </w:r>
      <w:r w:rsidR="008C1F1D">
        <w:t>t das Aufkommen von vermeid</w:t>
      </w:r>
      <w:r>
        <w:t>baren Lebensmittelverlusten ins</w:t>
      </w:r>
      <w:r w:rsidR="00C674B5">
        <w:t>gesamt auf einem Niveau von 988 </w:t>
      </w:r>
      <w:r>
        <w:t>000 Tonnen</w:t>
      </w:r>
      <w:r w:rsidR="008C1F1D">
        <w:t xml:space="preserve"> </w:t>
      </w:r>
      <w:r w:rsidR="00C674B5">
        <w:t>2012 und 992 </w:t>
      </w:r>
      <w:r>
        <w:t>000 Tonnen 2015 nahezu unverändert geblieben. Insgesamt</w:t>
      </w:r>
      <w:r w:rsidR="008C1F1D">
        <w:t xml:space="preserve"> </w:t>
      </w:r>
      <w:r>
        <w:t>stellt es sich jedoch so dar, dass Obst und Gemüse (38</w:t>
      </w:r>
      <w:r w:rsidR="00C674B5">
        <w:t xml:space="preserve"> </w:t>
      </w:r>
      <w:r w:rsidR="005508E8">
        <w:t>Prozent</w:t>
      </w:r>
      <w:r>
        <w:t>), Backwaren (15</w:t>
      </w:r>
      <w:r w:rsidR="00C674B5">
        <w:t xml:space="preserve"> </w:t>
      </w:r>
      <w:r w:rsidR="005508E8">
        <w:t>Prozent</w:t>
      </w:r>
      <w:r>
        <w:t>),</w:t>
      </w:r>
      <w:r w:rsidR="008C1F1D">
        <w:t xml:space="preserve"> </w:t>
      </w:r>
      <w:r>
        <w:t>Molkereiprodukte (13</w:t>
      </w:r>
      <w:r w:rsidR="00C674B5">
        <w:t> </w:t>
      </w:r>
      <w:r w:rsidR="005508E8">
        <w:t>Prozent</w:t>
      </w:r>
      <w:r>
        <w:t>) sowie Speisereste (13</w:t>
      </w:r>
      <w:r w:rsidR="00C674B5">
        <w:t xml:space="preserve"> </w:t>
      </w:r>
      <w:r w:rsidR="005508E8">
        <w:t>Prozent</w:t>
      </w:r>
      <w:r>
        <w:t>) im Privathaushalt die größten</w:t>
      </w:r>
      <w:r w:rsidR="008C1F1D">
        <w:t xml:space="preserve"> </w:t>
      </w:r>
      <w:r>
        <w:t>Anteile an den jeweiligen Verlustaufkommen verursachen. Eine Erfassung</w:t>
      </w:r>
      <w:r w:rsidR="008C1F1D">
        <w:t xml:space="preserve"> </w:t>
      </w:r>
      <w:r>
        <w:t>auf Ebene von kreisfreien Städten, Landkreisen oder Regierungsbezirken</w:t>
      </w:r>
      <w:r w:rsidR="008C1F1D">
        <w:t xml:space="preserve"> </w:t>
      </w:r>
      <w:r>
        <w:t>ist aufgrund der nicht vorhandenen Datenlage auf diesen Ebenen nicht</w:t>
      </w:r>
      <w:r w:rsidR="008C1F1D">
        <w:t xml:space="preserve"> </w:t>
      </w:r>
      <w:r>
        <w:t>möglich.</w:t>
      </w:r>
    </w:p>
    <w:p w:rsidR="00230E2B" w:rsidRDefault="00230E2B" w:rsidP="00230E2B">
      <w:pPr>
        <w:pStyle w:val="LTAntwortRessortText"/>
      </w:pPr>
      <w:r>
        <w:t>Im Rahmen des Beschlusses des EU-Parlaments wird das Jahr 2015 als Basisjahr</w:t>
      </w:r>
      <w:r w:rsidR="008C1F1D">
        <w:t xml:space="preserve"> </w:t>
      </w:r>
      <w:r>
        <w:t>für die angestrebten Reduktionsziele definiert. Die Bundesregierung</w:t>
      </w:r>
      <w:r w:rsidR="008C1F1D">
        <w:t xml:space="preserve"> </w:t>
      </w:r>
      <w:r>
        <w:t>wird 2022 erstmals einheitlich für Deutschland berichten.</w:t>
      </w:r>
    </w:p>
    <w:p w:rsidR="00230E2B" w:rsidRDefault="00230E2B" w:rsidP="00230E2B">
      <w:pPr>
        <w:pStyle w:val="LTAntwortRessortText"/>
      </w:pPr>
      <w:r>
        <w:t>Eine Angabe, in welchem Umfang Lebensmittelabfälle der Biogas-Erzeugung</w:t>
      </w:r>
      <w:r w:rsidR="008C1F1D">
        <w:t xml:space="preserve"> </w:t>
      </w:r>
      <w:r>
        <w:t>zugeführt werden, liegt nicht vor.</w:t>
      </w:r>
    </w:p>
    <w:p w:rsidR="00230E2B" w:rsidRDefault="00230E2B">
      <w:bookmarkStart w:id="106" w:name="Frage_Nr_52_Ende"/>
      <w:bookmarkEnd w:id="10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230E2B" w:rsidTr="007B0B33">
        <w:tc>
          <w:tcPr>
            <w:tcW w:w="2050" w:type="dxa"/>
          </w:tcPr>
          <w:p w:rsidR="00230E2B" w:rsidRDefault="00230E2B" w:rsidP="00230E2B">
            <w:pPr>
              <w:pStyle w:val="LTAnfrageInitiator"/>
            </w:pPr>
            <w:r>
              <w:lastRenderedPageBreak/>
              <w:t>Abgeordnete</w:t>
            </w:r>
            <w:r>
              <w:rPr>
                <w:b/>
              </w:rPr>
              <w:br/>
              <w:t>Gisela</w:t>
            </w:r>
            <w:r>
              <w:rPr>
                <w:b/>
              </w:rPr>
              <w:br/>
              <w:t>Sengl</w:t>
            </w:r>
            <w:r>
              <w:rPr>
                <w:b/>
              </w:rPr>
              <w:br/>
            </w:r>
            <w:r>
              <w:t>(BÜNDNIS 90/DIE GRÜNEN)</w:t>
            </w:r>
            <w:bookmarkStart w:id="107" w:name="Frage_Nr_53"/>
            <w:bookmarkEnd w:id="107"/>
          </w:p>
        </w:tc>
        <w:tc>
          <w:tcPr>
            <w:tcW w:w="7200" w:type="dxa"/>
          </w:tcPr>
          <w:p w:rsidR="00230E2B" w:rsidRPr="00255766" w:rsidRDefault="00255766" w:rsidP="00230E2B">
            <w:pPr>
              <w:pStyle w:val="LTAnfrageText"/>
            </w:pPr>
            <w:r w:rsidRPr="00255766">
              <w:rPr>
                <w:szCs w:val="24"/>
              </w:rPr>
              <w:t>Ich frage die Staatsregierung, auf wie viel Prozent der bayerischen Photovoltaik-Freiflächenanlagen ist eine Doppelnutzung aus Sonnenenergie und landwirtschaftlicher Nutzung möglich, welche Forschungsprojekte werden im Bereich der Agri-Photovoltaik (PV)-Anlagen im Freistaat Bayern betrieben, und können für landwirtschaftliche Flächen, auf denen Agri-PV-Anlagen errichtet sind, Direktzahlungen von der EU erhalten werden, wenn weiterhin eine landwirtschaftliche Nutzung, beispielsweise als Weide, vorhanden ist?</w:t>
            </w:r>
          </w:p>
        </w:tc>
      </w:tr>
    </w:tbl>
    <w:p w:rsidR="00230E2B" w:rsidRDefault="00230E2B" w:rsidP="00230E2B">
      <w:pPr>
        <w:pStyle w:val="LTUeberschrAntwortRessort"/>
      </w:pPr>
      <w:r>
        <w:t>Antwort des Staatsministeriums für Ernährung, Landwirtschaft und Forsten</w:t>
      </w:r>
    </w:p>
    <w:p w:rsidR="00230E2B" w:rsidRDefault="00230E2B" w:rsidP="00230E2B">
      <w:pPr>
        <w:pStyle w:val="LTAntwortRessortText"/>
      </w:pPr>
      <w:r>
        <w:t>Es liegen keine Erkenntnisse dazu vor, auf wie viel Prozent der bayerischen</w:t>
      </w:r>
      <w:r w:rsidR="008961F4">
        <w:t xml:space="preserve"> </w:t>
      </w:r>
      <w:r>
        <w:t>Photovoltaik-Freiflächenanlagen eine Doppelnutzung aus Sonnenenergie und</w:t>
      </w:r>
      <w:r w:rsidR="008961F4">
        <w:t xml:space="preserve"> </w:t>
      </w:r>
      <w:r>
        <w:t>landwirtschaftlicher Nutzung möglich ist.</w:t>
      </w:r>
    </w:p>
    <w:p w:rsidR="00230E2B" w:rsidRDefault="00230E2B" w:rsidP="00230E2B">
      <w:pPr>
        <w:pStyle w:val="LTAntwortRessortText"/>
      </w:pPr>
      <w:r>
        <w:t>Hinsichtlich der Forschungsprojekte im Bereich der Agri-</w:t>
      </w:r>
      <w:r w:rsidR="0023457B">
        <w:t>Photovoltaik (</w:t>
      </w:r>
      <w:r>
        <w:t>PV</w:t>
      </w:r>
      <w:r w:rsidR="0023457B">
        <w:t>)</w:t>
      </w:r>
      <w:r>
        <w:t>-Anlagen im</w:t>
      </w:r>
      <w:r w:rsidR="008961F4">
        <w:t xml:space="preserve"> </w:t>
      </w:r>
      <w:r>
        <w:t>Freistaat Bayern sind nach Kenntnisstand der Staatsregierung</w:t>
      </w:r>
      <w:r w:rsidR="008961F4">
        <w:t xml:space="preserve"> </w:t>
      </w:r>
      <w:r>
        <w:t>derzeit drei sehr kleine Versuchsanlagen in Betrieb, davon wird eine wissenschaftlich</w:t>
      </w:r>
      <w:r w:rsidR="008961F4">
        <w:t xml:space="preserve"> </w:t>
      </w:r>
      <w:r>
        <w:t>begleitet. Bei einer weiteren kommerziellen Anlage stehen die Module</w:t>
      </w:r>
      <w:r w:rsidR="008961F4">
        <w:t xml:space="preserve"> </w:t>
      </w:r>
      <w:r>
        <w:t>so weit auseinander, dass zwischen den Modulreihen Landwirtschaft betrieben</w:t>
      </w:r>
      <w:r w:rsidR="008961F4">
        <w:t xml:space="preserve"> </w:t>
      </w:r>
      <w:r>
        <w:t>werden kann. Da es den Begriff der Agri-PV beim Bau dieser Anlage</w:t>
      </w:r>
      <w:r w:rsidR="008961F4">
        <w:t xml:space="preserve"> </w:t>
      </w:r>
      <w:r>
        <w:t>noch nicht gab, zählt diese Anlage als Freiflächen-PV-Anlage.</w:t>
      </w:r>
    </w:p>
    <w:p w:rsidR="00230E2B" w:rsidRDefault="00230E2B" w:rsidP="00230E2B">
      <w:pPr>
        <w:pStyle w:val="LTAntwortRessortText"/>
      </w:pPr>
      <w:r>
        <w:t>Nach der aktuell geltenden nationalen Regelung sind sämtliche Flächen auf</w:t>
      </w:r>
      <w:r w:rsidR="008961F4">
        <w:t xml:space="preserve"> </w:t>
      </w:r>
      <w:r>
        <w:t xml:space="preserve">denen sich </w:t>
      </w:r>
      <w:r w:rsidR="00490BF0">
        <w:t>„</w:t>
      </w:r>
      <w:r>
        <w:t>Anlagen zur Nutzung von solarer Strahlungsenergie</w:t>
      </w:r>
      <w:r w:rsidR="00490BF0">
        <w:t>“</w:t>
      </w:r>
      <w:r>
        <w:t xml:space="preserve"> befinden,</w:t>
      </w:r>
      <w:r w:rsidR="008961F4">
        <w:t xml:space="preserve"> </w:t>
      </w:r>
      <w:r>
        <w:t>von der Gewährung der Direktzahlung ausgenommen (vgl. § 12 Ab</w:t>
      </w:r>
      <w:r w:rsidR="0023457B">
        <w:t>s.</w:t>
      </w:r>
      <w:r>
        <w:t xml:space="preserve"> 3 Nr. 6</w:t>
      </w:r>
      <w:r w:rsidR="008961F4">
        <w:t xml:space="preserve"> </w:t>
      </w:r>
      <w:r>
        <w:t>Direktzahlungen-Durchführungsverordnung). Zwischen einer klassischen</w:t>
      </w:r>
      <w:r w:rsidR="008961F4">
        <w:t xml:space="preserve"> </w:t>
      </w:r>
      <w:r>
        <w:t>PV-Freiflächenanlage und einer sog. Agri-PV-Anlage wird dabei aktuell</w:t>
      </w:r>
      <w:r w:rsidR="008961F4">
        <w:t xml:space="preserve"> </w:t>
      </w:r>
      <w:r>
        <w:t>nicht unterschieden.</w:t>
      </w:r>
    </w:p>
    <w:p w:rsidR="00230E2B" w:rsidRDefault="00230E2B" w:rsidP="00230E2B">
      <w:pPr>
        <w:pStyle w:val="LTAntwortRessortText"/>
      </w:pPr>
      <w:r>
        <w:t>Die Frage einer möglichen Doppelnutzung bei einer Agri-PV-Anlage wird in</w:t>
      </w:r>
      <w:r w:rsidR="008961F4">
        <w:t xml:space="preserve"> </w:t>
      </w:r>
      <w:r>
        <w:t xml:space="preserve">der kommenden Förderperiode in der </w:t>
      </w:r>
      <w:r w:rsidR="0023457B">
        <w:t>GAP-Direktzahlungen-Verordnung –</w:t>
      </w:r>
      <w:r w:rsidR="008961F4">
        <w:t xml:space="preserve"> </w:t>
      </w:r>
      <w:r>
        <w:t>GAPDZV) geregelt. Die GAPDZV vom 24.01.2022 wurde gestern im Bundesgesetzblatt</w:t>
      </w:r>
      <w:r w:rsidR="008961F4">
        <w:t xml:space="preserve"> </w:t>
      </w:r>
      <w:r>
        <w:t xml:space="preserve">veröffentlicht (BGBl. I </w:t>
      </w:r>
      <w:r w:rsidR="0023457B">
        <w:t>Seite</w:t>
      </w:r>
      <w:r>
        <w:t xml:space="preserve"> 139), tritt aber erst in Kraft, wenn</w:t>
      </w:r>
      <w:r w:rsidR="008961F4">
        <w:t xml:space="preserve"> </w:t>
      </w:r>
      <w:r>
        <w:t>die Europäische Kommission den Durchführungsbeschluss mit der Genehmigung</w:t>
      </w:r>
      <w:r w:rsidR="008961F4">
        <w:t xml:space="preserve"> </w:t>
      </w:r>
      <w:r>
        <w:t>des durch den Europäischen Garantiefonds für die Landwirtschaft und</w:t>
      </w:r>
      <w:r w:rsidR="008961F4">
        <w:t xml:space="preserve"> </w:t>
      </w:r>
      <w:r>
        <w:t>den Europäischen Landwirtschaftsfonds für die Entwicklung des ländlichen</w:t>
      </w:r>
      <w:r w:rsidR="008961F4">
        <w:t xml:space="preserve"> </w:t>
      </w:r>
      <w:r>
        <w:t>Raums zu finanzierenden Strategieplans für Deutschland gefasst hat.</w:t>
      </w:r>
    </w:p>
    <w:p w:rsidR="00230E2B" w:rsidRDefault="00230E2B" w:rsidP="00230E2B">
      <w:pPr>
        <w:pStyle w:val="LTAntwortRessortText"/>
      </w:pPr>
      <w:r>
        <w:t>Nach § 12 Ab</w:t>
      </w:r>
      <w:r w:rsidR="008961F4">
        <w:t>s.</w:t>
      </w:r>
      <w:r>
        <w:t xml:space="preserve"> 4 Nr. 6 </w:t>
      </w:r>
      <w:r w:rsidR="00897480">
        <w:t>Direktzahlen-Verordnung (</w:t>
      </w:r>
      <w:r>
        <w:t>GAPDZV</w:t>
      </w:r>
      <w:r w:rsidR="00897480">
        <w:t>)</w:t>
      </w:r>
      <w:r>
        <w:t xml:space="preserve"> sind Flächen mit sog. Agri-PV-Anlagen</w:t>
      </w:r>
      <w:r w:rsidR="008961F4">
        <w:t xml:space="preserve"> </w:t>
      </w:r>
      <w:r>
        <w:t>nicht mehr per se von Gewährung der Direktzahlungen ausgeschlossen. Als</w:t>
      </w:r>
      <w:r w:rsidR="008961F4">
        <w:t xml:space="preserve"> </w:t>
      </w:r>
      <w:r>
        <w:t>Agri-PV-Anlage zählt dabei eine auf einer landwirtschaftlichen Fläche errichtete</w:t>
      </w:r>
      <w:r w:rsidR="008961F4">
        <w:t xml:space="preserve"> </w:t>
      </w:r>
      <w:r>
        <w:t>Anlage zur Nutzung von solarer Strahlungsenergie, die</w:t>
      </w:r>
    </w:p>
    <w:p w:rsidR="00230E2B" w:rsidRDefault="00230E2B" w:rsidP="00361E2E">
      <w:pPr>
        <w:pStyle w:val="LTAntwortRessortText"/>
        <w:numPr>
          <w:ilvl w:val="0"/>
          <w:numId w:val="29"/>
        </w:numPr>
        <w:ind w:left="697" w:hanging="357"/>
      </w:pPr>
      <w:r>
        <w:t>eine Bearbeitung der Fläche unter Einsatz üblicher landwirtschaftlicher</w:t>
      </w:r>
      <w:r w:rsidR="008961F4">
        <w:t xml:space="preserve"> </w:t>
      </w:r>
      <w:r>
        <w:t>Methoden, Maschinen und Geräte nicht ausschließt und</w:t>
      </w:r>
    </w:p>
    <w:p w:rsidR="00230E2B" w:rsidRDefault="00230E2B" w:rsidP="00361E2E">
      <w:pPr>
        <w:pStyle w:val="LTAntwortRessortText"/>
        <w:numPr>
          <w:ilvl w:val="0"/>
          <w:numId w:val="29"/>
        </w:numPr>
        <w:ind w:left="697" w:hanging="357"/>
      </w:pPr>
      <w:r>
        <w:t>die landwirtschaftlich nutzbare Fläche unter Zugrundelegung der DIN</w:t>
      </w:r>
      <w:r w:rsidR="008961F4">
        <w:t xml:space="preserve"> </w:t>
      </w:r>
      <w:r>
        <w:t>SPEC 91434:2021-05 um höchstens 15 Prozent verringert.</w:t>
      </w:r>
    </w:p>
    <w:p w:rsidR="00230E2B" w:rsidRDefault="00230E2B" w:rsidP="00230E2B">
      <w:pPr>
        <w:pStyle w:val="LTAntwortRessortText"/>
      </w:pPr>
      <w:r>
        <w:lastRenderedPageBreak/>
        <w:t>Bei Vorliegen der übrigen Fördervoraussetzungen können zukünftig auch Direktzahlungen</w:t>
      </w:r>
      <w:r w:rsidR="008961F4">
        <w:t xml:space="preserve"> </w:t>
      </w:r>
      <w:r>
        <w:t>für Flächen mit Agri-Photovoltaik-Anlagen gewährt werden,</w:t>
      </w:r>
      <w:r w:rsidR="008961F4">
        <w:t xml:space="preserve"> </w:t>
      </w:r>
      <w:r>
        <w:t xml:space="preserve">allerdings sind dabei maximal 85 </w:t>
      </w:r>
      <w:r w:rsidR="005508E8">
        <w:t>Prozent</w:t>
      </w:r>
      <w:r>
        <w:t xml:space="preserve"> der Agri-PV-Fläche förderfähig.</w:t>
      </w:r>
    </w:p>
    <w:p w:rsidR="00230E2B" w:rsidRDefault="00230E2B">
      <w:bookmarkStart w:id="108" w:name="Frage_Nr_53_Ende"/>
      <w:bookmarkEnd w:id="10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230E2B" w:rsidTr="007B0B33">
        <w:tc>
          <w:tcPr>
            <w:tcW w:w="2050" w:type="dxa"/>
          </w:tcPr>
          <w:p w:rsidR="00230E2B" w:rsidRDefault="00230E2B" w:rsidP="00230E2B">
            <w:pPr>
              <w:pStyle w:val="LTAnfrageInitiator"/>
            </w:pPr>
            <w:r>
              <w:lastRenderedPageBreak/>
              <w:t>Abgeordneter</w:t>
            </w:r>
            <w:r>
              <w:rPr>
                <w:b/>
              </w:rPr>
              <w:br/>
              <w:t>Hans</w:t>
            </w:r>
            <w:r>
              <w:rPr>
                <w:b/>
              </w:rPr>
              <w:br/>
              <w:t>Urban</w:t>
            </w:r>
            <w:r>
              <w:rPr>
                <w:b/>
              </w:rPr>
              <w:br/>
            </w:r>
            <w:r>
              <w:t>(BÜNDNIS 90/DIE GRÜNEN)</w:t>
            </w:r>
            <w:bookmarkStart w:id="109" w:name="Frage_Nr_54"/>
            <w:bookmarkEnd w:id="109"/>
          </w:p>
        </w:tc>
        <w:tc>
          <w:tcPr>
            <w:tcW w:w="7200" w:type="dxa"/>
          </w:tcPr>
          <w:p w:rsidR="00230E2B" w:rsidRDefault="004F2451" w:rsidP="00230E2B">
            <w:pPr>
              <w:pStyle w:val="LTAnfrageText"/>
            </w:pPr>
            <w:r w:rsidRPr="004F2451">
              <w:rPr>
                <w:szCs w:val="24"/>
              </w:rPr>
              <w:t>Ich frage die Staatsregierung, wie viele Sachbearbeiterinnen bzw. Sachbearbeiter für Qualitätssicherung und phytosanitäre Kontrollen sind 2022 an den Ämtern für Ernährung, Landwirtschaft und Forsten mit befristeten Arbeitsverträgen beschäftigt, wie hoch sind die geplanten Personalausgaben hierfür für 2022 (Grundlage Entwurf Haushalt 2022, bitte Kapitel und Titel mitangeben) und ist mittelfristig eine Umwandlung in unbefristete Arbeitnehmer- oder Beamtenstellen geplant?</w:t>
            </w:r>
          </w:p>
        </w:tc>
      </w:tr>
    </w:tbl>
    <w:p w:rsidR="00230E2B" w:rsidRDefault="00230E2B" w:rsidP="00230E2B">
      <w:pPr>
        <w:pStyle w:val="LTUeberschrAntwortRessort"/>
      </w:pPr>
      <w:r>
        <w:t>Antwort des Staatsministeriums für Ernährung, Landwirtschaft und Forsten</w:t>
      </w:r>
    </w:p>
    <w:p w:rsidR="00230E2B" w:rsidRDefault="00230E2B" w:rsidP="00230E2B">
      <w:pPr>
        <w:pStyle w:val="LTAntwortRessortText"/>
      </w:pPr>
      <w:r>
        <w:t>Mit der Neuausrichtung der Landwirtschaftsverwaltung zum 01.07.2022</w:t>
      </w:r>
      <w:r w:rsidR="00D849CD">
        <w:t xml:space="preserve"> </w:t>
      </w:r>
      <w:r w:rsidR="00DC5A7F">
        <w:t>wurde an acht</w:t>
      </w:r>
      <w:r>
        <w:t xml:space="preserve"> Ämtern für Ernährung, Landwirtschaft und Forsten (ÄELF) in</w:t>
      </w:r>
      <w:r w:rsidR="00D849CD">
        <w:t xml:space="preserve"> </w:t>
      </w:r>
      <w:r>
        <w:t>Bayern eine Abteilung L3 Prüfungen und Kontrollen mit je einem Sachgebiet</w:t>
      </w:r>
      <w:r w:rsidR="00D849CD">
        <w:t xml:space="preserve"> </w:t>
      </w:r>
      <w:r>
        <w:t>L3.3 FRK (Fachrechtskontrollen) eingerichtet. Von diesen Sachgebieten werden</w:t>
      </w:r>
      <w:r w:rsidR="00D849CD">
        <w:t xml:space="preserve"> </w:t>
      </w:r>
      <w:r>
        <w:t>neben Düngerechts-, Betriebs- und Verkehrs- sowie Anwendungskontrollen</w:t>
      </w:r>
      <w:r w:rsidR="00D849CD">
        <w:t xml:space="preserve"> </w:t>
      </w:r>
      <w:r>
        <w:t>auch phytosanitären Kontrollen (Gesundheitskontrollen) durchgeführt,</w:t>
      </w:r>
      <w:r w:rsidR="00D849CD">
        <w:t xml:space="preserve"> </w:t>
      </w:r>
      <w:r>
        <w:t>wobei regionale Schwerpunkt</w:t>
      </w:r>
      <w:r w:rsidR="00C10EBA">
        <w:t>e in den drei ÄELF in Ober-</w:t>
      </w:r>
      <w:r>
        <w:t>Mittel</w:t>
      </w:r>
      <w:r w:rsidR="00C10EBA">
        <w:t xml:space="preserve"> </w:t>
      </w:r>
      <w:r>
        <w:t>und</w:t>
      </w:r>
      <w:r w:rsidR="00D849CD">
        <w:t xml:space="preserve"> </w:t>
      </w:r>
      <w:r>
        <w:t>Unterfranken li</w:t>
      </w:r>
      <w:r w:rsidR="00DC5A7F">
        <w:t>egen. In der Summe sind in den acht</w:t>
      </w:r>
      <w:r>
        <w:t xml:space="preserve"> Sachgebieten L3.3 FRK</w:t>
      </w:r>
      <w:r w:rsidR="00D849CD">
        <w:t xml:space="preserve"> </w:t>
      </w:r>
      <w:r>
        <w:t>39 AK festes Personal und 22 Saison-AK Unterstützung vorgesehen. Diese</w:t>
      </w:r>
      <w:r w:rsidR="00D849CD">
        <w:t xml:space="preserve"> </w:t>
      </w:r>
      <w:r>
        <w:t>phytosanitären Kontrollen werden ab dem 01.07.2021 nur noch mit festem</w:t>
      </w:r>
      <w:r w:rsidR="00D849CD">
        <w:t xml:space="preserve"> </w:t>
      </w:r>
      <w:r>
        <w:t>Personal durchgeführt.</w:t>
      </w:r>
    </w:p>
    <w:p w:rsidR="00230E2B" w:rsidRPr="00D849CD" w:rsidRDefault="00230E2B" w:rsidP="00D849CD">
      <w:pPr>
        <w:pStyle w:val="LTAntwortRessortText"/>
        <w:rPr>
          <w:u w:val="single"/>
        </w:rPr>
      </w:pPr>
      <w:r w:rsidRPr="00D849CD">
        <w:rPr>
          <w:u w:val="single"/>
        </w:rPr>
        <w:t>Phytosanitäre Kontrollen Landwirtschaft</w:t>
      </w:r>
    </w:p>
    <w:p w:rsidR="00230E2B" w:rsidRDefault="00230E2B" w:rsidP="00DC5A7F">
      <w:pPr>
        <w:pStyle w:val="LTAntwortRessortText"/>
        <w:numPr>
          <w:ilvl w:val="0"/>
          <w:numId w:val="30"/>
        </w:numPr>
        <w:ind w:left="697" w:hanging="357"/>
      </w:pPr>
      <w:r>
        <w:t>Insgesamt sind 2,24 AK als feste Arbeitskräfte (Laufbahnbeamte, Angestellte)</w:t>
      </w:r>
      <w:r w:rsidR="00D849CD">
        <w:t xml:space="preserve"> </w:t>
      </w:r>
      <w:r>
        <w:t>tätig. Diese teilen sich auf insgesamt 23 Mitarbeiter auf, davon</w:t>
      </w:r>
      <w:r w:rsidR="00D849CD">
        <w:t xml:space="preserve"> </w:t>
      </w:r>
      <w:r>
        <w:t>sind 21 Beamte und 2 unbefristete Mitarbeiter. Die betreffenden</w:t>
      </w:r>
      <w:r w:rsidR="00D849CD">
        <w:t xml:space="preserve"> </w:t>
      </w:r>
      <w:r>
        <w:t>Mitarbeiter sind im Rahmen der ihnen übertragenen Aufgaben als amtliche</w:t>
      </w:r>
      <w:r w:rsidR="00D849CD">
        <w:t xml:space="preserve"> </w:t>
      </w:r>
      <w:r>
        <w:t>Gesundheits-Inspektoren ernannt.</w:t>
      </w:r>
    </w:p>
    <w:p w:rsidR="00D849CD" w:rsidRDefault="00230E2B" w:rsidP="00DC5A7F">
      <w:pPr>
        <w:pStyle w:val="LTAntwortRessortText"/>
        <w:numPr>
          <w:ilvl w:val="0"/>
          <w:numId w:val="30"/>
        </w:numPr>
        <w:ind w:left="697" w:hanging="357"/>
      </w:pPr>
      <w:r>
        <w:t>Darüber hinaus sind in der Kontrolle der Quarantäne-Schadorganismen</w:t>
      </w:r>
      <w:r w:rsidR="00D849CD">
        <w:t xml:space="preserve"> </w:t>
      </w:r>
      <w:r>
        <w:t>an Kartoffeln insgesam</w:t>
      </w:r>
      <w:r w:rsidR="00DC5A7F">
        <w:t>t 1,15 AK (unbefristet) in den sieben</w:t>
      </w:r>
      <w:r>
        <w:t xml:space="preserve"> überregionalen</w:t>
      </w:r>
      <w:r w:rsidR="00D849CD">
        <w:t xml:space="preserve"> </w:t>
      </w:r>
      <w:r>
        <w:t>Sachgebieten L2.3P Landnutzung im Einsatz.</w:t>
      </w:r>
    </w:p>
    <w:p w:rsidR="00230E2B" w:rsidRPr="00D849CD" w:rsidRDefault="00230E2B" w:rsidP="00230E2B">
      <w:pPr>
        <w:pStyle w:val="LTAntwortRessortText"/>
        <w:rPr>
          <w:u w:val="single"/>
        </w:rPr>
      </w:pPr>
      <w:r w:rsidRPr="00D849CD">
        <w:rPr>
          <w:u w:val="single"/>
        </w:rPr>
        <w:t>Qualitätssicherung Landwirtschaft</w:t>
      </w:r>
    </w:p>
    <w:p w:rsidR="00D849CD" w:rsidRDefault="00230E2B" w:rsidP="00DC5A7F">
      <w:pPr>
        <w:pStyle w:val="LTAntwortRessortText"/>
        <w:numPr>
          <w:ilvl w:val="0"/>
          <w:numId w:val="31"/>
        </w:numPr>
        <w:ind w:left="697" w:hanging="357"/>
      </w:pPr>
      <w:r>
        <w:t>Für die Qual</w:t>
      </w:r>
      <w:r w:rsidR="00DC5A7F">
        <w:t>itätssicherung sind insgesamt zehn</w:t>
      </w:r>
      <w:r>
        <w:t xml:space="preserve"> Personen mit 1,95 AK</w:t>
      </w:r>
      <w:r w:rsidR="00D849CD">
        <w:t xml:space="preserve"> </w:t>
      </w:r>
      <w:r>
        <w:t xml:space="preserve">im Einsatz. Diese teilen sich auf in 0,5 AK am </w:t>
      </w:r>
      <w:r w:rsidR="00C10EBA">
        <w:t>Staatsministerium für Ernährung, Landwirtschaft und Forsten (</w:t>
      </w:r>
      <w:r>
        <w:t>StMELF</w:t>
      </w:r>
      <w:r w:rsidR="00C10EBA">
        <w:t>)</w:t>
      </w:r>
      <w:r>
        <w:t xml:space="preserve"> und 1,0 AK</w:t>
      </w:r>
      <w:r w:rsidR="00D849CD">
        <w:t xml:space="preserve"> </w:t>
      </w:r>
      <w:r>
        <w:t xml:space="preserve">an der </w:t>
      </w:r>
      <w:r w:rsidR="00C10EBA">
        <w:t>Bayerischen Landesanstalt für Landwirtschaft (</w:t>
      </w:r>
      <w:r>
        <w:t>LfL</w:t>
      </w:r>
      <w:r w:rsidR="00C10EBA">
        <w:t>)</w:t>
      </w:r>
      <w:r>
        <w:t>, welche befristete Verträge haben. Zudem sind 0,45 AK für</w:t>
      </w:r>
      <w:r w:rsidR="00D849CD">
        <w:t xml:space="preserve"> </w:t>
      </w:r>
      <w:r>
        <w:t>die jeweiligen unbefristeten Führungskräfte der 8 Sachgebiete L3.3</w:t>
      </w:r>
      <w:r w:rsidR="00D849CD">
        <w:t xml:space="preserve"> </w:t>
      </w:r>
      <w:r>
        <w:t>FRK anzusetzen.</w:t>
      </w:r>
    </w:p>
    <w:p w:rsidR="00230E2B" w:rsidRPr="00D849CD" w:rsidRDefault="00230E2B" w:rsidP="00230E2B">
      <w:pPr>
        <w:pStyle w:val="LTAntwortRessortText"/>
        <w:rPr>
          <w:u w:val="single"/>
        </w:rPr>
      </w:pPr>
      <w:r w:rsidRPr="00D849CD">
        <w:rPr>
          <w:u w:val="single"/>
        </w:rPr>
        <w:t>Befristete Arbeitsverträge im Bereich Forsten</w:t>
      </w:r>
    </w:p>
    <w:p w:rsidR="00230E2B" w:rsidRDefault="00230E2B" w:rsidP="00DC5A7F">
      <w:pPr>
        <w:pStyle w:val="LTAntwortRessortText"/>
        <w:numPr>
          <w:ilvl w:val="0"/>
          <w:numId w:val="31"/>
        </w:numPr>
        <w:ind w:left="697" w:hanging="357"/>
      </w:pPr>
      <w:r>
        <w:t>Phytosanitäre Kontrollen: Hier sind derzeit drei Beschäftigte (2,5 AK)</w:t>
      </w:r>
      <w:r w:rsidR="00D849CD">
        <w:t xml:space="preserve"> </w:t>
      </w:r>
      <w:r>
        <w:t>befristet tätig. Gepl</w:t>
      </w:r>
      <w:r w:rsidR="00DC5A7F">
        <w:t>ante Personalausgaben 2022: 167.</w:t>
      </w:r>
      <w:r>
        <w:t>700 Euro</w:t>
      </w:r>
      <w:r w:rsidR="00D849CD">
        <w:t xml:space="preserve"> </w:t>
      </w:r>
      <w:r w:rsidR="00C10EBA">
        <w:t>(Kap. 0840 Tit. </w:t>
      </w:r>
      <w:r>
        <w:t>428 11).</w:t>
      </w:r>
    </w:p>
    <w:p w:rsidR="00230E2B" w:rsidRDefault="00230E2B" w:rsidP="00DC5A7F">
      <w:pPr>
        <w:pStyle w:val="LTAntwortRessortText"/>
        <w:numPr>
          <w:ilvl w:val="0"/>
          <w:numId w:val="31"/>
        </w:numPr>
        <w:ind w:left="697" w:hanging="357"/>
      </w:pPr>
      <w:r>
        <w:t>Asiatischer Laubholzbockkäfer (ALB): Neun befristet Beschäftigte</w:t>
      </w:r>
      <w:r w:rsidR="00D849CD">
        <w:t xml:space="preserve"> </w:t>
      </w:r>
      <w:r>
        <w:t>(rd. 2,05 AK). Die Per</w:t>
      </w:r>
      <w:r w:rsidR="00DC5A7F">
        <w:t>sonalausgaben 2022 betragen 130.</w:t>
      </w:r>
      <w:r>
        <w:t>955 Euro</w:t>
      </w:r>
      <w:r w:rsidR="00D849CD">
        <w:t xml:space="preserve"> </w:t>
      </w:r>
      <w:r w:rsidR="00C10EBA">
        <w:t>(Kap. 0803 Titel </w:t>
      </w:r>
      <w:r>
        <w:t>428 78).</w:t>
      </w:r>
    </w:p>
    <w:p w:rsidR="00230E2B" w:rsidRDefault="00230E2B" w:rsidP="00DC5A7F">
      <w:pPr>
        <w:pStyle w:val="LTAntwortRessortText"/>
        <w:numPr>
          <w:ilvl w:val="0"/>
          <w:numId w:val="31"/>
        </w:numPr>
        <w:ind w:left="697" w:hanging="357"/>
      </w:pPr>
      <w:r>
        <w:lastRenderedPageBreak/>
        <w:t>Asiatischer Moschusbockkäfer (AMB): Zwei befristet Beschäftigte</w:t>
      </w:r>
      <w:r w:rsidR="00D849CD">
        <w:t xml:space="preserve"> </w:t>
      </w:r>
      <w:r>
        <w:t>(2,0 AK). Gepla</w:t>
      </w:r>
      <w:r w:rsidR="00DC5A7F">
        <w:t>nte Personalausgaben 2022 = 120.</w:t>
      </w:r>
      <w:r>
        <w:t>800 Euro</w:t>
      </w:r>
      <w:r w:rsidR="00D849CD">
        <w:t xml:space="preserve"> </w:t>
      </w:r>
      <w:r>
        <w:t>(Kap. 0803 Titel 428 78).</w:t>
      </w:r>
    </w:p>
    <w:p w:rsidR="00230E2B" w:rsidRDefault="00230E2B" w:rsidP="00230E2B">
      <w:pPr>
        <w:pStyle w:val="LTAntwortRessortText"/>
      </w:pPr>
      <w:r>
        <w:t>Für die befristeten Beschäftigungen ist keine Umwandlung in Stellen geplant.</w:t>
      </w:r>
    </w:p>
    <w:p w:rsidR="00230E2B" w:rsidRDefault="00230E2B">
      <w:bookmarkStart w:id="110" w:name="Frage_Nr_54_Ende"/>
      <w:bookmarkEnd w:id="110"/>
      <w:r>
        <w:br w:type="page"/>
      </w:r>
    </w:p>
    <w:p w:rsidR="00230E2B" w:rsidRDefault="00230E2B" w:rsidP="00230E2B">
      <w:pPr>
        <w:pStyle w:val="LTUeberschrRessort"/>
      </w:pPr>
      <w:r>
        <w:lastRenderedPageBreak/>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230E2B" w:rsidTr="007B0B33">
        <w:tc>
          <w:tcPr>
            <w:tcW w:w="2050" w:type="dxa"/>
          </w:tcPr>
          <w:p w:rsidR="00230E2B" w:rsidRDefault="00230E2B" w:rsidP="00230E2B">
            <w:pPr>
              <w:pStyle w:val="LTAnfrageInitiator"/>
            </w:pPr>
            <w:r>
              <w:t>Abgeordnete</w:t>
            </w:r>
            <w:r>
              <w:rPr>
                <w:b/>
              </w:rPr>
              <w:br/>
              <w:t>Eva</w:t>
            </w:r>
            <w:r>
              <w:rPr>
                <w:b/>
              </w:rPr>
              <w:br/>
              <w:t>Lettenbauer</w:t>
            </w:r>
            <w:r>
              <w:rPr>
                <w:b/>
              </w:rPr>
              <w:br/>
            </w:r>
            <w:r>
              <w:t>(BÜNDNIS 90/DIE GRÜNEN)</w:t>
            </w:r>
            <w:bookmarkStart w:id="111" w:name="Frage_Nr_55"/>
            <w:bookmarkEnd w:id="111"/>
          </w:p>
        </w:tc>
        <w:tc>
          <w:tcPr>
            <w:tcW w:w="7200" w:type="dxa"/>
          </w:tcPr>
          <w:p w:rsidR="00230E2B" w:rsidRDefault="00A615E7" w:rsidP="00230E2B">
            <w:pPr>
              <w:pStyle w:val="LTAnfrageText"/>
            </w:pPr>
            <w:r w:rsidRPr="00A615E7">
              <w:rPr>
                <w:szCs w:val="24"/>
              </w:rPr>
              <w:t>Anlässlich der im letzten Jahr gefällten Beschlüsse zum Ausbau des Erziehungsberatungsförderprogramms (120 zusätzliche Stellen) und der Stärkung der Jugendsozialarbeit an Schulen (210 zusätzliche Stellen bei einer Verdreifachung der staatlichen Förderung) frage ich die Staatsregierung, wie viele der zusätzlich geförderten Stellen bereits besetzt sind, welche Träger die zusätzlich geförderten Stellen wahrgenommen haben und wie sich die regionale Verteilung der staatlich geförderten Stellen (bitte aufgeschlüsselt nach den bereits vor den neuen Förderprogrammen besetzten Stellen, den mit den neuen Förderprogrammen ausgebauten Stellen sowie nach Landkreis und Regierungsbezirk) abbildet?</w:t>
            </w:r>
          </w:p>
        </w:tc>
      </w:tr>
    </w:tbl>
    <w:p w:rsidR="00230E2B" w:rsidRDefault="00230E2B" w:rsidP="00230E2B">
      <w:pPr>
        <w:pStyle w:val="LTUeberschrAntwortRessort"/>
      </w:pPr>
      <w:r>
        <w:t>Antwort des Staatsministeriums für Familie, Arbeit und Soziales</w:t>
      </w:r>
    </w:p>
    <w:p w:rsidR="00230E2B" w:rsidRDefault="00230E2B" w:rsidP="00230E2B">
      <w:pPr>
        <w:pStyle w:val="LTAntwortRessortText"/>
      </w:pPr>
      <w:r>
        <w:t>Die Aufgaben der Kinder- und Jugendhilfe werden durch die Landkreise</w:t>
      </w:r>
      <w:r w:rsidR="00AC41E9">
        <w:t xml:space="preserve"> </w:t>
      </w:r>
      <w:r>
        <w:t>und kreisfreien Städte als Pflichtaufgabe im eigenen Wirkungskreis</w:t>
      </w:r>
      <w:r w:rsidR="00AC41E9">
        <w:t xml:space="preserve"> </w:t>
      </w:r>
      <w:r>
        <w:t>wahrgenommen. Hierbei wirken diese mit den freien Trägern der</w:t>
      </w:r>
      <w:r w:rsidR="00AC41E9">
        <w:t xml:space="preserve"> </w:t>
      </w:r>
      <w:r>
        <w:t xml:space="preserve">Jugendhilfe zusammen (vgl. § </w:t>
      </w:r>
      <w:r w:rsidR="007946D8">
        <w:t xml:space="preserve">4 Achtes Buch Sozialgesetzbuch – </w:t>
      </w:r>
      <w:r>
        <w:t>SGB</w:t>
      </w:r>
      <w:r w:rsidR="00AC41E9">
        <w:t xml:space="preserve"> </w:t>
      </w:r>
      <w:r w:rsidR="007946D8">
        <w:t>VIII</w:t>
      </w:r>
      <w:r>
        <w:t>.</w:t>
      </w:r>
    </w:p>
    <w:p w:rsidR="00230E2B" w:rsidRDefault="00230E2B" w:rsidP="00230E2B">
      <w:pPr>
        <w:pStyle w:val="LTAntwortRessortText"/>
      </w:pPr>
      <w:r w:rsidRPr="00AC41E9">
        <w:rPr>
          <w:u w:val="single"/>
        </w:rPr>
        <w:t>Förderung der Jugendsozialarbeit an Schulen</w:t>
      </w:r>
      <w:r w:rsidRPr="00AC41E9">
        <w:t>:</w:t>
      </w:r>
      <w:r>
        <w:t xml:space="preserve"> In das Förderprogramm</w:t>
      </w:r>
      <w:r w:rsidR="00AC41E9">
        <w:t xml:space="preserve"> </w:t>
      </w:r>
      <w:r w:rsidR="00490BF0">
        <w:t>„</w:t>
      </w:r>
      <w:r>
        <w:t>Jugendsozialarbeit an Schulen</w:t>
      </w:r>
      <w:r w:rsidR="00490BF0">
        <w:t>“</w:t>
      </w:r>
      <w:r>
        <w:t xml:space="preserve"> (JaS) konnten im Jahr 2021 rd. 127</w:t>
      </w:r>
      <w:r w:rsidR="00AC41E9">
        <w:t xml:space="preserve"> </w:t>
      </w:r>
      <w:r>
        <w:t>und im Januar 2022 bereits über vier zusätzliche Stellen (Vollzeitäquivalente</w:t>
      </w:r>
      <w:r w:rsidR="00AC41E9">
        <w:t xml:space="preserve"> </w:t>
      </w:r>
      <w:r w:rsidR="007946D8">
        <w:t>– VZÄ</w:t>
      </w:r>
      <w:r>
        <w:t>) aufgenommen werden, so dass der Ausbaustand derzeit</w:t>
      </w:r>
      <w:r w:rsidR="00AC41E9">
        <w:t xml:space="preserve"> </w:t>
      </w:r>
      <w:r w:rsidR="00BB63D8">
        <w:t>rd. 1 131 Stellen an 1 </w:t>
      </w:r>
      <w:r>
        <w:t>493 Einsatzorten (Schulen) beträgt. In den</w:t>
      </w:r>
      <w:r w:rsidR="00AC41E9">
        <w:t xml:space="preserve"> </w:t>
      </w:r>
      <w:r>
        <w:t>Jahren 2021 und 2022 können insgesamt bis zu 280 zusätzliche Stellen</w:t>
      </w:r>
      <w:r w:rsidR="00AC41E9">
        <w:t xml:space="preserve"> </w:t>
      </w:r>
      <w:r>
        <w:t>geschaffen werden. Im Jahr 2021 wurden zusätzlich zu dem regulär</w:t>
      </w:r>
      <w:r w:rsidR="00AC41E9">
        <w:t xml:space="preserve"> </w:t>
      </w:r>
      <w:r>
        <w:t>vorgesehenen Ausbau um 70 Stellen nochmals rd. 57 zusätzliche</w:t>
      </w:r>
      <w:r w:rsidR="00AC41E9">
        <w:t xml:space="preserve"> </w:t>
      </w:r>
      <w:r>
        <w:t>Stellen geschaffen, die von der in den Schuljahren 2021/2022 und</w:t>
      </w:r>
      <w:r w:rsidR="00AC41E9">
        <w:t xml:space="preserve"> </w:t>
      </w:r>
      <w:r>
        <w:t>2022/2023 temporär erhöhten Förderpauschale profitieren. Im Jahr</w:t>
      </w:r>
      <w:r w:rsidR="00AC41E9">
        <w:t xml:space="preserve"> </w:t>
      </w:r>
      <w:r>
        <w:t>2022 können bis zu 153 Stellen geschaffen werden, die ebenfalls von</w:t>
      </w:r>
      <w:r w:rsidR="00AC41E9">
        <w:t xml:space="preserve"> </w:t>
      </w:r>
      <w:r>
        <w:t>der temporär erhöhten Förderpauschale profitieren können.</w:t>
      </w:r>
      <w:r w:rsidR="00AC41E9">
        <w:t xml:space="preserve"> </w:t>
      </w:r>
      <w:r>
        <w:t>Neben Aufstockungen bereits bestehender Stellen zur Abdeckung eines</w:t>
      </w:r>
      <w:r w:rsidR="00AC41E9">
        <w:t xml:space="preserve"> </w:t>
      </w:r>
      <w:r>
        <w:t>erhöhten Beratungsbedarfes wurden für folgende Träger neue</w:t>
      </w:r>
      <w:r w:rsidR="00AC41E9">
        <w:t xml:space="preserve"> </w:t>
      </w:r>
      <w:r>
        <w:t>Stellen an neuen Schulstandorten genehmigt:</w:t>
      </w:r>
    </w:p>
    <w:p w:rsidR="00230E2B" w:rsidRDefault="00230E2B" w:rsidP="00230E2B">
      <w:pPr>
        <w:pStyle w:val="LTAntwortRessortText"/>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tblGrid>
      <w:tr w:rsidR="00AC41E9" w:rsidRPr="00BB63D8" w:rsidTr="007946D8">
        <w:trPr>
          <w:trHeight w:val="282"/>
        </w:trPr>
        <w:tc>
          <w:tcPr>
            <w:tcW w:w="5245" w:type="dxa"/>
          </w:tcPr>
          <w:p w:rsidR="00AC41E9" w:rsidRPr="00BB63D8" w:rsidRDefault="00AC41E9" w:rsidP="000D4D79">
            <w:pPr>
              <w:pStyle w:val="TableParagraph"/>
              <w:rPr>
                <w:sz w:val="18"/>
                <w:szCs w:val="18"/>
              </w:rPr>
            </w:pPr>
            <w:r w:rsidRPr="00BB63D8">
              <w:rPr>
                <w:sz w:val="18"/>
                <w:szCs w:val="18"/>
              </w:rPr>
              <w:t>AWO Kinder und Jugend gGmbH</w:t>
            </w:r>
          </w:p>
        </w:tc>
      </w:tr>
      <w:tr w:rsidR="00AC41E9" w:rsidRPr="00BB63D8" w:rsidTr="007946D8">
        <w:trPr>
          <w:trHeight w:val="285"/>
        </w:trPr>
        <w:tc>
          <w:tcPr>
            <w:tcW w:w="5245" w:type="dxa"/>
          </w:tcPr>
          <w:p w:rsidR="00AC41E9" w:rsidRPr="00BB63D8" w:rsidRDefault="00AC41E9" w:rsidP="000D4D79">
            <w:pPr>
              <w:pStyle w:val="TableParagraph"/>
              <w:rPr>
                <w:sz w:val="18"/>
                <w:szCs w:val="18"/>
              </w:rPr>
            </w:pPr>
            <w:r w:rsidRPr="00BB63D8">
              <w:rPr>
                <w:sz w:val="18"/>
                <w:szCs w:val="18"/>
              </w:rPr>
              <w:t>BRK Kreisverband Würzburg</w:t>
            </w:r>
          </w:p>
        </w:tc>
      </w:tr>
      <w:tr w:rsidR="00AC41E9" w:rsidRPr="00BB63D8" w:rsidTr="007946D8">
        <w:trPr>
          <w:trHeight w:val="282"/>
        </w:trPr>
        <w:tc>
          <w:tcPr>
            <w:tcW w:w="5245" w:type="dxa"/>
          </w:tcPr>
          <w:p w:rsidR="00AC41E9" w:rsidRPr="00BB63D8" w:rsidRDefault="00AC41E9" w:rsidP="000D4D79">
            <w:pPr>
              <w:pStyle w:val="TableParagraph"/>
              <w:rPr>
                <w:sz w:val="18"/>
                <w:szCs w:val="18"/>
              </w:rPr>
            </w:pPr>
            <w:r w:rsidRPr="00BB63D8">
              <w:rPr>
                <w:sz w:val="18"/>
                <w:szCs w:val="18"/>
              </w:rPr>
              <w:t>Caritas-Kreisstelle Ingolstadt</w:t>
            </w:r>
          </w:p>
        </w:tc>
      </w:tr>
      <w:tr w:rsidR="00AC41E9" w:rsidRPr="00BB63D8" w:rsidTr="007946D8">
        <w:trPr>
          <w:trHeight w:val="285"/>
        </w:trPr>
        <w:tc>
          <w:tcPr>
            <w:tcW w:w="5245" w:type="dxa"/>
          </w:tcPr>
          <w:p w:rsidR="00AC41E9" w:rsidRPr="00BB63D8" w:rsidRDefault="00AC41E9" w:rsidP="000D4D79">
            <w:pPr>
              <w:pStyle w:val="TableParagraph"/>
              <w:rPr>
                <w:sz w:val="18"/>
                <w:szCs w:val="18"/>
              </w:rPr>
            </w:pPr>
            <w:r w:rsidRPr="00BB63D8">
              <w:rPr>
                <w:sz w:val="18"/>
                <w:szCs w:val="18"/>
              </w:rPr>
              <w:t>Caritasverband der Erzdiözese München und Freising e.</w:t>
            </w:r>
            <w:r w:rsidR="00BB63D8" w:rsidRPr="00BB63D8">
              <w:rPr>
                <w:sz w:val="18"/>
                <w:szCs w:val="18"/>
              </w:rPr>
              <w:t> </w:t>
            </w:r>
            <w:r w:rsidRPr="00BB63D8">
              <w:rPr>
                <w:sz w:val="18"/>
                <w:szCs w:val="18"/>
              </w:rPr>
              <w:t>V.</w:t>
            </w:r>
          </w:p>
        </w:tc>
      </w:tr>
      <w:tr w:rsidR="00AC41E9" w:rsidRPr="00BB63D8" w:rsidTr="007946D8">
        <w:trPr>
          <w:trHeight w:val="282"/>
        </w:trPr>
        <w:tc>
          <w:tcPr>
            <w:tcW w:w="5245" w:type="dxa"/>
          </w:tcPr>
          <w:p w:rsidR="00AC41E9" w:rsidRPr="00BB63D8" w:rsidRDefault="00AC41E9" w:rsidP="000D4D79">
            <w:pPr>
              <w:pStyle w:val="TableParagraph"/>
              <w:rPr>
                <w:sz w:val="18"/>
                <w:szCs w:val="18"/>
              </w:rPr>
            </w:pPr>
            <w:r w:rsidRPr="00BB63D8">
              <w:rPr>
                <w:sz w:val="18"/>
                <w:szCs w:val="18"/>
              </w:rPr>
              <w:t>Caritasverba</w:t>
            </w:r>
            <w:r w:rsidR="00BB63D8" w:rsidRPr="00BB63D8">
              <w:rPr>
                <w:sz w:val="18"/>
                <w:szCs w:val="18"/>
              </w:rPr>
              <w:t>nd für den Landkreis Kronach e. </w:t>
            </w:r>
            <w:r w:rsidRPr="00BB63D8">
              <w:rPr>
                <w:sz w:val="18"/>
                <w:szCs w:val="18"/>
              </w:rPr>
              <w:t>V.</w:t>
            </w:r>
          </w:p>
        </w:tc>
      </w:tr>
      <w:tr w:rsidR="00AC41E9" w:rsidRPr="00BB63D8" w:rsidTr="007946D8">
        <w:trPr>
          <w:trHeight w:val="285"/>
        </w:trPr>
        <w:tc>
          <w:tcPr>
            <w:tcW w:w="5245" w:type="dxa"/>
          </w:tcPr>
          <w:p w:rsidR="00AC41E9" w:rsidRPr="00BB63D8" w:rsidRDefault="00AC41E9" w:rsidP="000D4D79">
            <w:pPr>
              <w:pStyle w:val="TableParagraph"/>
              <w:rPr>
                <w:sz w:val="18"/>
                <w:szCs w:val="18"/>
              </w:rPr>
            </w:pPr>
            <w:r w:rsidRPr="00BB63D8">
              <w:rPr>
                <w:sz w:val="18"/>
                <w:szCs w:val="18"/>
              </w:rPr>
              <w:t>Diakonie Hochfranken gGmbH</w:t>
            </w:r>
          </w:p>
        </w:tc>
      </w:tr>
      <w:tr w:rsidR="00AC41E9" w:rsidRPr="00BB63D8" w:rsidTr="007946D8">
        <w:trPr>
          <w:trHeight w:val="282"/>
        </w:trPr>
        <w:tc>
          <w:tcPr>
            <w:tcW w:w="5245" w:type="dxa"/>
          </w:tcPr>
          <w:p w:rsidR="00AC41E9" w:rsidRPr="00BB63D8" w:rsidRDefault="00AC41E9" w:rsidP="000D4D79">
            <w:pPr>
              <w:pStyle w:val="TableParagraph"/>
              <w:rPr>
                <w:sz w:val="18"/>
                <w:szCs w:val="18"/>
              </w:rPr>
            </w:pPr>
            <w:r w:rsidRPr="00BB63D8">
              <w:rPr>
                <w:sz w:val="18"/>
                <w:szCs w:val="18"/>
              </w:rPr>
              <w:t>Diakonisches Werk Rosenheim e.</w:t>
            </w:r>
            <w:r w:rsidR="00BB63D8" w:rsidRPr="00BB63D8">
              <w:rPr>
                <w:sz w:val="18"/>
                <w:szCs w:val="18"/>
              </w:rPr>
              <w:t> </w:t>
            </w:r>
            <w:r w:rsidRPr="00BB63D8">
              <w:rPr>
                <w:sz w:val="18"/>
                <w:szCs w:val="18"/>
              </w:rPr>
              <w:t>V. Jugendhilfe Oberbayern</w:t>
            </w:r>
          </w:p>
        </w:tc>
      </w:tr>
      <w:tr w:rsidR="00AC41E9" w:rsidRPr="00BB63D8" w:rsidTr="007946D8">
        <w:trPr>
          <w:trHeight w:val="285"/>
        </w:trPr>
        <w:tc>
          <w:tcPr>
            <w:tcW w:w="5245" w:type="dxa"/>
          </w:tcPr>
          <w:p w:rsidR="00AC41E9" w:rsidRPr="00BB63D8" w:rsidRDefault="00AC41E9" w:rsidP="000D4D79">
            <w:pPr>
              <w:pStyle w:val="TableParagraph"/>
              <w:rPr>
                <w:sz w:val="18"/>
                <w:szCs w:val="18"/>
              </w:rPr>
            </w:pPr>
            <w:r w:rsidRPr="00BB63D8">
              <w:rPr>
                <w:sz w:val="18"/>
                <w:szCs w:val="18"/>
              </w:rPr>
              <w:t>Fokus Jugend e.</w:t>
            </w:r>
            <w:r w:rsidR="00BB63D8" w:rsidRPr="00BB63D8">
              <w:rPr>
                <w:sz w:val="18"/>
                <w:szCs w:val="18"/>
              </w:rPr>
              <w:t> </w:t>
            </w:r>
            <w:r w:rsidRPr="00BB63D8">
              <w:rPr>
                <w:sz w:val="18"/>
                <w:szCs w:val="18"/>
              </w:rPr>
              <w:t>V.</w:t>
            </w:r>
          </w:p>
        </w:tc>
      </w:tr>
      <w:tr w:rsidR="00AC41E9" w:rsidRPr="00BB63D8" w:rsidTr="007946D8">
        <w:trPr>
          <w:trHeight w:val="282"/>
        </w:trPr>
        <w:tc>
          <w:tcPr>
            <w:tcW w:w="5245" w:type="dxa"/>
          </w:tcPr>
          <w:p w:rsidR="00AC41E9" w:rsidRPr="00BB63D8" w:rsidRDefault="00AC41E9" w:rsidP="000D4D79">
            <w:pPr>
              <w:pStyle w:val="TableParagraph"/>
              <w:rPr>
                <w:sz w:val="18"/>
                <w:szCs w:val="18"/>
              </w:rPr>
            </w:pPr>
            <w:r w:rsidRPr="00BB63D8">
              <w:rPr>
                <w:sz w:val="18"/>
                <w:szCs w:val="18"/>
              </w:rPr>
              <w:t>Gesellschaft zur beruflichen Förderung Schweinfurt mbH (GbF)</w:t>
            </w:r>
          </w:p>
        </w:tc>
      </w:tr>
      <w:tr w:rsidR="00AC41E9" w:rsidRPr="00BB63D8" w:rsidTr="007946D8">
        <w:trPr>
          <w:trHeight w:val="285"/>
        </w:trPr>
        <w:tc>
          <w:tcPr>
            <w:tcW w:w="5245" w:type="dxa"/>
          </w:tcPr>
          <w:p w:rsidR="00AC41E9" w:rsidRPr="00BB63D8" w:rsidRDefault="00AC41E9" w:rsidP="000D4D79">
            <w:pPr>
              <w:pStyle w:val="TableParagraph"/>
              <w:rPr>
                <w:sz w:val="18"/>
                <w:szCs w:val="18"/>
              </w:rPr>
            </w:pPr>
            <w:r w:rsidRPr="00BB63D8">
              <w:rPr>
                <w:sz w:val="18"/>
                <w:szCs w:val="18"/>
              </w:rPr>
              <w:t>gfi gGmbH Weiden</w:t>
            </w:r>
          </w:p>
        </w:tc>
      </w:tr>
      <w:tr w:rsidR="00AC41E9" w:rsidRPr="00BB63D8" w:rsidTr="007946D8">
        <w:trPr>
          <w:trHeight w:val="282"/>
        </w:trPr>
        <w:tc>
          <w:tcPr>
            <w:tcW w:w="5245" w:type="dxa"/>
          </w:tcPr>
          <w:p w:rsidR="00AC41E9" w:rsidRPr="00BB63D8" w:rsidRDefault="00AC41E9" w:rsidP="000D4D79">
            <w:pPr>
              <w:pStyle w:val="TableParagraph"/>
              <w:rPr>
                <w:sz w:val="18"/>
                <w:szCs w:val="18"/>
              </w:rPr>
            </w:pPr>
            <w:r w:rsidRPr="00BB63D8">
              <w:rPr>
                <w:sz w:val="18"/>
                <w:szCs w:val="18"/>
              </w:rPr>
              <w:lastRenderedPageBreak/>
              <w:t>gfi GmbH Schweinfurt</w:t>
            </w:r>
          </w:p>
        </w:tc>
      </w:tr>
      <w:tr w:rsidR="00AC41E9" w:rsidRPr="00BB63D8" w:rsidTr="007946D8">
        <w:trPr>
          <w:trHeight w:val="285"/>
        </w:trPr>
        <w:tc>
          <w:tcPr>
            <w:tcW w:w="5245" w:type="dxa"/>
          </w:tcPr>
          <w:p w:rsidR="00AC41E9" w:rsidRPr="00BB63D8" w:rsidRDefault="00AC41E9" w:rsidP="000D4D79">
            <w:pPr>
              <w:pStyle w:val="TableParagraph"/>
              <w:rPr>
                <w:sz w:val="18"/>
                <w:szCs w:val="18"/>
              </w:rPr>
            </w:pPr>
            <w:r w:rsidRPr="00BB63D8">
              <w:rPr>
                <w:sz w:val="18"/>
                <w:szCs w:val="18"/>
              </w:rPr>
              <w:t>IG Initiativgruppe - Interkulturelle Bildung und Begegnung e.</w:t>
            </w:r>
            <w:r w:rsidR="00BB63D8" w:rsidRPr="00BB63D8">
              <w:rPr>
                <w:sz w:val="18"/>
                <w:szCs w:val="18"/>
              </w:rPr>
              <w:t> </w:t>
            </w:r>
            <w:r w:rsidRPr="00BB63D8">
              <w:rPr>
                <w:sz w:val="18"/>
                <w:szCs w:val="18"/>
              </w:rPr>
              <w:t>V.</w:t>
            </w:r>
          </w:p>
        </w:tc>
      </w:tr>
      <w:tr w:rsidR="00AC41E9" w:rsidRPr="00BB63D8" w:rsidTr="007946D8">
        <w:trPr>
          <w:trHeight w:val="282"/>
        </w:trPr>
        <w:tc>
          <w:tcPr>
            <w:tcW w:w="5245" w:type="dxa"/>
          </w:tcPr>
          <w:p w:rsidR="00AC41E9" w:rsidRPr="00BB63D8" w:rsidRDefault="00AC41E9" w:rsidP="000D4D79">
            <w:pPr>
              <w:pStyle w:val="TableParagraph"/>
              <w:rPr>
                <w:sz w:val="18"/>
                <w:szCs w:val="18"/>
              </w:rPr>
            </w:pPr>
            <w:r w:rsidRPr="00BB63D8">
              <w:rPr>
                <w:sz w:val="18"/>
                <w:szCs w:val="18"/>
              </w:rPr>
              <w:t>Johanniter-Unfallhilfe e.</w:t>
            </w:r>
            <w:r w:rsidR="00BB63D8" w:rsidRPr="00BB63D8">
              <w:rPr>
                <w:sz w:val="18"/>
                <w:szCs w:val="18"/>
              </w:rPr>
              <w:t> </w:t>
            </w:r>
            <w:r w:rsidRPr="00BB63D8">
              <w:rPr>
                <w:sz w:val="18"/>
                <w:szCs w:val="18"/>
              </w:rPr>
              <w:t>V. Regionalverband Ostbayern</w:t>
            </w:r>
          </w:p>
        </w:tc>
      </w:tr>
      <w:tr w:rsidR="00AC41E9" w:rsidRPr="00BB63D8" w:rsidTr="007946D8">
        <w:trPr>
          <w:trHeight w:val="285"/>
        </w:trPr>
        <w:tc>
          <w:tcPr>
            <w:tcW w:w="5245" w:type="dxa"/>
          </w:tcPr>
          <w:p w:rsidR="00AC41E9" w:rsidRPr="00BB63D8" w:rsidRDefault="00AC41E9" w:rsidP="000D4D79">
            <w:pPr>
              <w:pStyle w:val="TableParagraph"/>
              <w:rPr>
                <w:sz w:val="18"/>
                <w:szCs w:val="18"/>
              </w:rPr>
            </w:pPr>
            <w:r w:rsidRPr="00BB63D8">
              <w:rPr>
                <w:sz w:val="18"/>
                <w:szCs w:val="18"/>
              </w:rPr>
              <w:t>Jugendhilfe Creglingen e.</w:t>
            </w:r>
            <w:r w:rsidR="00BB63D8" w:rsidRPr="00BB63D8">
              <w:rPr>
                <w:sz w:val="18"/>
                <w:szCs w:val="18"/>
              </w:rPr>
              <w:t> </w:t>
            </w:r>
            <w:r w:rsidRPr="00BB63D8">
              <w:rPr>
                <w:sz w:val="18"/>
                <w:szCs w:val="18"/>
              </w:rPr>
              <w:t>V., Mobile Jugendbetreuung Würzburg</w:t>
            </w:r>
          </w:p>
        </w:tc>
      </w:tr>
      <w:tr w:rsidR="00AC41E9" w:rsidRPr="00BB63D8" w:rsidTr="007946D8">
        <w:trPr>
          <w:trHeight w:val="282"/>
        </w:trPr>
        <w:tc>
          <w:tcPr>
            <w:tcW w:w="5245" w:type="dxa"/>
          </w:tcPr>
          <w:p w:rsidR="00AC41E9" w:rsidRPr="00BB63D8" w:rsidRDefault="00AC41E9" w:rsidP="000D4D79">
            <w:pPr>
              <w:pStyle w:val="TableParagraph"/>
              <w:rPr>
                <w:sz w:val="18"/>
                <w:szCs w:val="18"/>
              </w:rPr>
            </w:pPr>
            <w:r w:rsidRPr="00BB63D8">
              <w:rPr>
                <w:sz w:val="18"/>
                <w:szCs w:val="18"/>
              </w:rPr>
              <w:t>Kath. Jugendfürsorge d. Er</w:t>
            </w:r>
            <w:r w:rsidR="00BB63D8" w:rsidRPr="00BB63D8">
              <w:rPr>
                <w:sz w:val="18"/>
                <w:szCs w:val="18"/>
              </w:rPr>
              <w:t>zdiözese München u. Freising e. </w:t>
            </w:r>
            <w:r w:rsidRPr="00BB63D8">
              <w:rPr>
                <w:sz w:val="18"/>
                <w:szCs w:val="18"/>
              </w:rPr>
              <w:t>V.</w:t>
            </w:r>
          </w:p>
        </w:tc>
      </w:tr>
      <w:tr w:rsidR="00AC41E9" w:rsidRPr="00BB63D8" w:rsidTr="007946D8">
        <w:trPr>
          <w:trHeight w:val="285"/>
        </w:trPr>
        <w:tc>
          <w:tcPr>
            <w:tcW w:w="5245" w:type="dxa"/>
          </w:tcPr>
          <w:p w:rsidR="00AC41E9" w:rsidRPr="00BB63D8" w:rsidRDefault="00AC41E9" w:rsidP="000D4D79">
            <w:pPr>
              <w:pStyle w:val="TableParagraph"/>
              <w:rPr>
                <w:sz w:val="18"/>
                <w:szCs w:val="18"/>
              </w:rPr>
            </w:pPr>
            <w:r w:rsidRPr="00BB63D8">
              <w:rPr>
                <w:sz w:val="18"/>
                <w:szCs w:val="18"/>
              </w:rPr>
              <w:t>Katholische Jugendf</w:t>
            </w:r>
            <w:r w:rsidR="00BB63D8" w:rsidRPr="00BB63D8">
              <w:rPr>
                <w:sz w:val="18"/>
                <w:szCs w:val="18"/>
              </w:rPr>
              <w:t>ürsorge der Diözese Augsburg e. </w:t>
            </w:r>
            <w:r w:rsidRPr="00BB63D8">
              <w:rPr>
                <w:sz w:val="18"/>
                <w:szCs w:val="18"/>
              </w:rPr>
              <w:t>V.</w:t>
            </w:r>
          </w:p>
        </w:tc>
      </w:tr>
      <w:tr w:rsidR="00AC41E9" w:rsidRPr="00BB63D8" w:rsidTr="007946D8">
        <w:trPr>
          <w:trHeight w:val="282"/>
        </w:trPr>
        <w:tc>
          <w:tcPr>
            <w:tcW w:w="5245" w:type="dxa"/>
          </w:tcPr>
          <w:p w:rsidR="00AC41E9" w:rsidRPr="00BB63D8" w:rsidRDefault="00AC41E9" w:rsidP="000D4D79">
            <w:pPr>
              <w:pStyle w:val="TableParagraph"/>
              <w:rPr>
                <w:sz w:val="18"/>
                <w:szCs w:val="18"/>
              </w:rPr>
            </w:pPr>
            <w:r w:rsidRPr="00BB63D8">
              <w:rPr>
                <w:sz w:val="18"/>
                <w:szCs w:val="18"/>
              </w:rPr>
              <w:t>Kolping-Berufsbildungswerk gGmbH Bamberg</w:t>
            </w:r>
          </w:p>
        </w:tc>
      </w:tr>
      <w:tr w:rsidR="00AC41E9" w:rsidRPr="00BB63D8" w:rsidTr="007946D8">
        <w:trPr>
          <w:trHeight w:val="285"/>
        </w:trPr>
        <w:tc>
          <w:tcPr>
            <w:tcW w:w="5245" w:type="dxa"/>
          </w:tcPr>
          <w:p w:rsidR="00AC41E9" w:rsidRPr="00BB63D8" w:rsidRDefault="00AC41E9" w:rsidP="000D4D79">
            <w:pPr>
              <w:pStyle w:val="TableParagraph"/>
              <w:rPr>
                <w:sz w:val="18"/>
                <w:szCs w:val="18"/>
              </w:rPr>
            </w:pPr>
            <w:r w:rsidRPr="00BB63D8">
              <w:rPr>
                <w:sz w:val="18"/>
                <w:szCs w:val="18"/>
              </w:rPr>
              <w:t>Kolping-Bildungswerk Schweinfurt GmbH</w:t>
            </w:r>
          </w:p>
        </w:tc>
      </w:tr>
      <w:tr w:rsidR="00AC41E9" w:rsidRPr="00BB63D8" w:rsidTr="007946D8">
        <w:trPr>
          <w:trHeight w:val="282"/>
        </w:trPr>
        <w:tc>
          <w:tcPr>
            <w:tcW w:w="5245" w:type="dxa"/>
          </w:tcPr>
          <w:p w:rsidR="00AC41E9" w:rsidRPr="00BB63D8" w:rsidRDefault="00AC41E9" w:rsidP="000D4D79">
            <w:pPr>
              <w:pStyle w:val="TableParagraph"/>
              <w:rPr>
                <w:sz w:val="18"/>
                <w:szCs w:val="18"/>
              </w:rPr>
            </w:pPr>
            <w:r w:rsidRPr="00BB63D8">
              <w:rPr>
                <w:sz w:val="18"/>
                <w:szCs w:val="18"/>
              </w:rPr>
              <w:t>Landkreis Aschaffenburg</w:t>
            </w:r>
          </w:p>
        </w:tc>
      </w:tr>
      <w:tr w:rsidR="00AC41E9" w:rsidRPr="00BB63D8" w:rsidTr="007946D8">
        <w:trPr>
          <w:trHeight w:val="285"/>
        </w:trPr>
        <w:tc>
          <w:tcPr>
            <w:tcW w:w="5245" w:type="dxa"/>
          </w:tcPr>
          <w:p w:rsidR="00AC41E9" w:rsidRPr="00BB63D8" w:rsidRDefault="00AC41E9" w:rsidP="000D4D79">
            <w:pPr>
              <w:pStyle w:val="TableParagraph"/>
              <w:rPr>
                <w:sz w:val="18"/>
                <w:szCs w:val="18"/>
              </w:rPr>
            </w:pPr>
            <w:r w:rsidRPr="00BB63D8">
              <w:rPr>
                <w:sz w:val="18"/>
                <w:szCs w:val="18"/>
              </w:rPr>
              <w:t>Landkreis Coburg</w:t>
            </w:r>
          </w:p>
        </w:tc>
      </w:tr>
      <w:tr w:rsidR="00AC41E9" w:rsidRPr="00BB63D8" w:rsidTr="007946D8">
        <w:trPr>
          <w:trHeight w:val="282"/>
        </w:trPr>
        <w:tc>
          <w:tcPr>
            <w:tcW w:w="5245" w:type="dxa"/>
          </w:tcPr>
          <w:p w:rsidR="00AC41E9" w:rsidRPr="00BB63D8" w:rsidRDefault="00AC41E9" w:rsidP="000D4D79">
            <w:pPr>
              <w:pStyle w:val="TableParagraph"/>
              <w:rPr>
                <w:sz w:val="18"/>
                <w:szCs w:val="18"/>
              </w:rPr>
            </w:pPr>
            <w:r w:rsidRPr="00BB63D8">
              <w:rPr>
                <w:sz w:val="18"/>
                <w:szCs w:val="18"/>
              </w:rPr>
              <w:t>Landkreis Deggendorf</w:t>
            </w:r>
          </w:p>
        </w:tc>
      </w:tr>
      <w:tr w:rsidR="00AC41E9" w:rsidRPr="00BB63D8" w:rsidTr="007946D8">
        <w:trPr>
          <w:trHeight w:val="285"/>
        </w:trPr>
        <w:tc>
          <w:tcPr>
            <w:tcW w:w="5245" w:type="dxa"/>
          </w:tcPr>
          <w:p w:rsidR="00AC41E9" w:rsidRPr="00BB63D8" w:rsidRDefault="00AC41E9" w:rsidP="000D4D79">
            <w:pPr>
              <w:pStyle w:val="TableParagraph"/>
              <w:rPr>
                <w:sz w:val="18"/>
                <w:szCs w:val="18"/>
              </w:rPr>
            </w:pPr>
            <w:r w:rsidRPr="00BB63D8">
              <w:rPr>
                <w:sz w:val="18"/>
                <w:szCs w:val="18"/>
              </w:rPr>
              <w:t>Landkreis Fürth</w:t>
            </w:r>
          </w:p>
        </w:tc>
      </w:tr>
      <w:tr w:rsidR="00AC41E9" w:rsidRPr="00BB63D8" w:rsidTr="007946D8">
        <w:trPr>
          <w:trHeight w:val="282"/>
        </w:trPr>
        <w:tc>
          <w:tcPr>
            <w:tcW w:w="5245" w:type="dxa"/>
          </w:tcPr>
          <w:p w:rsidR="00AC41E9" w:rsidRPr="00BB63D8" w:rsidRDefault="00AC41E9" w:rsidP="000D4D79">
            <w:pPr>
              <w:pStyle w:val="TableParagraph"/>
              <w:rPr>
                <w:sz w:val="18"/>
                <w:szCs w:val="18"/>
              </w:rPr>
            </w:pPr>
            <w:r w:rsidRPr="00BB63D8">
              <w:rPr>
                <w:sz w:val="18"/>
                <w:szCs w:val="18"/>
              </w:rPr>
              <w:t>Landkreis Kelheim</w:t>
            </w:r>
          </w:p>
        </w:tc>
      </w:tr>
      <w:tr w:rsidR="00AC41E9" w:rsidRPr="00BB63D8" w:rsidTr="007946D8">
        <w:trPr>
          <w:trHeight w:val="285"/>
        </w:trPr>
        <w:tc>
          <w:tcPr>
            <w:tcW w:w="5245" w:type="dxa"/>
          </w:tcPr>
          <w:p w:rsidR="00AC41E9" w:rsidRPr="00BB63D8" w:rsidRDefault="00AC41E9" w:rsidP="000D4D79">
            <w:pPr>
              <w:pStyle w:val="TableParagraph"/>
              <w:rPr>
                <w:sz w:val="18"/>
                <w:szCs w:val="18"/>
              </w:rPr>
            </w:pPr>
            <w:r w:rsidRPr="00BB63D8">
              <w:rPr>
                <w:sz w:val="18"/>
                <w:szCs w:val="18"/>
              </w:rPr>
              <w:t>Landkreis Miltenberg</w:t>
            </w:r>
          </w:p>
        </w:tc>
      </w:tr>
      <w:tr w:rsidR="00AC41E9" w:rsidRPr="00BB63D8" w:rsidTr="007946D8">
        <w:trPr>
          <w:trHeight w:val="282"/>
        </w:trPr>
        <w:tc>
          <w:tcPr>
            <w:tcW w:w="5245" w:type="dxa"/>
          </w:tcPr>
          <w:p w:rsidR="00AC41E9" w:rsidRPr="00BB63D8" w:rsidRDefault="00AC41E9" w:rsidP="000D4D79">
            <w:pPr>
              <w:pStyle w:val="TableParagraph"/>
              <w:rPr>
                <w:sz w:val="18"/>
                <w:szCs w:val="18"/>
              </w:rPr>
            </w:pPr>
            <w:r w:rsidRPr="00BB63D8">
              <w:rPr>
                <w:sz w:val="18"/>
                <w:szCs w:val="18"/>
              </w:rPr>
              <w:t>Landkreis Neustadt a.</w:t>
            </w:r>
            <w:r w:rsidR="00BB63D8" w:rsidRPr="00BB63D8">
              <w:rPr>
                <w:sz w:val="18"/>
                <w:szCs w:val="18"/>
              </w:rPr>
              <w:t> </w:t>
            </w:r>
            <w:r w:rsidRPr="00BB63D8">
              <w:rPr>
                <w:sz w:val="18"/>
                <w:szCs w:val="18"/>
              </w:rPr>
              <w:t>d. Waldnaab</w:t>
            </w:r>
          </w:p>
        </w:tc>
      </w:tr>
      <w:tr w:rsidR="00AC41E9" w:rsidRPr="00BB63D8" w:rsidTr="007946D8">
        <w:trPr>
          <w:trHeight w:val="285"/>
        </w:trPr>
        <w:tc>
          <w:tcPr>
            <w:tcW w:w="5245" w:type="dxa"/>
          </w:tcPr>
          <w:p w:rsidR="00AC41E9" w:rsidRPr="00BB63D8" w:rsidRDefault="00AC41E9" w:rsidP="000D4D79">
            <w:pPr>
              <w:pStyle w:val="TableParagraph"/>
              <w:rPr>
                <w:sz w:val="18"/>
                <w:szCs w:val="18"/>
              </w:rPr>
            </w:pPr>
            <w:r w:rsidRPr="00BB63D8">
              <w:rPr>
                <w:sz w:val="18"/>
                <w:szCs w:val="18"/>
              </w:rPr>
              <w:t>Landkreis Regensburg</w:t>
            </w:r>
          </w:p>
        </w:tc>
      </w:tr>
      <w:tr w:rsidR="00AC41E9" w:rsidRPr="00BB63D8" w:rsidTr="007946D8">
        <w:trPr>
          <w:trHeight w:val="282"/>
        </w:trPr>
        <w:tc>
          <w:tcPr>
            <w:tcW w:w="5245" w:type="dxa"/>
          </w:tcPr>
          <w:p w:rsidR="00AC41E9" w:rsidRPr="00BB63D8" w:rsidRDefault="00AC41E9" w:rsidP="000D4D79">
            <w:pPr>
              <w:pStyle w:val="TableParagraph"/>
              <w:rPr>
                <w:sz w:val="18"/>
                <w:szCs w:val="18"/>
              </w:rPr>
            </w:pPr>
            <w:r w:rsidRPr="00BB63D8">
              <w:rPr>
                <w:sz w:val="18"/>
                <w:szCs w:val="18"/>
              </w:rPr>
              <w:t>Landkreis Schweinfurt</w:t>
            </w:r>
          </w:p>
        </w:tc>
      </w:tr>
      <w:tr w:rsidR="00AC41E9" w:rsidRPr="00BB63D8" w:rsidTr="007946D8">
        <w:trPr>
          <w:trHeight w:val="285"/>
        </w:trPr>
        <w:tc>
          <w:tcPr>
            <w:tcW w:w="5245" w:type="dxa"/>
          </w:tcPr>
          <w:p w:rsidR="00AC41E9" w:rsidRPr="00BB63D8" w:rsidRDefault="00AC41E9" w:rsidP="000D4D79">
            <w:pPr>
              <w:pStyle w:val="TableParagraph"/>
              <w:rPr>
                <w:sz w:val="18"/>
                <w:szCs w:val="18"/>
              </w:rPr>
            </w:pPr>
            <w:r w:rsidRPr="00BB63D8">
              <w:rPr>
                <w:sz w:val="18"/>
                <w:szCs w:val="18"/>
              </w:rPr>
              <w:t>Landkreis Würzburg</w:t>
            </w:r>
          </w:p>
        </w:tc>
      </w:tr>
    </w:tbl>
    <w:tbl>
      <w:tblPr>
        <w:tblStyle w:val="TableNormal5"/>
        <w:tblW w:w="524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tblGrid>
      <w:tr w:rsidR="00AC41E9" w:rsidTr="007946D8">
        <w:trPr>
          <w:trHeight w:val="285"/>
        </w:trPr>
        <w:tc>
          <w:tcPr>
            <w:tcW w:w="5245" w:type="dxa"/>
            <w:tcBorders>
              <w:top w:val="nil"/>
            </w:tcBorders>
          </w:tcPr>
          <w:p w:rsidR="00AC41E9" w:rsidRPr="00BB63D8" w:rsidRDefault="00AC41E9" w:rsidP="000D4D79">
            <w:pPr>
              <w:pStyle w:val="TableParagraph"/>
              <w:spacing w:line="230" w:lineRule="exact"/>
              <w:rPr>
                <w:sz w:val="18"/>
              </w:rPr>
            </w:pPr>
            <w:r w:rsidRPr="00BB63D8">
              <w:rPr>
                <w:sz w:val="18"/>
              </w:rPr>
              <w:t>Landratsamt Miltenberg</w:t>
            </w:r>
          </w:p>
        </w:tc>
      </w:tr>
      <w:tr w:rsidR="00AC41E9" w:rsidTr="007946D8">
        <w:trPr>
          <w:trHeight w:val="282"/>
        </w:trPr>
        <w:tc>
          <w:tcPr>
            <w:tcW w:w="5245" w:type="dxa"/>
          </w:tcPr>
          <w:p w:rsidR="00AC41E9" w:rsidRPr="00BB63D8" w:rsidRDefault="00BB63D8" w:rsidP="000D4D79">
            <w:pPr>
              <w:pStyle w:val="TableParagraph"/>
              <w:rPr>
                <w:sz w:val="18"/>
              </w:rPr>
            </w:pPr>
            <w:r w:rsidRPr="00BB63D8">
              <w:rPr>
                <w:sz w:val="18"/>
              </w:rPr>
              <w:t>Landratsamt Mühldorf a. Inn –</w:t>
            </w:r>
            <w:r w:rsidR="00AC41E9" w:rsidRPr="00BB63D8">
              <w:rPr>
                <w:sz w:val="18"/>
              </w:rPr>
              <w:t xml:space="preserve"> Amt für Jugend und Familie</w:t>
            </w:r>
          </w:p>
        </w:tc>
      </w:tr>
      <w:tr w:rsidR="00AC41E9" w:rsidTr="007946D8">
        <w:trPr>
          <w:trHeight w:val="285"/>
        </w:trPr>
        <w:tc>
          <w:tcPr>
            <w:tcW w:w="5245" w:type="dxa"/>
          </w:tcPr>
          <w:p w:rsidR="00AC41E9" w:rsidRPr="00BB63D8" w:rsidRDefault="00AC41E9" w:rsidP="000D4D79">
            <w:pPr>
              <w:pStyle w:val="TableParagraph"/>
              <w:rPr>
                <w:sz w:val="18"/>
              </w:rPr>
            </w:pPr>
            <w:r w:rsidRPr="00BB63D8">
              <w:rPr>
                <w:sz w:val="18"/>
              </w:rPr>
              <w:t>Landratsamt Dingolfing-Landau</w:t>
            </w:r>
          </w:p>
        </w:tc>
      </w:tr>
      <w:tr w:rsidR="00AC41E9" w:rsidTr="007946D8">
        <w:trPr>
          <w:trHeight w:val="282"/>
        </w:trPr>
        <w:tc>
          <w:tcPr>
            <w:tcW w:w="5245" w:type="dxa"/>
          </w:tcPr>
          <w:p w:rsidR="00AC41E9" w:rsidRPr="00BB63D8" w:rsidRDefault="00AC41E9" w:rsidP="000D4D79">
            <w:pPr>
              <w:pStyle w:val="TableParagraph"/>
              <w:rPr>
                <w:sz w:val="18"/>
              </w:rPr>
            </w:pPr>
            <w:r w:rsidRPr="00BB63D8">
              <w:rPr>
                <w:sz w:val="18"/>
              </w:rPr>
              <w:t>Pro Arbeit Rosenheim e.</w:t>
            </w:r>
            <w:r w:rsidR="00BB63D8" w:rsidRPr="00BB63D8">
              <w:rPr>
                <w:sz w:val="18"/>
              </w:rPr>
              <w:t> </w:t>
            </w:r>
            <w:r w:rsidRPr="00BB63D8">
              <w:rPr>
                <w:sz w:val="18"/>
              </w:rPr>
              <w:t>V.</w:t>
            </w:r>
          </w:p>
        </w:tc>
      </w:tr>
      <w:tr w:rsidR="00AC41E9" w:rsidTr="007946D8">
        <w:trPr>
          <w:trHeight w:val="285"/>
        </w:trPr>
        <w:tc>
          <w:tcPr>
            <w:tcW w:w="5245" w:type="dxa"/>
          </w:tcPr>
          <w:p w:rsidR="00AC41E9" w:rsidRPr="00BB63D8" w:rsidRDefault="00AC41E9" w:rsidP="000D4D79">
            <w:pPr>
              <w:pStyle w:val="TableParagraph"/>
              <w:rPr>
                <w:sz w:val="18"/>
              </w:rPr>
            </w:pPr>
            <w:r w:rsidRPr="00BB63D8">
              <w:rPr>
                <w:sz w:val="18"/>
              </w:rPr>
              <w:t>SKM-Katholischer Verein für Soziale Dienste Memmingen und Unterallgäu e.</w:t>
            </w:r>
            <w:r w:rsidR="00BB63D8" w:rsidRPr="00BB63D8">
              <w:rPr>
                <w:sz w:val="18"/>
              </w:rPr>
              <w:t> </w:t>
            </w:r>
            <w:r w:rsidRPr="00BB63D8">
              <w:rPr>
                <w:sz w:val="18"/>
              </w:rPr>
              <w:t>V.</w:t>
            </w:r>
          </w:p>
        </w:tc>
      </w:tr>
      <w:tr w:rsidR="00AC41E9" w:rsidTr="007946D8">
        <w:trPr>
          <w:trHeight w:val="282"/>
        </w:trPr>
        <w:tc>
          <w:tcPr>
            <w:tcW w:w="5245" w:type="dxa"/>
          </w:tcPr>
          <w:p w:rsidR="00AC41E9" w:rsidRPr="00BB63D8" w:rsidRDefault="007946D8" w:rsidP="000D4D79">
            <w:pPr>
              <w:pStyle w:val="TableParagraph"/>
              <w:rPr>
                <w:sz w:val="18"/>
              </w:rPr>
            </w:pPr>
            <w:r>
              <w:rPr>
                <w:sz w:val="18"/>
              </w:rPr>
              <w:t>SOS-Kinderdorf Oberpfalz</w:t>
            </w:r>
            <w:r w:rsidR="00AC41E9" w:rsidRPr="00BB63D8">
              <w:rPr>
                <w:sz w:val="18"/>
              </w:rPr>
              <w:t xml:space="preserve"> e.</w:t>
            </w:r>
            <w:r w:rsidR="00BB63D8" w:rsidRPr="00BB63D8">
              <w:rPr>
                <w:sz w:val="18"/>
              </w:rPr>
              <w:t> </w:t>
            </w:r>
            <w:r w:rsidR="00AC41E9" w:rsidRPr="00BB63D8">
              <w:rPr>
                <w:sz w:val="18"/>
              </w:rPr>
              <w:t>V.</w:t>
            </w:r>
          </w:p>
        </w:tc>
      </w:tr>
      <w:tr w:rsidR="00AC41E9" w:rsidTr="007946D8">
        <w:trPr>
          <w:trHeight w:val="285"/>
        </w:trPr>
        <w:tc>
          <w:tcPr>
            <w:tcW w:w="5245" w:type="dxa"/>
          </w:tcPr>
          <w:p w:rsidR="00AC41E9" w:rsidRPr="00BB63D8" w:rsidRDefault="00AC41E9" w:rsidP="000D4D79">
            <w:pPr>
              <w:pStyle w:val="TableParagraph"/>
              <w:rPr>
                <w:sz w:val="18"/>
              </w:rPr>
            </w:pPr>
            <w:r w:rsidRPr="00BB63D8">
              <w:rPr>
                <w:sz w:val="18"/>
              </w:rPr>
              <w:t>Sozialdienst kath. Frauen e.</w:t>
            </w:r>
            <w:r w:rsidR="00BB63D8" w:rsidRPr="00BB63D8">
              <w:rPr>
                <w:sz w:val="18"/>
              </w:rPr>
              <w:t> </w:t>
            </w:r>
            <w:r w:rsidRPr="00BB63D8">
              <w:rPr>
                <w:sz w:val="18"/>
              </w:rPr>
              <w:t>V. Ingolstadt</w:t>
            </w:r>
          </w:p>
        </w:tc>
      </w:tr>
      <w:tr w:rsidR="00AC41E9" w:rsidTr="007946D8">
        <w:trPr>
          <w:trHeight w:val="282"/>
        </w:trPr>
        <w:tc>
          <w:tcPr>
            <w:tcW w:w="5245" w:type="dxa"/>
          </w:tcPr>
          <w:p w:rsidR="00AC41E9" w:rsidRPr="00BB63D8" w:rsidRDefault="00AC41E9" w:rsidP="000D4D79">
            <w:pPr>
              <w:pStyle w:val="TableParagraph"/>
              <w:rPr>
                <w:sz w:val="18"/>
              </w:rPr>
            </w:pPr>
            <w:r w:rsidRPr="00BB63D8">
              <w:rPr>
                <w:sz w:val="18"/>
              </w:rPr>
              <w:t>St. Gregor Kinder-, Jugend- und Familienhilfe gGmbH</w:t>
            </w:r>
          </w:p>
        </w:tc>
      </w:tr>
      <w:tr w:rsidR="00AC41E9" w:rsidTr="007946D8">
        <w:trPr>
          <w:trHeight w:val="285"/>
        </w:trPr>
        <w:tc>
          <w:tcPr>
            <w:tcW w:w="5245" w:type="dxa"/>
          </w:tcPr>
          <w:p w:rsidR="00AC41E9" w:rsidRPr="00BB63D8" w:rsidRDefault="00AC41E9" w:rsidP="000D4D79">
            <w:pPr>
              <w:pStyle w:val="TableParagraph"/>
              <w:rPr>
                <w:sz w:val="18"/>
              </w:rPr>
            </w:pPr>
            <w:r w:rsidRPr="00BB63D8">
              <w:rPr>
                <w:sz w:val="18"/>
              </w:rPr>
              <w:t>Stadt Amberg Jugendamt</w:t>
            </w:r>
          </w:p>
        </w:tc>
      </w:tr>
      <w:tr w:rsidR="00AC41E9" w:rsidTr="007946D8">
        <w:trPr>
          <w:trHeight w:val="282"/>
        </w:trPr>
        <w:tc>
          <w:tcPr>
            <w:tcW w:w="5245" w:type="dxa"/>
          </w:tcPr>
          <w:p w:rsidR="00AC41E9" w:rsidRPr="00BB63D8" w:rsidRDefault="00AC41E9" w:rsidP="000D4D79">
            <w:pPr>
              <w:pStyle w:val="TableParagraph"/>
              <w:rPr>
                <w:sz w:val="18"/>
              </w:rPr>
            </w:pPr>
            <w:r w:rsidRPr="00BB63D8">
              <w:rPr>
                <w:sz w:val="18"/>
              </w:rPr>
              <w:t>Stadt Kempten (Allgäu) Stadtjugendamt</w:t>
            </w:r>
          </w:p>
        </w:tc>
      </w:tr>
      <w:tr w:rsidR="00AC41E9" w:rsidTr="007946D8">
        <w:trPr>
          <w:trHeight w:val="285"/>
        </w:trPr>
        <w:tc>
          <w:tcPr>
            <w:tcW w:w="5245" w:type="dxa"/>
          </w:tcPr>
          <w:p w:rsidR="00AC41E9" w:rsidRPr="00BB63D8" w:rsidRDefault="00BB63D8" w:rsidP="000D4D79">
            <w:pPr>
              <w:pStyle w:val="TableParagraph"/>
              <w:rPr>
                <w:sz w:val="18"/>
              </w:rPr>
            </w:pPr>
            <w:r w:rsidRPr="00BB63D8">
              <w:rPr>
                <w:sz w:val="18"/>
              </w:rPr>
              <w:t>Stadt Regensburg –</w:t>
            </w:r>
            <w:r w:rsidR="00AC41E9" w:rsidRPr="00BB63D8">
              <w:rPr>
                <w:sz w:val="18"/>
              </w:rPr>
              <w:t xml:space="preserve"> Amt für Jugend und Familie</w:t>
            </w:r>
          </w:p>
        </w:tc>
      </w:tr>
      <w:tr w:rsidR="00AC41E9" w:rsidTr="007946D8">
        <w:trPr>
          <w:trHeight w:val="282"/>
        </w:trPr>
        <w:tc>
          <w:tcPr>
            <w:tcW w:w="5245" w:type="dxa"/>
          </w:tcPr>
          <w:p w:rsidR="00AC41E9" w:rsidRPr="00BB63D8" w:rsidRDefault="00AC41E9" w:rsidP="000D4D79">
            <w:pPr>
              <w:pStyle w:val="TableParagraph"/>
              <w:rPr>
                <w:sz w:val="18"/>
              </w:rPr>
            </w:pPr>
            <w:r w:rsidRPr="00BB63D8">
              <w:rPr>
                <w:sz w:val="18"/>
              </w:rPr>
              <w:t>Stadt Schweinfurt</w:t>
            </w:r>
          </w:p>
        </w:tc>
      </w:tr>
      <w:tr w:rsidR="00AC41E9" w:rsidTr="007946D8">
        <w:trPr>
          <w:trHeight w:val="285"/>
        </w:trPr>
        <w:tc>
          <w:tcPr>
            <w:tcW w:w="5245" w:type="dxa"/>
          </w:tcPr>
          <w:p w:rsidR="00AC41E9" w:rsidRPr="00BB63D8" w:rsidRDefault="00AC41E9" w:rsidP="000D4D79">
            <w:pPr>
              <w:pStyle w:val="TableParagraph"/>
              <w:rPr>
                <w:sz w:val="18"/>
              </w:rPr>
            </w:pPr>
            <w:r w:rsidRPr="00BB63D8">
              <w:rPr>
                <w:sz w:val="18"/>
              </w:rPr>
              <w:t>Stadt Würzburg</w:t>
            </w:r>
          </w:p>
        </w:tc>
      </w:tr>
    </w:tbl>
    <w:p w:rsidR="00230E2B" w:rsidRDefault="00230E2B" w:rsidP="00AC41E9">
      <w:pPr>
        <w:pStyle w:val="LTAntwortRessortText"/>
        <w:ind w:left="0"/>
      </w:pPr>
    </w:p>
    <w:p w:rsidR="00230E2B" w:rsidRDefault="00230E2B" w:rsidP="00230E2B">
      <w:pPr>
        <w:pStyle w:val="LTAntwortRessortText"/>
      </w:pPr>
      <w:r>
        <w:t>Die Aufteilung nach Regierungsbezirken ergibt sich aus der nachfolgenden</w:t>
      </w:r>
      <w:r w:rsidR="00AC41E9">
        <w:t xml:space="preserve"> </w:t>
      </w:r>
      <w:r>
        <w:t>Übersicht. Da die Förderung der JaS an einem Einsatzort</w:t>
      </w:r>
      <w:r w:rsidR="00AC41E9">
        <w:t xml:space="preserve"> </w:t>
      </w:r>
      <w:r>
        <w:t xml:space="preserve">(Schule) ab einem Stellenumfang von 0,5 </w:t>
      </w:r>
      <w:r w:rsidR="00BB63D8">
        <w:t>Vollzeitäquivalent (</w:t>
      </w:r>
      <w:r>
        <w:t>VZÄ</w:t>
      </w:r>
      <w:r w:rsidR="00BB63D8">
        <w:t>)</w:t>
      </w:r>
      <w:r>
        <w:t xml:space="preserve"> möglich ist, wurden</w:t>
      </w:r>
      <w:r w:rsidR="00AC41E9">
        <w:t xml:space="preserve"> </w:t>
      </w:r>
      <w:r>
        <w:t>auch die Einsatzorte angegeben (eine regionale Differenzierung nach</w:t>
      </w:r>
      <w:r w:rsidR="00AC41E9">
        <w:t xml:space="preserve"> </w:t>
      </w:r>
      <w:r>
        <w:t>Landkreisen ist in der Kürze der Zeit nicht möglich).</w:t>
      </w:r>
    </w:p>
    <w:p w:rsidR="00AC41E9" w:rsidRPr="00BB63D8" w:rsidRDefault="00AC41E9" w:rsidP="00BB63D8">
      <w:pPr>
        <w:pStyle w:val="berschrift1"/>
        <w:spacing w:after="55"/>
        <w:ind w:left="0"/>
        <w:rPr>
          <w:sz w:val="18"/>
          <w:szCs w:val="18"/>
          <w:u w:val="none"/>
        </w:rPr>
      </w:pPr>
    </w:p>
    <w:tbl>
      <w:tblPr>
        <w:tblStyle w:val="TableNormal"/>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5"/>
        <w:gridCol w:w="2161"/>
        <w:gridCol w:w="1134"/>
      </w:tblGrid>
      <w:tr w:rsidR="00AC41E9" w:rsidRPr="00BB63D8" w:rsidTr="00BB63D8">
        <w:trPr>
          <w:trHeight w:val="311"/>
        </w:trPr>
        <w:tc>
          <w:tcPr>
            <w:tcW w:w="2445" w:type="dxa"/>
            <w:tcBorders>
              <w:top w:val="single" w:sz="12" w:space="0" w:color="auto"/>
              <w:bottom w:val="single" w:sz="12" w:space="0" w:color="auto"/>
            </w:tcBorders>
            <w:vAlign w:val="center"/>
          </w:tcPr>
          <w:p w:rsidR="00AC41E9" w:rsidRPr="00BB63D8" w:rsidRDefault="00AC41E9" w:rsidP="00BB63D8">
            <w:pPr>
              <w:pStyle w:val="TableParagraph"/>
              <w:spacing w:line="286" w:lineRule="exact"/>
              <w:ind w:left="33" w:right="381"/>
              <w:jc w:val="center"/>
              <w:rPr>
                <w:b/>
                <w:sz w:val="18"/>
              </w:rPr>
            </w:pPr>
            <w:r w:rsidRPr="00BB63D8">
              <w:rPr>
                <w:b/>
                <w:sz w:val="18"/>
              </w:rPr>
              <w:t>Regierungsbezirk</w:t>
            </w:r>
          </w:p>
        </w:tc>
        <w:tc>
          <w:tcPr>
            <w:tcW w:w="2161" w:type="dxa"/>
            <w:tcBorders>
              <w:top w:val="single" w:sz="12" w:space="0" w:color="auto"/>
              <w:bottom w:val="single" w:sz="12" w:space="0" w:color="auto"/>
            </w:tcBorders>
            <w:vAlign w:val="center"/>
          </w:tcPr>
          <w:p w:rsidR="00AC41E9" w:rsidRPr="00BB63D8" w:rsidRDefault="00BB63D8" w:rsidP="00BB63D8">
            <w:pPr>
              <w:pStyle w:val="TableParagraph"/>
              <w:spacing w:line="286" w:lineRule="exact"/>
              <w:ind w:left="381" w:right="306"/>
              <w:jc w:val="center"/>
              <w:rPr>
                <w:b/>
                <w:sz w:val="18"/>
              </w:rPr>
            </w:pPr>
            <w:r>
              <w:rPr>
                <w:b/>
                <w:sz w:val="18"/>
                <w:szCs w:val="18"/>
              </w:rPr>
              <w:t>JaS-Einsatz</w:t>
            </w:r>
            <w:r w:rsidR="00AC41E9" w:rsidRPr="00BB63D8">
              <w:rPr>
                <w:b/>
                <w:sz w:val="18"/>
              </w:rPr>
              <w:t>orte</w:t>
            </w:r>
          </w:p>
        </w:tc>
        <w:tc>
          <w:tcPr>
            <w:tcW w:w="1134" w:type="dxa"/>
            <w:tcBorders>
              <w:top w:val="single" w:sz="12" w:space="0" w:color="auto"/>
              <w:bottom w:val="single" w:sz="12" w:space="0" w:color="auto"/>
            </w:tcBorders>
            <w:vAlign w:val="center"/>
          </w:tcPr>
          <w:p w:rsidR="00AC41E9" w:rsidRPr="00BB63D8" w:rsidRDefault="00AC41E9" w:rsidP="00BB63D8">
            <w:pPr>
              <w:pStyle w:val="TableParagraph"/>
              <w:spacing w:line="286" w:lineRule="exact"/>
              <w:ind w:left="311" w:right="31"/>
              <w:rPr>
                <w:b/>
                <w:sz w:val="18"/>
              </w:rPr>
            </w:pPr>
            <w:r w:rsidRPr="00BB63D8">
              <w:rPr>
                <w:b/>
                <w:sz w:val="18"/>
              </w:rPr>
              <w:t>Stellen (VZÄ)</w:t>
            </w:r>
          </w:p>
        </w:tc>
      </w:tr>
      <w:tr w:rsidR="00AC41E9" w:rsidRPr="00BB63D8" w:rsidTr="00BB63D8">
        <w:trPr>
          <w:trHeight w:val="341"/>
        </w:trPr>
        <w:tc>
          <w:tcPr>
            <w:tcW w:w="2445" w:type="dxa"/>
            <w:tcBorders>
              <w:top w:val="single" w:sz="12" w:space="0" w:color="auto"/>
            </w:tcBorders>
            <w:vAlign w:val="center"/>
          </w:tcPr>
          <w:p w:rsidR="00AC41E9" w:rsidRPr="00BB63D8" w:rsidRDefault="00AC41E9" w:rsidP="00BB63D8">
            <w:pPr>
              <w:pStyle w:val="TableParagraph"/>
              <w:spacing w:line="317" w:lineRule="exact"/>
              <w:ind w:left="33" w:right="380"/>
              <w:jc w:val="center"/>
              <w:rPr>
                <w:sz w:val="18"/>
              </w:rPr>
            </w:pPr>
            <w:r w:rsidRPr="00BB63D8">
              <w:rPr>
                <w:sz w:val="18"/>
              </w:rPr>
              <w:t>Oberbayern</w:t>
            </w:r>
          </w:p>
        </w:tc>
        <w:tc>
          <w:tcPr>
            <w:tcW w:w="2161" w:type="dxa"/>
            <w:tcBorders>
              <w:top w:val="single" w:sz="12" w:space="0" w:color="auto"/>
            </w:tcBorders>
            <w:vAlign w:val="center"/>
          </w:tcPr>
          <w:p w:rsidR="00AC41E9" w:rsidRPr="00BB63D8" w:rsidRDefault="00AC41E9" w:rsidP="00BB63D8">
            <w:pPr>
              <w:pStyle w:val="TableParagraph"/>
              <w:spacing w:line="317" w:lineRule="exact"/>
              <w:ind w:left="381" w:right="307"/>
              <w:jc w:val="center"/>
              <w:rPr>
                <w:sz w:val="18"/>
              </w:rPr>
            </w:pPr>
            <w:r w:rsidRPr="00BB63D8">
              <w:rPr>
                <w:sz w:val="18"/>
              </w:rPr>
              <w:t>374</w:t>
            </w:r>
          </w:p>
        </w:tc>
        <w:tc>
          <w:tcPr>
            <w:tcW w:w="1134" w:type="dxa"/>
            <w:tcBorders>
              <w:top w:val="single" w:sz="12" w:space="0" w:color="auto"/>
            </w:tcBorders>
            <w:vAlign w:val="center"/>
          </w:tcPr>
          <w:p w:rsidR="00AC41E9" w:rsidRPr="00BB63D8" w:rsidRDefault="00AC41E9" w:rsidP="00BB63D8">
            <w:pPr>
              <w:pStyle w:val="TableParagraph"/>
              <w:spacing w:line="317" w:lineRule="exact"/>
              <w:ind w:left="309" w:right="31"/>
              <w:rPr>
                <w:sz w:val="18"/>
              </w:rPr>
            </w:pPr>
            <w:r w:rsidRPr="00BB63D8">
              <w:rPr>
                <w:sz w:val="18"/>
              </w:rPr>
              <w:t>295</w:t>
            </w:r>
          </w:p>
        </w:tc>
      </w:tr>
      <w:tr w:rsidR="00AC41E9" w:rsidRPr="00BB63D8" w:rsidTr="00BB63D8">
        <w:trPr>
          <w:trHeight w:val="341"/>
        </w:trPr>
        <w:tc>
          <w:tcPr>
            <w:tcW w:w="2445" w:type="dxa"/>
            <w:vAlign w:val="center"/>
          </w:tcPr>
          <w:p w:rsidR="00AC41E9" w:rsidRPr="00BB63D8" w:rsidRDefault="00AC41E9" w:rsidP="00BB63D8">
            <w:pPr>
              <w:pStyle w:val="TableParagraph"/>
              <w:spacing w:line="316" w:lineRule="exact"/>
              <w:ind w:left="33" w:right="380"/>
              <w:jc w:val="center"/>
              <w:rPr>
                <w:sz w:val="18"/>
              </w:rPr>
            </w:pPr>
            <w:r w:rsidRPr="00BB63D8">
              <w:rPr>
                <w:sz w:val="18"/>
              </w:rPr>
              <w:t>Niederbayern</w:t>
            </w:r>
          </w:p>
        </w:tc>
        <w:tc>
          <w:tcPr>
            <w:tcW w:w="2161" w:type="dxa"/>
            <w:vAlign w:val="center"/>
          </w:tcPr>
          <w:p w:rsidR="00AC41E9" w:rsidRPr="00BB63D8" w:rsidRDefault="00AC41E9" w:rsidP="00BB63D8">
            <w:pPr>
              <w:pStyle w:val="TableParagraph"/>
              <w:spacing w:line="316" w:lineRule="exact"/>
              <w:ind w:left="381" w:right="307"/>
              <w:jc w:val="center"/>
              <w:rPr>
                <w:sz w:val="18"/>
              </w:rPr>
            </w:pPr>
            <w:r w:rsidRPr="00BB63D8">
              <w:rPr>
                <w:sz w:val="18"/>
              </w:rPr>
              <w:t>171</w:t>
            </w:r>
          </w:p>
        </w:tc>
        <w:tc>
          <w:tcPr>
            <w:tcW w:w="1134" w:type="dxa"/>
            <w:vAlign w:val="center"/>
          </w:tcPr>
          <w:p w:rsidR="00AC41E9" w:rsidRPr="00BB63D8" w:rsidRDefault="00AC41E9" w:rsidP="00BB63D8">
            <w:pPr>
              <w:pStyle w:val="TableParagraph"/>
              <w:spacing w:line="316" w:lineRule="exact"/>
              <w:ind w:left="309" w:right="31"/>
              <w:rPr>
                <w:sz w:val="18"/>
              </w:rPr>
            </w:pPr>
            <w:r w:rsidRPr="00BB63D8">
              <w:rPr>
                <w:sz w:val="18"/>
              </w:rPr>
              <w:t>119</w:t>
            </w:r>
          </w:p>
        </w:tc>
      </w:tr>
      <w:tr w:rsidR="00AC41E9" w:rsidRPr="00BB63D8" w:rsidTr="00BB63D8">
        <w:trPr>
          <w:trHeight w:val="341"/>
        </w:trPr>
        <w:tc>
          <w:tcPr>
            <w:tcW w:w="2445" w:type="dxa"/>
            <w:vAlign w:val="center"/>
          </w:tcPr>
          <w:p w:rsidR="00AC41E9" w:rsidRPr="00BB63D8" w:rsidRDefault="00AC41E9" w:rsidP="00BB63D8">
            <w:pPr>
              <w:pStyle w:val="TableParagraph"/>
              <w:spacing w:line="317" w:lineRule="exact"/>
              <w:ind w:left="33" w:right="381"/>
              <w:jc w:val="center"/>
              <w:rPr>
                <w:sz w:val="18"/>
              </w:rPr>
            </w:pPr>
            <w:r w:rsidRPr="00BB63D8">
              <w:rPr>
                <w:sz w:val="18"/>
              </w:rPr>
              <w:t>Oberpfalz</w:t>
            </w:r>
          </w:p>
        </w:tc>
        <w:tc>
          <w:tcPr>
            <w:tcW w:w="2161" w:type="dxa"/>
            <w:vAlign w:val="center"/>
          </w:tcPr>
          <w:p w:rsidR="00AC41E9" w:rsidRPr="00BB63D8" w:rsidRDefault="00AC41E9" w:rsidP="00BB63D8">
            <w:pPr>
              <w:pStyle w:val="TableParagraph"/>
              <w:spacing w:line="317" w:lineRule="exact"/>
              <w:ind w:left="381" w:right="307"/>
              <w:jc w:val="center"/>
              <w:rPr>
                <w:sz w:val="18"/>
              </w:rPr>
            </w:pPr>
            <w:r w:rsidRPr="00BB63D8">
              <w:rPr>
                <w:sz w:val="18"/>
              </w:rPr>
              <w:t>181</w:t>
            </w:r>
          </w:p>
        </w:tc>
        <w:tc>
          <w:tcPr>
            <w:tcW w:w="1134" w:type="dxa"/>
            <w:vAlign w:val="center"/>
          </w:tcPr>
          <w:p w:rsidR="00AC41E9" w:rsidRPr="00BB63D8" w:rsidRDefault="00AC41E9" w:rsidP="00BB63D8">
            <w:pPr>
              <w:pStyle w:val="TableParagraph"/>
              <w:spacing w:line="317" w:lineRule="exact"/>
              <w:ind w:left="309" w:right="31"/>
              <w:rPr>
                <w:sz w:val="18"/>
              </w:rPr>
            </w:pPr>
            <w:r w:rsidRPr="00BB63D8">
              <w:rPr>
                <w:sz w:val="18"/>
              </w:rPr>
              <w:t>161</w:t>
            </w:r>
          </w:p>
        </w:tc>
      </w:tr>
      <w:tr w:rsidR="00AC41E9" w:rsidRPr="00BB63D8" w:rsidTr="00BB63D8">
        <w:trPr>
          <w:trHeight w:val="340"/>
        </w:trPr>
        <w:tc>
          <w:tcPr>
            <w:tcW w:w="2445" w:type="dxa"/>
            <w:vAlign w:val="center"/>
          </w:tcPr>
          <w:p w:rsidR="00AC41E9" w:rsidRPr="00BB63D8" w:rsidRDefault="00AC41E9" w:rsidP="00BB63D8">
            <w:pPr>
              <w:pStyle w:val="TableParagraph"/>
              <w:spacing w:line="316" w:lineRule="exact"/>
              <w:ind w:left="33" w:right="380"/>
              <w:jc w:val="center"/>
              <w:rPr>
                <w:sz w:val="18"/>
              </w:rPr>
            </w:pPr>
            <w:r w:rsidRPr="00BB63D8">
              <w:rPr>
                <w:sz w:val="18"/>
              </w:rPr>
              <w:t>Oberfranken</w:t>
            </w:r>
          </w:p>
        </w:tc>
        <w:tc>
          <w:tcPr>
            <w:tcW w:w="2161" w:type="dxa"/>
            <w:vAlign w:val="center"/>
          </w:tcPr>
          <w:p w:rsidR="00AC41E9" w:rsidRPr="00BB63D8" w:rsidRDefault="00AC41E9" w:rsidP="00BB63D8">
            <w:pPr>
              <w:pStyle w:val="TableParagraph"/>
              <w:spacing w:line="316" w:lineRule="exact"/>
              <w:ind w:left="381" w:right="307"/>
              <w:jc w:val="center"/>
              <w:rPr>
                <w:sz w:val="18"/>
              </w:rPr>
            </w:pPr>
            <w:r w:rsidRPr="00BB63D8">
              <w:rPr>
                <w:sz w:val="18"/>
              </w:rPr>
              <w:t>148</w:t>
            </w:r>
          </w:p>
        </w:tc>
        <w:tc>
          <w:tcPr>
            <w:tcW w:w="1134" w:type="dxa"/>
            <w:vAlign w:val="center"/>
          </w:tcPr>
          <w:p w:rsidR="00AC41E9" w:rsidRPr="00BB63D8" w:rsidRDefault="00AC41E9" w:rsidP="00BB63D8">
            <w:pPr>
              <w:pStyle w:val="TableParagraph"/>
              <w:spacing w:line="316" w:lineRule="exact"/>
              <w:ind w:left="309" w:right="31"/>
              <w:rPr>
                <w:sz w:val="18"/>
              </w:rPr>
            </w:pPr>
            <w:r w:rsidRPr="00BB63D8">
              <w:rPr>
                <w:sz w:val="18"/>
              </w:rPr>
              <w:t>107</w:t>
            </w:r>
          </w:p>
        </w:tc>
      </w:tr>
      <w:tr w:rsidR="00AC41E9" w:rsidRPr="00BB63D8" w:rsidTr="00BB63D8">
        <w:trPr>
          <w:trHeight w:val="341"/>
        </w:trPr>
        <w:tc>
          <w:tcPr>
            <w:tcW w:w="2445" w:type="dxa"/>
            <w:vAlign w:val="center"/>
          </w:tcPr>
          <w:p w:rsidR="00AC41E9" w:rsidRPr="00BB63D8" w:rsidRDefault="00AC41E9" w:rsidP="00BB63D8">
            <w:pPr>
              <w:pStyle w:val="TableParagraph"/>
              <w:spacing w:line="316" w:lineRule="exact"/>
              <w:ind w:left="33" w:right="378"/>
              <w:jc w:val="center"/>
              <w:rPr>
                <w:sz w:val="18"/>
              </w:rPr>
            </w:pPr>
            <w:r w:rsidRPr="00BB63D8">
              <w:rPr>
                <w:sz w:val="18"/>
              </w:rPr>
              <w:t>Mittelfranken</w:t>
            </w:r>
          </w:p>
        </w:tc>
        <w:tc>
          <w:tcPr>
            <w:tcW w:w="2161" w:type="dxa"/>
            <w:vAlign w:val="center"/>
          </w:tcPr>
          <w:p w:rsidR="00AC41E9" w:rsidRPr="00BB63D8" w:rsidRDefault="00AC41E9" w:rsidP="00BB63D8">
            <w:pPr>
              <w:pStyle w:val="TableParagraph"/>
              <w:spacing w:line="316" w:lineRule="exact"/>
              <w:ind w:left="381" w:right="307"/>
              <w:jc w:val="center"/>
              <w:rPr>
                <w:sz w:val="18"/>
              </w:rPr>
            </w:pPr>
            <w:r w:rsidRPr="00BB63D8">
              <w:rPr>
                <w:sz w:val="18"/>
              </w:rPr>
              <w:t>174</w:t>
            </w:r>
          </w:p>
        </w:tc>
        <w:tc>
          <w:tcPr>
            <w:tcW w:w="1134" w:type="dxa"/>
            <w:vAlign w:val="center"/>
          </w:tcPr>
          <w:p w:rsidR="00AC41E9" w:rsidRPr="00BB63D8" w:rsidRDefault="00AC41E9" w:rsidP="00BB63D8">
            <w:pPr>
              <w:pStyle w:val="TableParagraph"/>
              <w:spacing w:line="316" w:lineRule="exact"/>
              <w:ind w:left="309" w:right="31"/>
              <w:rPr>
                <w:sz w:val="18"/>
              </w:rPr>
            </w:pPr>
            <w:r w:rsidRPr="00BB63D8">
              <w:rPr>
                <w:sz w:val="18"/>
              </w:rPr>
              <w:t>141</w:t>
            </w:r>
          </w:p>
        </w:tc>
      </w:tr>
      <w:tr w:rsidR="00AC41E9" w:rsidRPr="00BB63D8" w:rsidTr="00BB63D8">
        <w:trPr>
          <w:trHeight w:val="341"/>
        </w:trPr>
        <w:tc>
          <w:tcPr>
            <w:tcW w:w="2445" w:type="dxa"/>
            <w:vAlign w:val="center"/>
          </w:tcPr>
          <w:p w:rsidR="00AC41E9" w:rsidRPr="00BB63D8" w:rsidRDefault="00AC41E9" w:rsidP="00BB63D8">
            <w:pPr>
              <w:pStyle w:val="TableParagraph"/>
              <w:spacing w:line="317" w:lineRule="exact"/>
              <w:ind w:left="32" w:right="381"/>
              <w:jc w:val="center"/>
              <w:rPr>
                <w:sz w:val="18"/>
              </w:rPr>
            </w:pPr>
            <w:r w:rsidRPr="00BB63D8">
              <w:rPr>
                <w:sz w:val="18"/>
              </w:rPr>
              <w:t>Unterfranken</w:t>
            </w:r>
          </w:p>
        </w:tc>
        <w:tc>
          <w:tcPr>
            <w:tcW w:w="2161" w:type="dxa"/>
            <w:vAlign w:val="center"/>
          </w:tcPr>
          <w:p w:rsidR="00AC41E9" w:rsidRPr="00BB63D8" w:rsidRDefault="00AC41E9" w:rsidP="00BB63D8">
            <w:pPr>
              <w:pStyle w:val="TableParagraph"/>
              <w:spacing w:line="317" w:lineRule="exact"/>
              <w:ind w:left="381" w:right="307"/>
              <w:jc w:val="center"/>
              <w:rPr>
                <w:sz w:val="18"/>
              </w:rPr>
            </w:pPr>
            <w:r w:rsidRPr="00BB63D8">
              <w:rPr>
                <w:sz w:val="18"/>
              </w:rPr>
              <w:t>200</w:t>
            </w:r>
          </w:p>
        </w:tc>
        <w:tc>
          <w:tcPr>
            <w:tcW w:w="1134" w:type="dxa"/>
            <w:vAlign w:val="center"/>
          </w:tcPr>
          <w:p w:rsidR="00AC41E9" w:rsidRPr="00BB63D8" w:rsidRDefault="00AC41E9" w:rsidP="00BB63D8">
            <w:pPr>
              <w:pStyle w:val="TableParagraph"/>
              <w:spacing w:line="317" w:lineRule="exact"/>
              <w:ind w:left="309" w:right="31"/>
              <w:rPr>
                <w:sz w:val="18"/>
              </w:rPr>
            </w:pPr>
            <w:r w:rsidRPr="00BB63D8">
              <w:rPr>
                <w:sz w:val="18"/>
              </w:rPr>
              <w:t>133</w:t>
            </w:r>
          </w:p>
        </w:tc>
      </w:tr>
      <w:tr w:rsidR="00AC41E9" w:rsidRPr="00BB63D8" w:rsidTr="00BB63D8">
        <w:trPr>
          <w:trHeight w:val="341"/>
        </w:trPr>
        <w:tc>
          <w:tcPr>
            <w:tcW w:w="2445" w:type="dxa"/>
            <w:vAlign w:val="center"/>
          </w:tcPr>
          <w:p w:rsidR="00AC41E9" w:rsidRPr="00BB63D8" w:rsidRDefault="00AC41E9" w:rsidP="00BB63D8">
            <w:pPr>
              <w:pStyle w:val="TableParagraph"/>
              <w:spacing w:line="316" w:lineRule="exact"/>
              <w:ind w:left="32" w:right="381"/>
              <w:jc w:val="center"/>
              <w:rPr>
                <w:sz w:val="18"/>
              </w:rPr>
            </w:pPr>
            <w:r w:rsidRPr="00BB63D8">
              <w:rPr>
                <w:sz w:val="18"/>
              </w:rPr>
              <w:t>Schwaben</w:t>
            </w:r>
          </w:p>
        </w:tc>
        <w:tc>
          <w:tcPr>
            <w:tcW w:w="2161" w:type="dxa"/>
            <w:vAlign w:val="center"/>
          </w:tcPr>
          <w:p w:rsidR="00AC41E9" w:rsidRPr="00BB63D8" w:rsidRDefault="00AC41E9" w:rsidP="00BB63D8">
            <w:pPr>
              <w:pStyle w:val="TableParagraph"/>
              <w:spacing w:line="316" w:lineRule="exact"/>
              <w:ind w:left="381" w:right="307"/>
              <w:jc w:val="center"/>
              <w:rPr>
                <w:sz w:val="18"/>
              </w:rPr>
            </w:pPr>
            <w:r w:rsidRPr="00BB63D8">
              <w:rPr>
                <w:sz w:val="18"/>
              </w:rPr>
              <w:t>245</w:t>
            </w:r>
          </w:p>
        </w:tc>
        <w:tc>
          <w:tcPr>
            <w:tcW w:w="1134" w:type="dxa"/>
            <w:vAlign w:val="center"/>
          </w:tcPr>
          <w:p w:rsidR="00AC41E9" w:rsidRPr="00BB63D8" w:rsidRDefault="00AC41E9" w:rsidP="00BB63D8">
            <w:pPr>
              <w:pStyle w:val="TableParagraph"/>
              <w:spacing w:line="316" w:lineRule="exact"/>
              <w:ind w:left="309" w:right="31"/>
              <w:rPr>
                <w:sz w:val="18"/>
              </w:rPr>
            </w:pPr>
            <w:r w:rsidRPr="00BB63D8">
              <w:rPr>
                <w:sz w:val="18"/>
              </w:rPr>
              <w:t>176</w:t>
            </w:r>
          </w:p>
        </w:tc>
      </w:tr>
      <w:tr w:rsidR="00AC41E9" w:rsidRPr="00BB63D8" w:rsidTr="00BB63D8">
        <w:trPr>
          <w:trHeight w:val="311"/>
        </w:trPr>
        <w:tc>
          <w:tcPr>
            <w:tcW w:w="2445" w:type="dxa"/>
            <w:vAlign w:val="center"/>
          </w:tcPr>
          <w:p w:rsidR="00AC41E9" w:rsidRPr="00BB63D8" w:rsidRDefault="00AC41E9" w:rsidP="00BB63D8">
            <w:pPr>
              <w:pStyle w:val="TableParagraph"/>
              <w:spacing w:line="292" w:lineRule="exact"/>
              <w:ind w:left="33" w:right="378"/>
              <w:jc w:val="center"/>
              <w:rPr>
                <w:sz w:val="18"/>
              </w:rPr>
            </w:pPr>
            <w:r w:rsidRPr="00BB63D8">
              <w:rPr>
                <w:sz w:val="18"/>
              </w:rPr>
              <w:t>Bayern gesamt</w:t>
            </w:r>
          </w:p>
        </w:tc>
        <w:tc>
          <w:tcPr>
            <w:tcW w:w="2161" w:type="dxa"/>
            <w:vAlign w:val="center"/>
          </w:tcPr>
          <w:p w:rsidR="00AC41E9" w:rsidRPr="00BB63D8" w:rsidRDefault="00BB63D8" w:rsidP="00BB63D8">
            <w:pPr>
              <w:pStyle w:val="TableParagraph"/>
              <w:spacing w:line="292" w:lineRule="exact"/>
              <w:ind w:left="381" w:right="309"/>
              <w:jc w:val="center"/>
              <w:rPr>
                <w:sz w:val="18"/>
              </w:rPr>
            </w:pPr>
            <w:r>
              <w:rPr>
                <w:sz w:val="18"/>
              </w:rPr>
              <w:t>1 </w:t>
            </w:r>
            <w:r w:rsidR="00AC41E9" w:rsidRPr="00BB63D8">
              <w:rPr>
                <w:sz w:val="18"/>
              </w:rPr>
              <w:t>493</w:t>
            </w:r>
          </w:p>
        </w:tc>
        <w:tc>
          <w:tcPr>
            <w:tcW w:w="1134" w:type="dxa"/>
            <w:vAlign w:val="center"/>
          </w:tcPr>
          <w:p w:rsidR="00AC41E9" w:rsidRPr="00BB63D8" w:rsidRDefault="00BB63D8" w:rsidP="00BB63D8">
            <w:pPr>
              <w:pStyle w:val="TableParagraph"/>
              <w:spacing w:line="292" w:lineRule="exact"/>
              <w:ind w:left="311" w:right="31"/>
              <w:rPr>
                <w:sz w:val="18"/>
              </w:rPr>
            </w:pPr>
            <w:r>
              <w:rPr>
                <w:sz w:val="18"/>
              </w:rPr>
              <w:t>1 </w:t>
            </w:r>
            <w:r w:rsidR="00AC41E9" w:rsidRPr="00BB63D8">
              <w:rPr>
                <w:sz w:val="18"/>
              </w:rPr>
              <w:t>131</w:t>
            </w:r>
          </w:p>
        </w:tc>
      </w:tr>
    </w:tbl>
    <w:p w:rsidR="00230E2B" w:rsidRDefault="00230E2B" w:rsidP="00AC41E9">
      <w:pPr>
        <w:pStyle w:val="LTAntwortRessortText"/>
        <w:ind w:left="0"/>
      </w:pPr>
    </w:p>
    <w:p w:rsidR="00230E2B" w:rsidRDefault="00230E2B" w:rsidP="00230E2B">
      <w:pPr>
        <w:pStyle w:val="LTAntwortRessortText"/>
      </w:pPr>
      <w:r w:rsidRPr="00AC41E9">
        <w:rPr>
          <w:u w:val="single"/>
        </w:rPr>
        <w:t>Förderung der Erziehungsberatungsstellen</w:t>
      </w:r>
      <w:r>
        <w:t>: Die bisherige Förderung</w:t>
      </w:r>
      <w:r w:rsidR="00AC41E9">
        <w:t xml:space="preserve"> </w:t>
      </w:r>
      <w:r>
        <w:t>erfolgt seit 2006 im Wege einrichtungsbezogener Festbeträge (je Beratungsstelle).</w:t>
      </w:r>
      <w:r w:rsidR="00AC41E9">
        <w:t xml:space="preserve"> </w:t>
      </w:r>
      <w:r>
        <w:t>Über die konkrete Stellenbesetzung vor Ort bei einzelnen</w:t>
      </w:r>
      <w:r w:rsidR="00AC41E9">
        <w:t xml:space="preserve"> </w:t>
      </w:r>
      <w:r>
        <w:t>Trägern liegen der Staatsregierung daher keine Kenntnisse vor. Lediglich</w:t>
      </w:r>
      <w:r w:rsidR="00AC41E9">
        <w:t xml:space="preserve"> </w:t>
      </w:r>
      <w:r>
        <w:t>die neu bewilligten, förderfähigen Ste</w:t>
      </w:r>
      <w:r w:rsidR="00AC41E9">
        <w:t>llen werden durch die Zuwen</w:t>
      </w:r>
      <w:r>
        <w:t>dungsbehörden (Regierungen) gesondert erfasst. Bis Ende 2021 wurden</w:t>
      </w:r>
      <w:r w:rsidR="00AC41E9">
        <w:t xml:space="preserve"> </w:t>
      </w:r>
      <w:r>
        <w:t>durch die Zuwendungsbehörden bayernweit Bewilligungen für die</w:t>
      </w:r>
      <w:r w:rsidR="00AC41E9">
        <w:t xml:space="preserve"> </w:t>
      </w:r>
      <w:r>
        <w:t>Besetzung von 25 Stellen erteilt. Die meisten Träger von Erziehungsberatungsstellen</w:t>
      </w:r>
      <w:r w:rsidR="00AC41E9">
        <w:t xml:space="preserve"> </w:t>
      </w:r>
      <w:r>
        <w:t>befinden sich hinsichtlich des Ausbaues derzeit im</w:t>
      </w:r>
      <w:r w:rsidR="00AC41E9">
        <w:t xml:space="preserve"> </w:t>
      </w:r>
      <w:r>
        <w:t>Planungs- und Abstimmungsprozess mit den Kommunen. Der Schwerpunkt</w:t>
      </w:r>
      <w:r w:rsidR="00AC41E9">
        <w:t xml:space="preserve"> </w:t>
      </w:r>
      <w:r>
        <w:t>des weiteren Ausbaus der Erziehungsberatungsstellen wird für</w:t>
      </w:r>
      <w:r w:rsidR="00AC41E9">
        <w:t xml:space="preserve"> </w:t>
      </w:r>
      <w:r>
        <w:t>das Jahr 2022 erwartet.</w:t>
      </w:r>
    </w:p>
    <w:p w:rsidR="00230E2B" w:rsidRDefault="00230E2B">
      <w:bookmarkStart w:id="112" w:name="Frage_Nr_55_Ende"/>
      <w:bookmarkEnd w:id="1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230E2B" w:rsidTr="007B0B33">
        <w:tc>
          <w:tcPr>
            <w:tcW w:w="2050" w:type="dxa"/>
          </w:tcPr>
          <w:p w:rsidR="00230E2B" w:rsidRDefault="00230E2B" w:rsidP="00230E2B">
            <w:pPr>
              <w:pStyle w:val="LTAnfrageInitiator"/>
            </w:pPr>
            <w:r>
              <w:lastRenderedPageBreak/>
              <w:t>Abgeordnete</w:t>
            </w:r>
            <w:r>
              <w:rPr>
                <w:b/>
              </w:rPr>
              <w:br/>
              <w:t>Ruth</w:t>
            </w:r>
            <w:r>
              <w:rPr>
                <w:b/>
              </w:rPr>
              <w:br/>
              <w:t>Müller</w:t>
            </w:r>
            <w:r>
              <w:rPr>
                <w:b/>
              </w:rPr>
              <w:br/>
            </w:r>
            <w:r>
              <w:t>(SPD)</w:t>
            </w:r>
            <w:bookmarkStart w:id="113" w:name="Frage_Nr_56"/>
            <w:bookmarkEnd w:id="113"/>
          </w:p>
        </w:tc>
        <w:tc>
          <w:tcPr>
            <w:tcW w:w="7200" w:type="dxa"/>
          </w:tcPr>
          <w:p w:rsidR="00230E2B" w:rsidRDefault="00A903E1" w:rsidP="00230E2B">
            <w:pPr>
              <w:pStyle w:val="LTAnfrageText"/>
            </w:pPr>
            <w:r w:rsidRPr="00A903E1">
              <w:rPr>
                <w:szCs w:val="24"/>
              </w:rPr>
              <w:t>Nachdem in Kanada und den USA wissenschaftlich fundierte Fragebögen, die dabei helfen sollen</w:t>
            </w:r>
            <w:r w:rsidR="007946D8">
              <w:rPr>
                <w:szCs w:val="24"/>
              </w:rPr>
              <w:t>,</w:t>
            </w:r>
            <w:r w:rsidRPr="00A903E1">
              <w:rPr>
                <w:szCs w:val="24"/>
              </w:rPr>
              <w:t xml:space="preserve"> Frauen besser vor Gewalt zu schützen, entwickelt wurden und ODARA (Ontario Domestic Asssault Risk Assessment) als auch das Danger Asseessment (DA) von Campbell in anderen Bundesländern zum Teil bereits eingesetzt bzw. erprobt werden, frage ich die Staatsregierung, ob es Überlegungen gibt, diese Tools in Bayern einzusetzen, um Femizide zu verhindern und Frauen besser zu schützen, falls ja, bis wann ist mit der Einführung einer Erprobungsphase zu rechnen und falls nein, welche Gründe gegen die Nutzung eines wissenschaftlich fundierten Tools sprechen?</w:t>
            </w:r>
          </w:p>
        </w:tc>
      </w:tr>
    </w:tbl>
    <w:p w:rsidR="00230E2B" w:rsidRDefault="00230E2B" w:rsidP="00230E2B">
      <w:pPr>
        <w:pStyle w:val="LTUeberschrAntwortRessort"/>
      </w:pPr>
      <w:r>
        <w:t>Antwort des Staatsministeriums für Familie, Arbeit und Soziales</w:t>
      </w:r>
    </w:p>
    <w:p w:rsidR="00230E2B" w:rsidRDefault="00230E2B" w:rsidP="00230E2B">
      <w:pPr>
        <w:pStyle w:val="LTAntwortRessortText"/>
      </w:pPr>
      <w:r>
        <w:t>Der Schutz von Frauen vor Gewalt und die Verhinderung von Femiziden</w:t>
      </w:r>
      <w:r w:rsidR="00B67052">
        <w:t xml:space="preserve"> </w:t>
      </w:r>
      <w:r>
        <w:t>ist ein großes Anliegen der Staatsregierung. Daher unterstützt das</w:t>
      </w:r>
      <w:r w:rsidR="00B67052">
        <w:t xml:space="preserve"> </w:t>
      </w:r>
      <w:r>
        <w:t>Staatsministerium für Familie, Arbeit und Soziales (StMAS) das Frauenhilfesystem,</w:t>
      </w:r>
      <w:r w:rsidR="00B67052">
        <w:t xml:space="preserve"> </w:t>
      </w:r>
      <w:r>
        <w:t>das in Bayern im Wesentlichen aus Frauenhäusern,</w:t>
      </w:r>
      <w:r w:rsidR="00B67052">
        <w:t xml:space="preserve"> </w:t>
      </w:r>
      <w:r>
        <w:t>Fachberatungs- und Interventionsstellen besteht, durch staatliche Förderungen.</w:t>
      </w:r>
    </w:p>
    <w:p w:rsidR="00230E2B" w:rsidRDefault="00230E2B" w:rsidP="00230E2B">
      <w:pPr>
        <w:pStyle w:val="LTAntwortRessortText"/>
      </w:pPr>
      <w:r>
        <w:t>Aus Sicht des StMAS spricht grundsätzlich nichts gegen den Einsatz</w:t>
      </w:r>
      <w:r w:rsidR="00B67052">
        <w:t xml:space="preserve"> </w:t>
      </w:r>
      <w:r>
        <w:t>von wissenschaftlich fundierten Tools zur Risikoanalyse. Das StMAS</w:t>
      </w:r>
      <w:r w:rsidR="00B67052">
        <w:t xml:space="preserve"> </w:t>
      </w:r>
      <w:r>
        <w:t>wird im Rahmen der anstehenden Evaluation des Frauenhilfesystems</w:t>
      </w:r>
      <w:r w:rsidR="00B67052">
        <w:t xml:space="preserve"> </w:t>
      </w:r>
      <w:r>
        <w:t>und in enger Rückkopplung mit den Wohlfahrtsverbänden die Implementierung</w:t>
      </w:r>
      <w:r w:rsidR="00B67052">
        <w:t xml:space="preserve"> </w:t>
      </w:r>
      <w:r>
        <w:t>solcher Tools prüfen.</w:t>
      </w:r>
    </w:p>
    <w:p w:rsidR="00230E2B" w:rsidRDefault="00230E2B" w:rsidP="00230E2B">
      <w:pPr>
        <w:pStyle w:val="LTAntwortRessortText"/>
      </w:pPr>
      <w:r>
        <w:t>Ergänzend hierzu teilt das Staatsministerium des Innern, für Sport und</w:t>
      </w:r>
      <w:r w:rsidR="00B67052">
        <w:t xml:space="preserve"> </w:t>
      </w:r>
      <w:r>
        <w:t>Integration für den dortigen Zuständigkeitsbereich mit, dass bei der</w:t>
      </w:r>
      <w:r w:rsidR="00B67052">
        <w:t xml:space="preserve"> </w:t>
      </w:r>
      <w:r>
        <w:t>Bayerischen Polizei phänomenübergreifend ein Gefährdungsmanagement</w:t>
      </w:r>
      <w:r w:rsidR="00B67052">
        <w:t xml:space="preserve"> </w:t>
      </w:r>
      <w:r>
        <w:t>mit entsprechender Risikoanalyse bereits bewährte Praxis ist. So</w:t>
      </w:r>
      <w:r w:rsidR="00B67052">
        <w:t xml:space="preserve"> </w:t>
      </w:r>
      <w:r>
        <w:t>wird beispielsweise bei der Bearbeitung von Fällen häuslicher Gewalt</w:t>
      </w:r>
      <w:r w:rsidR="00B67052">
        <w:t xml:space="preserve"> </w:t>
      </w:r>
      <w:r>
        <w:t>bereits seit geraumer Zeit eine standardisierte Gefährdungslagebewertung,</w:t>
      </w:r>
      <w:r w:rsidR="00B67052">
        <w:t xml:space="preserve"> </w:t>
      </w:r>
      <w:r>
        <w:t>welche auf wissenschaftlicher Grundlage entwickelt wurde, durch</w:t>
      </w:r>
      <w:r w:rsidR="00B67052">
        <w:t xml:space="preserve"> </w:t>
      </w:r>
      <w:r>
        <w:t>die eingesetzten Beamten durchgeführt.</w:t>
      </w:r>
    </w:p>
    <w:p w:rsidR="00230E2B" w:rsidRDefault="00230E2B" w:rsidP="00230E2B">
      <w:pPr>
        <w:pStyle w:val="LTAntwortRessortText"/>
      </w:pPr>
      <w:r>
        <w:t>Darüber hinaus ist seit dem 30.11.2021 die bayernweite polizeiliche</w:t>
      </w:r>
      <w:r w:rsidR="00B67052">
        <w:t xml:space="preserve"> </w:t>
      </w:r>
      <w:r>
        <w:t>Rahmenkonzeption Risikoanalyse und -bewertung umgesetzt, welche</w:t>
      </w:r>
      <w:r w:rsidR="00B67052">
        <w:t xml:space="preserve"> </w:t>
      </w:r>
      <w:r>
        <w:t>einzelfallorientiert einen bayernweit einheitlichen Standard bei Risikoanalysen</w:t>
      </w:r>
      <w:r w:rsidR="00B67052">
        <w:t xml:space="preserve"> </w:t>
      </w:r>
      <w:r>
        <w:t>und -bewertungen gewährleistet.</w:t>
      </w:r>
    </w:p>
    <w:p w:rsidR="00230E2B" w:rsidRDefault="00230E2B" w:rsidP="00230E2B">
      <w:pPr>
        <w:pStyle w:val="LTAntwortRessortText"/>
      </w:pPr>
      <w:r>
        <w:t>Vor diesem Hintergrund bestehen speziell für den Bereich der Bayerischen</w:t>
      </w:r>
      <w:r w:rsidR="00B67052">
        <w:t xml:space="preserve"> </w:t>
      </w:r>
      <w:r>
        <w:t>Polizei derzeit keine konkreten Überlegungen für die Einführung</w:t>
      </w:r>
      <w:r w:rsidR="00B67052">
        <w:t xml:space="preserve"> </w:t>
      </w:r>
      <w:r>
        <w:t xml:space="preserve">bzw. Erprobung der </w:t>
      </w:r>
      <w:r w:rsidR="005508E8">
        <w:t>o. g.</w:t>
      </w:r>
      <w:r>
        <w:t xml:space="preserve"> Tool</w:t>
      </w:r>
      <w:r w:rsidR="005508E8">
        <w:t>Seite</w:t>
      </w:r>
      <w:r>
        <w:t xml:space="preserve"> Ungeachtet dessen beobachtet die</w:t>
      </w:r>
      <w:r w:rsidR="00B67052">
        <w:t xml:space="preserve"> </w:t>
      </w:r>
      <w:r>
        <w:t>Bayerische Polizei die Entwicklung entsprechender Methoden und</w:t>
      </w:r>
      <w:r w:rsidR="00B67052">
        <w:t xml:space="preserve"> </w:t>
      </w:r>
      <w:r>
        <w:t>Techniken generell sehr aufmerksam</w:t>
      </w:r>
      <w:r w:rsidR="00CD3A76">
        <w:t>.</w:t>
      </w:r>
    </w:p>
    <w:p w:rsidR="00230E2B" w:rsidRDefault="00230E2B">
      <w:bookmarkStart w:id="114" w:name="Frage_Nr_56_Ende"/>
      <w:bookmarkEnd w:id="1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230E2B" w:rsidTr="007B0B33">
        <w:tc>
          <w:tcPr>
            <w:tcW w:w="2050" w:type="dxa"/>
          </w:tcPr>
          <w:p w:rsidR="00230E2B" w:rsidRDefault="00230E2B" w:rsidP="00230E2B">
            <w:pPr>
              <w:pStyle w:val="LTAnfrageInitiator"/>
            </w:pPr>
            <w:r>
              <w:lastRenderedPageBreak/>
              <w:t>Abgeordnete</w:t>
            </w:r>
            <w:r>
              <w:rPr>
                <w:b/>
              </w:rPr>
              <w:br/>
              <w:t>Julika</w:t>
            </w:r>
            <w:r>
              <w:rPr>
                <w:b/>
              </w:rPr>
              <w:br/>
              <w:t>Sandt</w:t>
            </w:r>
            <w:r>
              <w:rPr>
                <w:b/>
              </w:rPr>
              <w:br/>
            </w:r>
            <w:r>
              <w:t>(FDP)</w:t>
            </w:r>
            <w:bookmarkStart w:id="115" w:name="Frage_Nr_57"/>
            <w:bookmarkEnd w:id="115"/>
          </w:p>
        </w:tc>
        <w:tc>
          <w:tcPr>
            <w:tcW w:w="7200" w:type="dxa"/>
          </w:tcPr>
          <w:p w:rsidR="00230E2B" w:rsidRDefault="00A903E1" w:rsidP="00230E2B">
            <w:pPr>
              <w:pStyle w:val="LTAnfrageText"/>
            </w:pPr>
            <w:r w:rsidRPr="00A903E1">
              <w:rPr>
                <w:szCs w:val="24"/>
              </w:rPr>
              <w:t>Ich frage die Staatsregierung, welche Erkenntnisse sie aus den Rückmeldungen von Erziehungsberatungsstellen und Jugendämtern, koordinierenden Kinderschutzstellen der Jugendämter (KoKi–Netzwerk frühe Kindheit) sowie der Bayerischen Kinderschutzambulanz u. ä. zu weiblicher Genitalverstümmelung (FGM) in Bayern in den vergangenen drei Jahren gewonnen hat (bitte thematisch auflisten), inwiefern diese Erkenntnisse bereits in die bestehende Strategie der Staatsregierung zum Gewaltschutz und zur Gewaltprävention eingeflossen sind (bitte unter Nennung der einzelnen Maßnahmen) und wie der Stand zur Umsetzung der vom Staatsministerium für Familie, Arbeit und Soziales geplanten Infrastruktur zur Prävention von weiblicher Genitalbeschneidung in Bayern zur Beratung, Vernetzung und Schulung, um Mädchen und Frauen in Bayern bedarfsorientiert und praxisnah zu schützen und Betroffenen professionell zu helfen (vgl. Drs. 18/12047, Antwort zu Frage 4.1 und 4.2), ist?</w:t>
            </w:r>
          </w:p>
        </w:tc>
      </w:tr>
    </w:tbl>
    <w:p w:rsidR="00230E2B" w:rsidRDefault="00230E2B" w:rsidP="00230E2B">
      <w:pPr>
        <w:pStyle w:val="LTUeberschrAntwortRessort"/>
      </w:pPr>
      <w:r>
        <w:t>Antwort des Staatsministeriums für Familie, Arbeit und Soziales</w:t>
      </w:r>
    </w:p>
    <w:p w:rsidR="00230E2B" w:rsidRDefault="00230E2B" w:rsidP="00230E2B">
      <w:pPr>
        <w:pStyle w:val="LTAntwortRessortText"/>
      </w:pPr>
      <w:r>
        <w:t>Um die Präventions- und Beratungsarbeit in Bayern im Bereich FGM</w:t>
      </w:r>
      <w:r w:rsidR="0019516B">
        <w:t xml:space="preserve"> </w:t>
      </w:r>
      <w:r>
        <w:t>(Female Genital Mutilation) zu unterstützen und auszubauen, hat die</w:t>
      </w:r>
      <w:r w:rsidR="0019516B">
        <w:t xml:space="preserve"> </w:t>
      </w:r>
      <w:r>
        <w:t>Staatsregierung als Teil der 3. Stufe des Bayerischen 3-Stufen-Plans</w:t>
      </w:r>
      <w:r w:rsidR="0019516B">
        <w:t xml:space="preserve"> </w:t>
      </w:r>
      <w:r>
        <w:t>zum Gewaltschutz und zur Gewaltprävention im Februar 2021 ein</w:t>
      </w:r>
      <w:r w:rsidR="0019516B">
        <w:t xml:space="preserve"> </w:t>
      </w:r>
      <w:r>
        <w:t>Netzwerk zur Unterstützung betroffener oder bedrohter Frauen und</w:t>
      </w:r>
      <w:r w:rsidR="0019516B">
        <w:t xml:space="preserve"> </w:t>
      </w:r>
      <w:r>
        <w:t>Mädchen ins Leben gerufen.</w:t>
      </w:r>
    </w:p>
    <w:p w:rsidR="00230E2B" w:rsidRDefault="00230E2B" w:rsidP="00230E2B">
      <w:pPr>
        <w:pStyle w:val="LTAntwortRessortText"/>
      </w:pPr>
      <w:r>
        <w:t>Hierzu haben sechs Projektträger sowie ein Träger zur Wissenschaftlichen</w:t>
      </w:r>
      <w:r w:rsidR="0019516B">
        <w:t xml:space="preserve"> </w:t>
      </w:r>
      <w:r>
        <w:t>Begleitung ihre Arbeit aufgenommen. Ziel von vier regional wirkenden</w:t>
      </w:r>
      <w:r w:rsidR="0019516B">
        <w:t xml:space="preserve"> </w:t>
      </w:r>
      <w:r>
        <w:t>Projekten ist es, aufsuchende, niedrigschwellige, präventive</w:t>
      </w:r>
      <w:r w:rsidR="0019516B">
        <w:t xml:space="preserve"> </w:t>
      </w:r>
      <w:r>
        <w:t>Beratung anzubieten sowie Runde Tische vor Ort aufzubauen. Darüber</w:t>
      </w:r>
      <w:r w:rsidR="0019516B">
        <w:t xml:space="preserve"> </w:t>
      </w:r>
      <w:r>
        <w:t>hinaus wird das soziale Umfeld der bedrohten oder betroffenen Frauen</w:t>
      </w:r>
      <w:r w:rsidR="0019516B">
        <w:t xml:space="preserve"> </w:t>
      </w:r>
      <w:r>
        <w:t>und Mädchen für das Thema sensibilisiert. Zwei weitere Projekte bieten</w:t>
      </w:r>
      <w:r w:rsidR="0019516B">
        <w:t xml:space="preserve"> </w:t>
      </w:r>
      <w:r>
        <w:t>Schulungsangebote für Multiplikatorinnen und Multiplikatoren sowie</w:t>
      </w:r>
      <w:r w:rsidR="0019516B">
        <w:t xml:space="preserve"> </w:t>
      </w:r>
      <w:r>
        <w:t>Fachveranstaltungen für Fachkräfte an.</w:t>
      </w:r>
    </w:p>
    <w:p w:rsidR="00230E2B" w:rsidRDefault="00230E2B" w:rsidP="00230E2B">
      <w:pPr>
        <w:pStyle w:val="LTAntwortRessortText"/>
      </w:pPr>
      <w:r>
        <w:t>Hilfsmöglichkeiten für Frauen und Mädchen im Landkreis München stellt</w:t>
      </w:r>
      <w:r w:rsidR="0019516B">
        <w:t xml:space="preserve"> </w:t>
      </w:r>
      <w:r>
        <w:t>der Träger IMMA e.</w:t>
      </w:r>
      <w:r w:rsidR="00176399">
        <w:t> </w:t>
      </w:r>
      <w:r>
        <w:t>V. zur Verfügung, in der Region Ingolstadt bietet Pro</w:t>
      </w:r>
      <w:r w:rsidR="0019516B">
        <w:t xml:space="preserve"> </w:t>
      </w:r>
      <w:r>
        <w:t>Familia Ingolstadt seine Unterstützung an. Im Landkreis Neu-Ulm die</w:t>
      </w:r>
      <w:r w:rsidR="0019516B">
        <w:t xml:space="preserve"> </w:t>
      </w:r>
      <w:r>
        <w:t>Gleichstellungsbeauftragte des Landkreises, der Diözesan-Caritasverband</w:t>
      </w:r>
      <w:r w:rsidR="0019516B">
        <w:t xml:space="preserve"> </w:t>
      </w:r>
      <w:r>
        <w:t>für die Diözese Regensburg e.</w:t>
      </w:r>
      <w:r w:rsidR="00176399">
        <w:t> </w:t>
      </w:r>
      <w:r>
        <w:t>V. steht in Regensburg und Landshut</w:t>
      </w:r>
      <w:r w:rsidR="0019516B">
        <w:t xml:space="preserve"> </w:t>
      </w:r>
      <w:r>
        <w:t>zur Verfügung. DONNA MOBILE AKA e.</w:t>
      </w:r>
      <w:r w:rsidR="00176399">
        <w:t> </w:t>
      </w:r>
      <w:r>
        <w:t>V. schult Multiplikatorinnen</w:t>
      </w:r>
      <w:r w:rsidR="0019516B">
        <w:t xml:space="preserve"> </w:t>
      </w:r>
      <w:r>
        <w:t>und Multiplikatoren aus den Communities, für Fachkräfte stehen die Angebote</w:t>
      </w:r>
      <w:r w:rsidR="0019516B">
        <w:t xml:space="preserve"> </w:t>
      </w:r>
      <w:r>
        <w:t>von IN VIA Bayern e.</w:t>
      </w:r>
      <w:r w:rsidR="00176399">
        <w:t> </w:t>
      </w:r>
      <w:r>
        <w:t>V. zur Verfügung.</w:t>
      </w:r>
    </w:p>
    <w:p w:rsidR="00230E2B" w:rsidRDefault="00230E2B" w:rsidP="00230E2B">
      <w:pPr>
        <w:pStyle w:val="LTAntwortRessortText"/>
      </w:pPr>
      <w:r>
        <w:t>Nach Start und Erprobungsphase im Jahr 2021 werden fünf der sechs</w:t>
      </w:r>
      <w:r w:rsidR="0019516B">
        <w:t xml:space="preserve"> </w:t>
      </w:r>
      <w:r>
        <w:t>Projekte konzeptionell unverändert fortgeführt, der Auftrag eines Trägers</w:t>
      </w:r>
      <w:r w:rsidR="0019516B">
        <w:t xml:space="preserve"> </w:t>
      </w:r>
      <w:r>
        <w:t>wurde erweitert. Die Fördervolumina konnten 2022 gegenüber</w:t>
      </w:r>
      <w:r w:rsidR="0019516B">
        <w:t xml:space="preserve"> </w:t>
      </w:r>
      <w:r>
        <w:t>2021 um ca. 50 Prozent erhöht werden.</w:t>
      </w:r>
    </w:p>
    <w:p w:rsidR="00230E2B" w:rsidRDefault="00230E2B" w:rsidP="00230E2B">
      <w:pPr>
        <w:pStyle w:val="LTAntwortRessortText"/>
      </w:pPr>
      <w:r>
        <w:t>Ihre Erkenntnisse gewinnt die Staatsregierung insbesondere aus dem</w:t>
      </w:r>
      <w:r w:rsidR="0019516B">
        <w:t xml:space="preserve"> </w:t>
      </w:r>
      <w:r>
        <w:t>Bereich ihrer Netzwerkpartner.</w:t>
      </w:r>
    </w:p>
    <w:p w:rsidR="00230E2B" w:rsidRDefault="00230E2B" w:rsidP="0019516B">
      <w:pPr>
        <w:pStyle w:val="LTAntwortRessortText"/>
        <w:spacing w:before="120"/>
      </w:pPr>
      <w:r>
        <w:t>Nach Mitteilung der Bayerischen Kinderschutzambulanz am Institut für</w:t>
      </w:r>
      <w:r w:rsidR="0019516B">
        <w:t xml:space="preserve"> </w:t>
      </w:r>
      <w:r>
        <w:t>Rechtsmedizin der Ludwig-Maximilians-Universität München, die vom</w:t>
      </w:r>
      <w:r w:rsidR="0019516B">
        <w:t xml:space="preserve"> </w:t>
      </w:r>
      <w:r>
        <w:t xml:space="preserve">Staatsministerium für </w:t>
      </w:r>
      <w:r>
        <w:lastRenderedPageBreak/>
        <w:t>Familie, Arbeit und Soziales seit 2011 im Rahmen</w:t>
      </w:r>
      <w:r w:rsidR="0019516B">
        <w:t xml:space="preserve"> </w:t>
      </w:r>
      <w:r>
        <w:t>des Bayerischen Gesamtkonzepts zum Kinderschutz gefördert</w:t>
      </w:r>
      <w:r w:rsidR="0019516B">
        <w:t xml:space="preserve"> </w:t>
      </w:r>
      <w:r>
        <w:t>wird, spielt die weibliche Genitalverstümmelung dort kaum eine Rolle.</w:t>
      </w:r>
    </w:p>
    <w:p w:rsidR="00230E2B" w:rsidRDefault="00230E2B" w:rsidP="00230E2B">
      <w:pPr>
        <w:pStyle w:val="LTAntwortRessortText"/>
      </w:pPr>
      <w:r>
        <w:t>Nach Durchsicht der dort erhobenen Daten aus den letzten Jahren</w:t>
      </w:r>
      <w:r w:rsidR="0019516B">
        <w:t xml:space="preserve"> </w:t>
      </w:r>
      <w:r>
        <w:t>(2018-2021) ergaben sich pro Jahr ca. 1 bis 2 Fälle, bei denen die</w:t>
      </w:r>
      <w:r w:rsidR="0019516B">
        <w:t xml:space="preserve"> </w:t>
      </w:r>
      <w:r>
        <w:t>Frage nach einer FGM (mit)gestellt wurde. Diese Kinder wurden jedoch</w:t>
      </w:r>
      <w:r w:rsidR="0019516B">
        <w:t xml:space="preserve"> </w:t>
      </w:r>
      <w:r>
        <w:t>primär zur Abklärung des Vorliegens von körperlicher oder sexueller</w:t>
      </w:r>
      <w:r w:rsidR="0019516B">
        <w:t xml:space="preserve"> </w:t>
      </w:r>
      <w:r>
        <w:t>Gewalt vorgestellt.</w:t>
      </w:r>
    </w:p>
    <w:p w:rsidR="00230E2B" w:rsidRDefault="00230E2B">
      <w:bookmarkStart w:id="116" w:name="Frage_Nr_57_Ende"/>
      <w:bookmarkEnd w:id="116"/>
      <w:r>
        <w:br w:type="page"/>
      </w:r>
    </w:p>
    <w:p w:rsidR="00230E2B" w:rsidRDefault="00230E2B" w:rsidP="00230E2B">
      <w:pPr>
        <w:pStyle w:val="LTUeberschrRessort"/>
      </w:pPr>
      <w:r>
        <w:lastRenderedPageBreak/>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7"/>
        <w:gridCol w:w="5799"/>
      </w:tblGrid>
      <w:tr w:rsidR="00230E2B" w:rsidTr="007B0B33">
        <w:tc>
          <w:tcPr>
            <w:tcW w:w="2050" w:type="dxa"/>
          </w:tcPr>
          <w:p w:rsidR="00230E2B" w:rsidRDefault="00230E2B" w:rsidP="00230E2B">
            <w:pPr>
              <w:pStyle w:val="LTAnfrageInitiator"/>
            </w:pPr>
            <w:r>
              <w:t>Abgeordnete</w:t>
            </w:r>
            <w:r>
              <w:rPr>
                <w:b/>
              </w:rPr>
              <w:br/>
              <w:t>Dr. Anne</w:t>
            </w:r>
            <w:r>
              <w:rPr>
                <w:b/>
              </w:rPr>
              <w:br/>
              <w:t>Cyron</w:t>
            </w:r>
            <w:r>
              <w:rPr>
                <w:b/>
              </w:rPr>
              <w:br/>
            </w:r>
            <w:r>
              <w:t>(AfD)</w:t>
            </w:r>
            <w:bookmarkStart w:id="117" w:name="Frage_Nr_58"/>
            <w:bookmarkEnd w:id="117"/>
          </w:p>
        </w:tc>
        <w:tc>
          <w:tcPr>
            <w:tcW w:w="7200" w:type="dxa"/>
          </w:tcPr>
          <w:p w:rsidR="00230E2B" w:rsidRDefault="006231DF" w:rsidP="00230E2B">
            <w:pPr>
              <w:pStyle w:val="LTAnfrageText"/>
            </w:pPr>
            <w:r w:rsidRPr="006231DF">
              <w:rPr>
                <w:szCs w:val="24"/>
              </w:rPr>
              <w:t>Ich frage die Staatsregierung, wie viele Hebammen und Entbindungspfleger sind in Bayern zum Stichtag 31.01.2022 tätig (bitte die Anzahl nach freiberuflicher Tätigkeit und Angestelltenverhältnis auflisten), wie viele Hebammen und Entbindungspfleger werden aufgrund dessen, dass sie nicht oder nicht ausreichend gegen Corona geimpft bzw. nicht genesen sind, ihren Beruf ab 15.03.2022 in Bayern nicht mehr ausüben können (bitte die Anzahl nach freiberuflicher Tätigkeit oder Angestelltenverhältnis auflisten) und wird es bei einem drohenden Notstand bei der Versorgung Ausnahmen geben, sodass im Bedarfsfall auch ungeimpfte oder nicht ausreichend geimpfte bzw. nicht genesene Hebammen und Entbindungshelfer die Versorgung von Schwangeren in Bayern gewährleisten können (bitte genau Versorgung von Schwangeren im Falle eines Notstands erläutern)?</w:t>
            </w:r>
          </w:p>
        </w:tc>
      </w:tr>
    </w:tbl>
    <w:p w:rsidR="00230E2B" w:rsidRDefault="00230E2B" w:rsidP="00230E2B">
      <w:pPr>
        <w:pStyle w:val="LTUeberschrAntwortRessort"/>
      </w:pPr>
      <w:r>
        <w:t>Antwort des Staatsministeriums für Gesundheit und Pflege</w:t>
      </w:r>
    </w:p>
    <w:p w:rsidR="00230E2B" w:rsidRDefault="00230E2B" w:rsidP="00230E2B">
      <w:pPr>
        <w:pStyle w:val="LTAntwortRessortText"/>
      </w:pPr>
      <w:r>
        <w:t xml:space="preserve">Dem </w:t>
      </w:r>
      <w:r w:rsidR="00ED10C3">
        <w:t>Staatsministerium für Gesundheit und Pflege (</w:t>
      </w:r>
      <w:r>
        <w:t>StMGP</w:t>
      </w:r>
      <w:r w:rsidR="00ED10C3">
        <w:t>)</w:t>
      </w:r>
      <w:r>
        <w:t xml:space="preserve"> liegen keine aktuellen Zahlen vor, wie viele Hebammen und Entbindungspfleger in</w:t>
      </w:r>
      <w:r w:rsidR="00E95646">
        <w:t xml:space="preserve"> </w:t>
      </w:r>
      <w:r>
        <w:t>Bayern zum Stichtag 31.01.2022 tätig sind. Daten zur Anzahl bzw. Art der Tätigkeit als selbständig</w:t>
      </w:r>
      <w:r w:rsidR="00E95646">
        <w:t xml:space="preserve"> </w:t>
      </w:r>
      <w:r>
        <w:t>oder angestellt müssen gesondert erhoben werden. Dies war aufgrund der außerordentlichen</w:t>
      </w:r>
      <w:r w:rsidR="00E95646">
        <w:t xml:space="preserve"> </w:t>
      </w:r>
      <w:r>
        <w:t xml:space="preserve">Belastung und Inanspruchnahme der Verwaltung durch die </w:t>
      </w:r>
      <w:r w:rsidR="005508E8">
        <w:t>Coronapandemie</w:t>
      </w:r>
      <w:r>
        <w:t xml:space="preserve"> seit deren Beginn</w:t>
      </w:r>
      <w:r w:rsidR="00E95646">
        <w:t xml:space="preserve"> </w:t>
      </w:r>
      <w:r>
        <w:t>nicht möglich. Nach einer vom Landesamt f</w:t>
      </w:r>
      <w:r w:rsidR="00E95646">
        <w:t>ür Pflege vor Beginn der Coronap</w:t>
      </w:r>
      <w:r>
        <w:t>andemie erfolgten Datenerhebung 2019 waren in Bayern 3</w:t>
      </w:r>
      <w:r w:rsidR="00ED10C3">
        <w:t> </w:t>
      </w:r>
      <w:r>
        <w:t>208 Hebammen und</w:t>
      </w:r>
      <w:r w:rsidR="00E95646">
        <w:t xml:space="preserve"> </w:t>
      </w:r>
      <w:r>
        <w:t>Entbindungspfleger selbständig tätig sowie 652 Hebammen und Entbindungspfleger im</w:t>
      </w:r>
      <w:r w:rsidR="00E95646">
        <w:t xml:space="preserve"> </w:t>
      </w:r>
      <w:r>
        <w:t>Krankenhaus fest angestellt.</w:t>
      </w:r>
    </w:p>
    <w:p w:rsidR="00230E2B" w:rsidRDefault="00230E2B" w:rsidP="00230E2B">
      <w:pPr>
        <w:pStyle w:val="LTAntwortRessortText"/>
      </w:pPr>
      <w:r>
        <w:t>Wie viele Hebammen und Entbindungspfleger aufgrund eines nicht ausreichenden Impfstatus</w:t>
      </w:r>
      <w:r w:rsidR="00E95646">
        <w:t xml:space="preserve"> </w:t>
      </w:r>
      <w:r>
        <w:t>g</w:t>
      </w:r>
      <w:r w:rsidR="00323F97">
        <w:t>egen das Coronavirus SARS-CoV-2</w:t>
      </w:r>
      <w:r>
        <w:t xml:space="preserve"> ihren Beruf ab 15.03.2022 in Bayern nicht mehr ausüben</w:t>
      </w:r>
      <w:r w:rsidR="00E95646">
        <w:t xml:space="preserve"> </w:t>
      </w:r>
      <w:r>
        <w:t>können werden, ist nicht bekannt. Insbesondere liegen dem StMGP keine Erkenntnisse über den</w:t>
      </w:r>
      <w:r w:rsidR="00E95646">
        <w:t xml:space="preserve"> </w:t>
      </w:r>
      <w:r>
        <w:t>derzeitigen Impfstatus der Hebammen vor.</w:t>
      </w:r>
    </w:p>
    <w:p w:rsidR="00230E2B" w:rsidRDefault="00230E2B" w:rsidP="00230E2B">
      <w:pPr>
        <w:pStyle w:val="LTAntwortRessortText"/>
      </w:pPr>
      <w:r>
        <w:t>Hebammen und Entbindungspfleger, die ihre Tätigkeit aktuell bereits ausführen oder bis zum</w:t>
      </w:r>
      <w:r w:rsidR="00E0072F">
        <w:t xml:space="preserve"> </w:t>
      </w:r>
      <w:r>
        <w:t>15.03.2022 aufnehmen, dürfen ihrer Tätigkeit auch nach diesem Stichtag weiterhin nachgehen. Es</w:t>
      </w:r>
      <w:r w:rsidR="00E0072F">
        <w:t xml:space="preserve"> </w:t>
      </w:r>
      <w:r>
        <w:t>besteht insoweit lediglich eine Meldepflicht gegenüber dem Gesundheitsamt, sofern sie der</w:t>
      </w:r>
      <w:r w:rsidR="00E0072F">
        <w:t xml:space="preserve"> </w:t>
      </w:r>
      <w:r>
        <w:t>jeweiligen Einrichtungs- oder Unternehmensleitung nicht bis zum Ablauf des 15.03.2022 einen</w:t>
      </w:r>
      <w:r w:rsidR="00E0072F">
        <w:t xml:space="preserve"> </w:t>
      </w:r>
      <w:r w:rsidR="00ED10C3">
        <w:t>Nachweis nach § 20a </w:t>
      </w:r>
      <w:r>
        <w:t>Ab</w:t>
      </w:r>
      <w:r w:rsidR="00ED10C3">
        <w:t>s. 2 Satz </w:t>
      </w:r>
      <w:r>
        <w:t>1 Infektionsschutzgesetz (IfSG) vorlegen (Impfnachweis,</w:t>
      </w:r>
      <w:r w:rsidR="00E0072F">
        <w:t xml:space="preserve"> </w:t>
      </w:r>
      <w:r>
        <w:t>Datei: 2022/33411/Anfrage zum Plenumg Hebammenversorgung</w:t>
      </w:r>
      <w:r w:rsidR="00E0072F">
        <w:t xml:space="preserve"> </w:t>
      </w:r>
      <w:r>
        <w:t>Druck: 03.02.2022 08:11</w:t>
      </w:r>
      <w:r w:rsidR="00E0072F">
        <w:t xml:space="preserve"> </w:t>
      </w:r>
      <w:r>
        <w:t>Genesenennachweis, ärztliches Zeugnis über das Vorliegen einer medizinischen Kontraindikation).</w:t>
      </w:r>
      <w:r w:rsidR="00E0072F">
        <w:t xml:space="preserve"> </w:t>
      </w:r>
      <w:r>
        <w:t>Bei freiberuflicher Tätigkeit obliegt die Meldeverpflichtung unmittelbar der Inhaberin oder dem</w:t>
      </w:r>
      <w:r w:rsidR="00E0072F">
        <w:t xml:space="preserve"> </w:t>
      </w:r>
      <w:r>
        <w:t>Inhaber. Lediglich sofern die Tätigkeit erst nach dem 15.03.2022 aufgenommen werden soll, greift</w:t>
      </w:r>
      <w:r w:rsidR="00E0072F">
        <w:t xml:space="preserve"> </w:t>
      </w:r>
      <w:r>
        <w:t>unmittelbar das gesetzliche Beschäftigungsverbot gemäß § 20a Ab</w:t>
      </w:r>
      <w:r w:rsidR="00ED10C3">
        <w:t>s.</w:t>
      </w:r>
      <w:r>
        <w:t xml:space="preserve"> 3 Satz 4 IfSG.</w:t>
      </w:r>
    </w:p>
    <w:p w:rsidR="00230E2B" w:rsidRDefault="00230E2B" w:rsidP="00230E2B">
      <w:pPr>
        <w:pStyle w:val="LTAntwortRessortText"/>
      </w:pPr>
      <w:r>
        <w:t>Die Meldung hat ein gestuftes Verwaltungsverfahren zur Folge, bevor die Gesundheitsämter im</w:t>
      </w:r>
      <w:r w:rsidR="00E0072F">
        <w:t xml:space="preserve"> </w:t>
      </w:r>
      <w:r>
        <w:t>Rahmen ihres pflichtgemäßen Ermessens und unter Berücksichtigung aller Umstände des</w:t>
      </w:r>
      <w:r w:rsidR="00E0072F">
        <w:t xml:space="preserve"> </w:t>
      </w:r>
      <w:r>
        <w:t>Einzelfalls (insb. der Versorgungssicherheit) ggf. ein Bußgeld bei Nichtvorlage von Nachweisen</w:t>
      </w:r>
      <w:r w:rsidR="00E0072F">
        <w:t xml:space="preserve"> </w:t>
      </w:r>
      <w:r w:rsidR="00323F97">
        <w:t>und</w:t>
      </w:r>
      <w:r>
        <w:t>/oder ein Tätigkeitsverbot aussprechen.</w:t>
      </w:r>
    </w:p>
    <w:p w:rsidR="00230E2B" w:rsidRDefault="00230E2B">
      <w:bookmarkStart w:id="118" w:name="Frage_Nr_58_Ende"/>
      <w:bookmarkEnd w:id="1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7"/>
        <w:gridCol w:w="5799"/>
      </w:tblGrid>
      <w:tr w:rsidR="00230E2B" w:rsidTr="007B0B33">
        <w:tc>
          <w:tcPr>
            <w:tcW w:w="2050" w:type="dxa"/>
          </w:tcPr>
          <w:p w:rsidR="00230E2B" w:rsidRDefault="00230E2B" w:rsidP="00230E2B">
            <w:pPr>
              <w:pStyle w:val="LTAnfrageInitiator"/>
            </w:pPr>
            <w:r>
              <w:lastRenderedPageBreak/>
              <w:t>Abgeordnete</w:t>
            </w:r>
            <w:r>
              <w:rPr>
                <w:b/>
              </w:rPr>
              <w:br/>
              <w:t>Katrin</w:t>
            </w:r>
            <w:r>
              <w:rPr>
                <w:b/>
              </w:rPr>
              <w:br/>
              <w:t>Ebner-Steiner</w:t>
            </w:r>
            <w:r>
              <w:rPr>
                <w:b/>
              </w:rPr>
              <w:br/>
            </w:r>
            <w:r>
              <w:t>(AfD)</w:t>
            </w:r>
            <w:bookmarkStart w:id="119" w:name="Frage_Nr_59"/>
            <w:bookmarkEnd w:id="119"/>
          </w:p>
        </w:tc>
        <w:tc>
          <w:tcPr>
            <w:tcW w:w="7200" w:type="dxa"/>
          </w:tcPr>
          <w:p w:rsidR="00230E2B" w:rsidRDefault="0012007F" w:rsidP="00230E2B">
            <w:pPr>
              <w:pStyle w:val="LTAnfrageText"/>
            </w:pPr>
            <w:r w:rsidRPr="0012007F">
              <w:rPr>
                <w:szCs w:val="24"/>
              </w:rPr>
              <w:t>Vor dem Hintergrund verschiedener Medienberichte, wonach eine Schutzimpfung gegen COVID-19 das Risiko eines schweren Verlaufs „bis zu 95 Prozent“ reduzieren soll und wohingegen das generelle Risiko, an COVID-19 zu versterben, aktuell bei etwa 0,15 Prozent liegen soll, frage ich die Staatsregierung, um welchen Faktor verringert die COVID-Schutzimpfung das Risiko schwerer Verläufe und worauf bezieht sich eine angegebene Impfwirksamkeit von etwa 95 Prozent und was bedeutet in diesem Zusammenhang absolute und relative Risikoreduktion?</w:t>
            </w:r>
          </w:p>
        </w:tc>
      </w:tr>
    </w:tbl>
    <w:p w:rsidR="00230E2B" w:rsidRDefault="00230E2B" w:rsidP="00230E2B">
      <w:pPr>
        <w:pStyle w:val="LTUeberschrAntwortRessort"/>
      </w:pPr>
      <w:r>
        <w:t>Antwort des Staatsministeriums für Gesundheit und Pflege</w:t>
      </w:r>
    </w:p>
    <w:p w:rsidR="00230E2B" w:rsidRDefault="00230E2B" w:rsidP="00230E2B">
      <w:pPr>
        <w:pStyle w:val="LTAntwortRessortText"/>
      </w:pPr>
      <w:r>
        <w:t>Durch den Vergleich des Anteils Geimpfter unter COVID-19-Fällen (Impfdurchbrüche) mit dem</w:t>
      </w:r>
      <w:r w:rsidR="0021647D">
        <w:t xml:space="preserve"> </w:t>
      </w:r>
      <w:r>
        <w:t>Anteil Geimpfter in der Bevölkerung ist es möglich, die Wirksamkeit der Impfung (Impfeffektivität)</w:t>
      </w:r>
      <w:r w:rsidR="0021647D">
        <w:t xml:space="preserve"> </w:t>
      </w:r>
      <w:r>
        <w:t>grob abzuschätzen (sog. Screening-Methode nach Farrington). Dem Wochenbericht des Robert</w:t>
      </w:r>
      <w:r w:rsidR="0021647D">
        <w:t xml:space="preserve"> </w:t>
      </w:r>
      <w:r>
        <w:t>Koch-Instituts (RKI) vom 27.01.2022 ist auf Seite 29 die Impfeffektivität gegenüber</w:t>
      </w:r>
      <w:r w:rsidR="0021647D">
        <w:t xml:space="preserve"> </w:t>
      </w:r>
      <w:r>
        <w:t>symptomatischen Infektionen sowie schweren Verläufen zu entnehmen</w:t>
      </w:r>
      <w:r w:rsidR="00067DDB">
        <w:rPr>
          <w:rStyle w:val="Funotenzeichen"/>
        </w:rPr>
        <w:footnoteReference w:id="7"/>
      </w:r>
      <w:r>
        <w:t>. Die auf Seite 29 dargestellten Grafiken</w:t>
      </w:r>
      <w:r w:rsidR="0021647D">
        <w:t xml:space="preserve"> </w:t>
      </w:r>
      <w:r>
        <w:t>zeigen für Geimpfte mit Auffrischungsimpfung eine sehr hohe Schutzwirkung gegen schwere</w:t>
      </w:r>
      <w:r w:rsidR="0021647D">
        <w:t xml:space="preserve"> </w:t>
      </w:r>
      <w:r>
        <w:t>Verläufe in der Größenordnung, wie sie in der Anfrage zitiert wird. Zusammengefasst bestätigen</w:t>
      </w:r>
      <w:r w:rsidR="0021647D">
        <w:t xml:space="preserve"> </w:t>
      </w:r>
      <w:r>
        <w:t>die nach Impfstatus dargestellten Inzidenzen, die Anzahl und Verteilung der Impfdurchbrüche</w:t>
      </w:r>
      <w:r w:rsidR="0021647D">
        <w:t xml:space="preserve"> </w:t>
      </w:r>
      <w:r>
        <w:t>sowie die nach der Screening-Methode geschätzte Wirksamkeit der eingesetzten Impfstoffe die</w:t>
      </w:r>
      <w:r w:rsidR="0021647D">
        <w:t xml:space="preserve"> </w:t>
      </w:r>
      <w:r>
        <w:t>hohe Wirksamkeit der COVID-19-Impfung aus den klinischen Studien.</w:t>
      </w:r>
    </w:p>
    <w:p w:rsidR="00230E2B" w:rsidRDefault="00230E2B" w:rsidP="00230E2B">
      <w:pPr>
        <w:pStyle w:val="LTAntwortRessortText"/>
      </w:pPr>
      <w:r>
        <w:t>Auch bei der derzeit dominierenden Omikron-Variante kann für vollständig geimpfte Personen aller</w:t>
      </w:r>
      <w:r w:rsidR="0021647D">
        <w:t xml:space="preserve"> </w:t>
      </w:r>
      <w:r>
        <w:t>Al</w:t>
      </w:r>
      <w:r w:rsidR="00067DDB">
        <w:t>tersgruppen –</w:t>
      </w:r>
      <w:r>
        <w:t xml:space="preserve"> und insbesondere für Per</w:t>
      </w:r>
      <w:r w:rsidR="00067DDB">
        <w:t>sonen mit Auffrischungsimpfung –</w:t>
      </w:r>
      <w:r>
        <w:t xml:space="preserve"> weiterhin von einem</w:t>
      </w:r>
      <w:r w:rsidR="0021647D">
        <w:t xml:space="preserve"> </w:t>
      </w:r>
      <w:r>
        <w:t>sehr guten Impfschutz gegenüber einer schweren COVID-19-Erkrankung ausgegangen werden.</w:t>
      </w:r>
      <w:r w:rsidR="0021647D">
        <w:t xml:space="preserve"> </w:t>
      </w:r>
      <w:r>
        <w:t>Zudem zeigt sich für ungeimpfte Personen aller Altersgruppen ein deutlich höheres Risiko für eine</w:t>
      </w:r>
      <w:r w:rsidR="0021647D">
        <w:t xml:space="preserve"> </w:t>
      </w:r>
      <w:r>
        <w:t>COVID-19-Erkrankung, insbesondere für eine schwere Verlaufsform.</w:t>
      </w:r>
    </w:p>
    <w:p w:rsidR="00230E2B" w:rsidRDefault="00230E2B" w:rsidP="00230E2B">
      <w:pPr>
        <w:pStyle w:val="LTAntwortRessortText"/>
      </w:pPr>
      <w:r>
        <w:t>Die meisten Studien geben die relative Risikoreduktion für Impfstoffe an. Diese gibt Aufschluss</w:t>
      </w:r>
      <w:r w:rsidR="0021647D">
        <w:t xml:space="preserve"> </w:t>
      </w:r>
      <w:r>
        <w:t>über die Schutzwirkung unabhängig von einem gegebenen Infektionsdruck und ist somit für die</w:t>
      </w:r>
      <w:r w:rsidR="0021647D">
        <w:t xml:space="preserve"> </w:t>
      </w:r>
      <w:r>
        <w:t>Bewertung der Impfwirksamkeit die angemessene Kennziffer. Die Angabe einer Impfwirksamkeit</w:t>
      </w:r>
      <w:r w:rsidR="0021647D">
        <w:t xml:space="preserve"> </w:t>
      </w:r>
      <w:r>
        <w:t xml:space="preserve">von etwa 95 </w:t>
      </w:r>
      <w:r w:rsidR="005508E8">
        <w:t>Prozent</w:t>
      </w:r>
      <w:r>
        <w:t xml:space="preserve"> bezieht sich auf die relative Risikoreduktion. Die relative Risikoreduktion setzt das</w:t>
      </w:r>
      <w:r w:rsidR="0021647D">
        <w:t xml:space="preserve"> </w:t>
      </w:r>
      <w:r>
        <w:t>Erkrankungsrisiko der Geimpften ins Verhältnis zum Erkrankungsrisiko der Ungeimpften. Eine</w:t>
      </w:r>
      <w:r w:rsidR="0021647D">
        <w:t xml:space="preserve"> </w:t>
      </w:r>
      <w:r>
        <w:t xml:space="preserve">relative Risikoreduktion von 95 </w:t>
      </w:r>
      <w:r w:rsidR="005508E8">
        <w:t>Prozent</w:t>
      </w:r>
      <w:r>
        <w:t xml:space="preserve"> bedeutet also, dass die Wahrscheinlichkeit für Geimpfte, zu</w:t>
      </w:r>
      <w:r w:rsidR="0021647D">
        <w:t xml:space="preserve"> </w:t>
      </w:r>
      <w:r>
        <w:t xml:space="preserve">erkranken, um 95 </w:t>
      </w:r>
      <w:r w:rsidR="005508E8">
        <w:t>Prozent</w:t>
      </w:r>
      <w:r>
        <w:t xml:space="preserve"> niedriger ist als für Ungeimpfte. Die absolute Risikoreduktion gibt die Differenz</w:t>
      </w:r>
      <w:r w:rsidR="0021647D">
        <w:t xml:space="preserve"> </w:t>
      </w:r>
      <w:r>
        <w:t>des Risikos von Geimpften und Ungeimpften zu erkranken an. In Prozent ausgedrückt, bezieht sie</w:t>
      </w:r>
      <w:r w:rsidR="0021647D">
        <w:t xml:space="preserve"> </w:t>
      </w:r>
      <w:r>
        <w:t>sich auf alle Untersuchten. Sie hängt stark vom aktuellen Infektionsgeschehen ab. Wird das</w:t>
      </w:r>
      <w:r w:rsidR="0021647D">
        <w:t xml:space="preserve"> </w:t>
      </w:r>
      <w:r>
        <w:t>Infektionsgesc</w:t>
      </w:r>
      <w:r w:rsidR="00067DDB">
        <w:t>hehen, z. </w:t>
      </w:r>
      <w:r>
        <w:t>B. durch Kontaktbeschränkungen und andere Maßnahmen stark</w:t>
      </w:r>
      <w:r w:rsidR="0021647D">
        <w:t xml:space="preserve"> </w:t>
      </w:r>
      <w:r>
        <w:t>eingeschränkt, ist die absolute Risikoreduktion durch eine Impfung zwangsläufig niedrig, auch bei</w:t>
      </w:r>
      <w:r w:rsidR="0021647D">
        <w:t xml:space="preserve"> </w:t>
      </w:r>
      <w:r>
        <w:t>einem hochwirksamen Impfstoff. Anhand der absoluten Risikoreduktion werden die Risikolage und</w:t>
      </w:r>
      <w:r w:rsidR="0021647D">
        <w:t xml:space="preserve"> </w:t>
      </w:r>
      <w:r>
        <w:t>der Impfschutz häufig unterschätzt.</w:t>
      </w:r>
    </w:p>
    <w:p w:rsidR="00230E2B" w:rsidRDefault="00230E2B">
      <w:bookmarkStart w:id="120" w:name="Frage_Nr_59_Ende"/>
      <w:bookmarkEnd w:id="1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230E2B" w:rsidTr="007B0B33">
        <w:tc>
          <w:tcPr>
            <w:tcW w:w="2050" w:type="dxa"/>
          </w:tcPr>
          <w:p w:rsidR="00230E2B" w:rsidRDefault="00230E2B" w:rsidP="00230E2B">
            <w:pPr>
              <w:pStyle w:val="LTAnfrageInitiator"/>
            </w:pPr>
            <w:r>
              <w:lastRenderedPageBreak/>
              <w:t>Abgeordnete</w:t>
            </w:r>
            <w:r>
              <w:rPr>
                <w:b/>
              </w:rPr>
              <w:br/>
              <w:t>Christina</w:t>
            </w:r>
            <w:r>
              <w:rPr>
                <w:b/>
              </w:rPr>
              <w:br/>
              <w:t>Haubrich</w:t>
            </w:r>
            <w:r>
              <w:rPr>
                <w:b/>
              </w:rPr>
              <w:br/>
            </w:r>
            <w:r>
              <w:t>(BÜNDNIS 90/DIE GRÜNEN)</w:t>
            </w:r>
            <w:bookmarkStart w:id="121" w:name="Frage_Nr_60"/>
            <w:bookmarkEnd w:id="121"/>
          </w:p>
        </w:tc>
        <w:tc>
          <w:tcPr>
            <w:tcW w:w="7200" w:type="dxa"/>
          </w:tcPr>
          <w:p w:rsidR="00230E2B" w:rsidRDefault="00A615E7" w:rsidP="00230E2B">
            <w:pPr>
              <w:pStyle w:val="LTAnfrageText"/>
            </w:pPr>
            <w:r w:rsidRPr="00A615E7">
              <w:rPr>
                <w:szCs w:val="24"/>
              </w:rPr>
              <w:t>Ich frage die Staatsregierung, welche Maßnahmen wurden am Gesundheitsamt Aichach-Friedberg versäumt zu ergreifen, um die Vorfälle rund um den Corona-Ausbruch im Friedberger Krankenhaus umfassend aufzuklären, wann soll der personelle Notstand am Gesundheitsamt Aichach-Friedberg mit Fachkräften behoben werden (bitte auch auf Art und Weise eingehen) und wie kann es sein, dass das Krankenhaus als betroffene Institution selbst zu nosokomialen Infektionen aufklären soll anstelle einer umfassenden Untersuchung von neutraler Stelle?</w:t>
            </w:r>
          </w:p>
        </w:tc>
      </w:tr>
    </w:tbl>
    <w:p w:rsidR="00230E2B" w:rsidRDefault="00230E2B" w:rsidP="00230E2B">
      <w:pPr>
        <w:pStyle w:val="LTUeberschrAntwortRessort"/>
      </w:pPr>
      <w:r>
        <w:t>Antwort des Staatsministeriums für Gesundheit und Pflege</w:t>
      </w:r>
    </w:p>
    <w:p w:rsidR="00230E2B" w:rsidRDefault="00230E2B" w:rsidP="00230E2B">
      <w:pPr>
        <w:pStyle w:val="LTAntwortRessortText"/>
      </w:pPr>
      <w:r>
        <w:t>Angesichts von laufenden, noch nicht abgeschlossenen staatsanwaltschaftlichen Ermittlungen</w:t>
      </w:r>
      <w:r w:rsidR="00D17172">
        <w:t xml:space="preserve"> </w:t>
      </w:r>
      <w:r>
        <w:t>können weitergehende Angaben hinsichtlich möglicher Versäumnisse derzeit nicht gemacht werden.</w:t>
      </w:r>
    </w:p>
    <w:p w:rsidR="00230E2B" w:rsidRDefault="00230E2B" w:rsidP="00230E2B">
      <w:pPr>
        <w:pStyle w:val="LTAntwortRessortText"/>
      </w:pPr>
      <w:r>
        <w:t>Ungeachtet entsprechender infektionsschutz- bzw. hygienerechtlicher Vorgaben sind nach Nummer</w:t>
      </w:r>
      <w:r w:rsidR="00D17172">
        <w:t xml:space="preserve"> </w:t>
      </w:r>
      <w:r>
        <w:t>4.2 der Allgemeinverfügung zur Bewältigung erheblicher Patientenzahlen in Krankenhäusern vom</w:t>
      </w:r>
      <w:r w:rsidR="00D17172">
        <w:t xml:space="preserve"> </w:t>
      </w:r>
      <w:r>
        <w:t>11.11.2021, Az. D4-2257-3-49 und G24-K9000-2020/134-252, geändert durch Allgemeinverfügung</w:t>
      </w:r>
      <w:r w:rsidR="00D17172">
        <w:t xml:space="preserve"> </w:t>
      </w:r>
      <w:r w:rsidR="005A2831">
        <w:t>vom 16.12.2021, Az. </w:t>
      </w:r>
      <w:r>
        <w:t>D4-2257-3-49 und</w:t>
      </w:r>
      <w:r w:rsidR="005A2831">
        <w:t xml:space="preserve"> G24-K9000-2020/134-264 (AV) u. </w:t>
      </w:r>
      <w:r>
        <w:t>a. Krankenhäuser, soweit</w:t>
      </w:r>
      <w:r w:rsidR="00D17172">
        <w:t xml:space="preserve"> </w:t>
      </w:r>
      <w:r>
        <w:t>sie Patienten stationär behandeln, verpflichtet, die notwendigen Maßnahmen des Infektionsschutzes</w:t>
      </w:r>
      <w:r w:rsidR="00D17172">
        <w:t xml:space="preserve"> </w:t>
      </w:r>
      <w:r>
        <w:t>durchzuführen und die einschlägigen Hygiene- und Infektionsschutzvorgaben, insbesondere des</w:t>
      </w:r>
      <w:r w:rsidR="00D17172">
        <w:t xml:space="preserve"> </w:t>
      </w:r>
      <w:r>
        <w:t>Robert Koch-Instituts und des Landesamtes für Gesundheit und</w:t>
      </w:r>
      <w:r w:rsidR="00D17172">
        <w:t xml:space="preserve"> </w:t>
      </w:r>
      <w:r>
        <w:t>Lebensmittelsicherheit, zu beachten sowie Schutzkonzepte zu erstellen bzw. je nach Ausprägung</w:t>
      </w:r>
      <w:r w:rsidR="00D17172">
        <w:t xml:space="preserve"> </w:t>
      </w:r>
      <w:r>
        <w:t>des Infektionsgeschehens fortzuschreiben. Um die krankenhausindividuellen Schutzkonzepte bei</w:t>
      </w:r>
      <w:r w:rsidR="00D17172">
        <w:t xml:space="preserve"> </w:t>
      </w:r>
      <w:r>
        <w:t>Bedarf anpassen zu können, sind die Krankenhäuser im Falle eines Ausbruchsgeschehens im</w:t>
      </w:r>
      <w:r w:rsidR="00D17172">
        <w:t xml:space="preserve"> </w:t>
      </w:r>
      <w:r>
        <w:t>Krankenhaus gefordert, die Hintergründe des Ausbruchsgeschehens durch die für die</w:t>
      </w:r>
      <w:r w:rsidR="00D17172">
        <w:t xml:space="preserve"> </w:t>
      </w:r>
      <w:r>
        <w:t>Krankenhaushygiene zuständigen Mitarbeiter zu analysieren und auf Basis der Ergebnisse dieser</w:t>
      </w:r>
      <w:r w:rsidR="00D17172">
        <w:t xml:space="preserve"> </w:t>
      </w:r>
      <w:r>
        <w:t>Analyse etwaige Anpassungen des Schutz- und Hygienekonzepts vorzunehmen</w:t>
      </w:r>
      <w:r w:rsidR="005A2831">
        <w:t>.</w:t>
      </w:r>
    </w:p>
    <w:p w:rsidR="00230E2B" w:rsidRDefault="00230E2B" w:rsidP="00230E2B">
      <w:pPr>
        <w:pStyle w:val="LTAntwortRessortText"/>
      </w:pPr>
      <w:r>
        <w:t>Zur Personalsituation am Gesundheitsamt Aichach-Friedberg ist zu ergänzen: Derzeit wird das</w:t>
      </w:r>
      <w:r w:rsidR="00D17172">
        <w:t xml:space="preserve"> </w:t>
      </w:r>
      <w:r>
        <w:t>Gesundheitsamt im ärztlichen Bereich durch eine Amtsärztin eines anderen schwäbischen</w:t>
      </w:r>
      <w:r w:rsidR="00D17172">
        <w:t xml:space="preserve"> </w:t>
      </w:r>
      <w:r>
        <w:t>Gesundheitsamtes unterstützt. Zudem wird in Kürze eine neue Ärztin ihren Dienst in Aichach</w:t>
      </w:r>
      <w:r w:rsidR="00D17172">
        <w:t xml:space="preserve"> </w:t>
      </w:r>
      <w:r>
        <w:t>antreten. Darüber hinaus kehrt eine Ärztin aus dem Stammpersonal im Sommer an das</w:t>
      </w:r>
      <w:r w:rsidR="00D17172">
        <w:t xml:space="preserve"> </w:t>
      </w:r>
      <w:r>
        <w:t>Gesundheitsamt zurück. Im Bereich der Hygienekontrolleure ist die überwiegende Zahl der dem</w:t>
      </w:r>
      <w:r w:rsidR="00D17172">
        <w:t xml:space="preserve"> </w:t>
      </w:r>
      <w:r>
        <w:t>Gesundheitsamt zugewiesenen Stellen besetzt. Für eine sich in Elternzeit befindliche</w:t>
      </w:r>
      <w:r w:rsidR="00D17172">
        <w:t xml:space="preserve"> </w:t>
      </w:r>
      <w:r>
        <w:t>Hygienekontrolleurin sucht die Regierung von Schwaben derzeit eine Vertretung.</w:t>
      </w:r>
      <w:r w:rsidR="00D17172">
        <w:t xml:space="preserve"> </w:t>
      </w:r>
      <w:r>
        <w:t>Die Regierung von Schwaben ist weiter dabei, Fachpersonal für das Gesundheitsamt Aichach-Friedberg zu gewinnen und wird insbesondere zeitnah weitere Ausschreibungen für noch zu</w:t>
      </w:r>
      <w:r w:rsidR="00D17172">
        <w:t xml:space="preserve"> </w:t>
      </w:r>
      <w:r>
        <w:t>besetzende Stellen durchführen.</w:t>
      </w:r>
    </w:p>
    <w:p w:rsidR="00230E2B" w:rsidRDefault="00230E2B">
      <w:bookmarkStart w:id="122" w:name="Frage_Nr_60_Ende"/>
      <w:bookmarkEnd w:id="1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230E2B" w:rsidTr="007B0B33">
        <w:tc>
          <w:tcPr>
            <w:tcW w:w="2050" w:type="dxa"/>
          </w:tcPr>
          <w:p w:rsidR="00230E2B" w:rsidRDefault="00230E2B" w:rsidP="00230E2B">
            <w:pPr>
              <w:pStyle w:val="LTAnfrageInitiator"/>
            </w:pPr>
            <w:r>
              <w:lastRenderedPageBreak/>
              <w:t>Abgeordneter</w:t>
            </w:r>
            <w:r>
              <w:rPr>
                <w:b/>
              </w:rPr>
              <w:br/>
              <w:t>Dr. Helmut</w:t>
            </w:r>
            <w:r>
              <w:rPr>
                <w:b/>
              </w:rPr>
              <w:br/>
              <w:t>Kaltenhauser</w:t>
            </w:r>
            <w:r>
              <w:rPr>
                <w:b/>
              </w:rPr>
              <w:br/>
            </w:r>
            <w:r>
              <w:t>(FDP)</w:t>
            </w:r>
            <w:bookmarkStart w:id="123" w:name="Frage_Nr_61"/>
            <w:bookmarkEnd w:id="123"/>
          </w:p>
        </w:tc>
        <w:tc>
          <w:tcPr>
            <w:tcW w:w="7200" w:type="dxa"/>
          </w:tcPr>
          <w:p w:rsidR="00230E2B" w:rsidRDefault="00A615E7" w:rsidP="00230E2B">
            <w:pPr>
              <w:pStyle w:val="LTAnfrageText"/>
            </w:pPr>
            <w:r w:rsidRPr="00A615E7">
              <w:rPr>
                <w:szCs w:val="24"/>
              </w:rPr>
              <w:t>Ich frage die Staatsregierung, wie groß der Umfang der Ware ist, die laut Anlage 1 der Schriftlichen Anfrage „Maskendeals 3“ vom Landesamt für Gesundheit und Lebensmittelsicherheit ausgegeben und zurückgerufen wurde (bitte für jeden der 118 Fälle von zurückgerufener Ware die entsprechenden Mengen nennen)?</w:t>
            </w:r>
          </w:p>
        </w:tc>
      </w:tr>
    </w:tbl>
    <w:p w:rsidR="00230E2B" w:rsidRDefault="00230E2B" w:rsidP="00230E2B">
      <w:pPr>
        <w:pStyle w:val="LTUeberschrAntwortRessort"/>
      </w:pPr>
      <w:r>
        <w:t>Antwort des Staatsministeriums für Gesundheit und Pflege</w:t>
      </w:r>
    </w:p>
    <w:p w:rsidR="00230E2B" w:rsidRDefault="00230E2B" w:rsidP="00230E2B">
      <w:pPr>
        <w:pStyle w:val="LTAntwortRessortText"/>
      </w:pPr>
      <w:r>
        <w:t xml:space="preserve">Eine Zusammenstellung der vom Landesamt für Gesundheit </w:t>
      </w:r>
      <w:r w:rsidR="00323F97">
        <w:t>und Lebensmittelsicherheit</w:t>
      </w:r>
      <w:r w:rsidR="00562614">
        <w:t xml:space="preserve"> </w:t>
      </w:r>
      <w:r>
        <w:t>ausgegebenen und zurückgerufenen Waren für jeden der 118 in der Anlage 1 der Beantwortung</w:t>
      </w:r>
      <w:r w:rsidR="00562614">
        <w:t xml:space="preserve"> </w:t>
      </w:r>
      <w:r>
        <w:t>der Schriftlichen Anfrage vom 11.08.</w:t>
      </w:r>
      <w:r w:rsidR="00DB337B">
        <w:t>2021 benannten Fälle erfordert –</w:t>
      </w:r>
      <w:r>
        <w:t xml:space="preserve"> allein schon angesichts des</w:t>
      </w:r>
      <w:r w:rsidR="00562614">
        <w:t xml:space="preserve"> </w:t>
      </w:r>
      <w:r w:rsidR="00DB337B">
        <w:t>offenkundigen Umfangs –</w:t>
      </w:r>
      <w:r>
        <w:t xml:space="preserve"> erheblichen Rechercheaufwand, der innerhalb der für die Beantwortung</w:t>
      </w:r>
      <w:r w:rsidR="00562614">
        <w:t xml:space="preserve"> </w:t>
      </w:r>
      <w:r>
        <w:t>einer Anfrage zum Plenum zur Verfügung stehenden Zeit nicht geleistet werden kann.</w:t>
      </w:r>
    </w:p>
    <w:p w:rsidR="00230E2B" w:rsidRDefault="00230E2B">
      <w:bookmarkStart w:id="124" w:name="Frage_Nr_61_Ende"/>
      <w:bookmarkEnd w:id="1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tblGrid>
      <w:tr w:rsidR="00230E2B" w:rsidTr="007B0B33">
        <w:tc>
          <w:tcPr>
            <w:tcW w:w="2050" w:type="dxa"/>
          </w:tcPr>
          <w:p w:rsidR="00230E2B" w:rsidRDefault="00230E2B" w:rsidP="00230E2B">
            <w:pPr>
              <w:pStyle w:val="LTAnfrageInitiator"/>
            </w:pPr>
            <w:r>
              <w:lastRenderedPageBreak/>
              <w:t>Abgeordneter</w:t>
            </w:r>
            <w:r>
              <w:rPr>
                <w:b/>
              </w:rPr>
              <w:br/>
              <w:t>Christian</w:t>
            </w:r>
            <w:r>
              <w:rPr>
                <w:b/>
              </w:rPr>
              <w:br/>
              <w:t>Klingen</w:t>
            </w:r>
            <w:r>
              <w:rPr>
                <w:b/>
              </w:rPr>
              <w:br/>
            </w:r>
            <w:r>
              <w:t>(AfD)</w:t>
            </w:r>
            <w:bookmarkStart w:id="125" w:name="Frage_Nr_62"/>
            <w:bookmarkEnd w:id="125"/>
          </w:p>
        </w:tc>
        <w:tc>
          <w:tcPr>
            <w:tcW w:w="7200" w:type="dxa"/>
          </w:tcPr>
          <w:p w:rsidR="00230E2B" w:rsidRDefault="00A615E7" w:rsidP="00230E2B">
            <w:pPr>
              <w:pStyle w:val="LTAnfrageText"/>
            </w:pPr>
            <w:r w:rsidRPr="00A615E7">
              <w:rPr>
                <w:szCs w:val="24"/>
              </w:rPr>
              <w:t>Ich frage die Staatsregierung, ob nach Ihrer Kenntnis Impfstoffe herkömmlicher Art (z. B. Totimpfstoffe) durch Impfstoffe neuer Art (mRNA-Impfstoffe) ersetzt werden sollen, welche Vorteile diese Vorgehensweise hätte, würde das Ersetzen durch mRNA-Impf</w:t>
            </w:r>
            <w:r w:rsidR="00F9220E">
              <w:rPr>
                <w:szCs w:val="24"/>
              </w:rPr>
              <w:t>stoffe</w:t>
            </w:r>
            <w:r w:rsidRPr="00A615E7">
              <w:rPr>
                <w:szCs w:val="24"/>
              </w:rPr>
              <w:t xml:space="preserve"> zu mehr Skepsis führen und eine Impfverweigerung für die üblichen Krankheiten (Mumps, Masern, Rötel, Hepatitis usw.) bestärken und in welchem Zeitraum (bitte Angabe des jeweiligen Jahres) ist ein Ersetzen der alten Impfstofftechnologie durch mRNA-Impfstoffe geplant?</w:t>
            </w:r>
          </w:p>
        </w:tc>
      </w:tr>
    </w:tbl>
    <w:p w:rsidR="00230E2B" w:rsidRDefault="00230E2B" w:rsidP="00230E2B">
      <w:pPr>
        <w:pStyle w:val="LTUeberschrAntwortRessort"/>
      </w:pPr>
      <w:r>
        <w:t>Antwort des Staatsministeriums für Gesundheit und Pflege</w:t>
      </w:r>
    </w:p>
    <w:p w:rsidR="00230E2B" w:rsidRDefault="00230E2B" w:rsidP="00230E2B">
      <w:pPr>
        <w:pStyle w:val="LTAntwortRessortText"/>
      </w:pPr>
      <w:r>
        <w:t>Aktuell befinden sich einige mRNA-Impfstoffe in der präklinischen Prüfung (</w:t>
      </w:r>
      <w:r w:rsidR="005508E8">
        <w:t>z. B.</w:t>
      </w:r>
      <w:r>
        <w:t xml:space="preserve"> Tollwut). Dem</w:t>
      </w:r>
      <w:r w:rsidR="00630F9D">
        <w:t xml:space="preserve"> </w:t>
      </w:r>
      <w:r w:rsidR="00162EB5">
        <w:t>Staatsministe</w:t>
      </w:r>
      <w:r w:rsidR="00F9220E">
        <w:t>rium für Gesundheit und Pflege</w:t>
      </w:r>
      <w:r>
        <w:t xml:space="preserve"> ist nicht bekannt, wann und ob weitere Impfstoffe durch mRNA-Impfstoffe ersetzt werden</w:t>
      </w:r>
      <w:r w:rsidR="00630F9D">
        <w:t xml:space="preserve"> </w:t>
      </w:r>
      <w:r>
        <w:t>sollen.</w:t>
      </w:r>
    </w:p>
    <w:p w:rsidR="00230E2B" w:rsidRDefault="00230E2B">
      <w:bookmarkStart w:id="126" w:name="Frage_Nr_62_Ende"/>
      <w:bookmarkEnd w:id="1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230E2B" w:rsidTr="007B0B33">
        <w:tc>
          <w:tcPr>
            <w:tcW w:w="2050" w:type="dxa"/>
          </w:tcPr>
          <w:p w:rsidR="00230E2B" w:rsidRDefault="00230E2B" w:rsidP="00230E2B">
            <w:pPr>
              <w:pStyle w:val="LTAnfrageInitiator"/>
            </w:pPr>
            <w:r>
              <w:lastRenderedPageBreak/>
              <w:t>Abgeordneter</w:t>
            </w:r>
            <w:r>
              <w:rPr>
                <w:b/>
              </w:rPr>
              <w:br/>
              <w:t>Andreas</w:t>
            </w:r>
            <w:r>
              <w:rPr>
                <w:b/>
              </w:rPr>
              <w:br/>
              <w:t>Krahl</w:t>
            </w:r>
            <w:r>
              <w:rPr>
                <w:b/>
              </w:rPr>
              <w:br/>
            </w:r>
            <w:r>
              <w:t>(BÜNDNIS 90/DIE GRÜNEN)</w:t>
            </w:r>
            <w:bookmarkStart w:id="127" w:name="Frage_Nr_63"/>
            <w:bookmarkEnd w:id="127"/>
          </w:p>
        </w:tc>
        <w:tc>
          <w:tcPr>
            <w:tcW w:w="7200" w:type="dxa"/>
          </w:tcPr>
          <w:p w:rsidR="00230E2B" w:rsidRPr="00A615E7" w:rsidRDefault="00A615E7" w:rsidP="00230E2B">
            <w:pPr>
              <w:pStyle w:val="LTAnfrageText"/>
            </w:pPr>
            <w:r w:rsidRPr="00A615E7">
              <w:rPr>
                <w:szCs w:val="24"/>
              </w:rPr>
              <w:t xml:space="preserve">Ich frage die Staatsregierung, wie ist der Stand der Vorbereitung zur Inkludierung der in der </w:t>
            </w:r>
            <w:r w:rsidRPr="00A615E7">
              <w:rPr>
                <w:rFonts w:eastAsiaTheme="majorEastAsia"/>
                <w:szCs w:val="24"/>
              </w:rPr>
              <w:t>Verordnung zur Ausführung des Pflege- und Wohnqualitätsgesetzes und Weiterbildung in der Pflege und Hebammenkunde</w:t>
            </w:r>
            <w:r w:rsidRPr="00A615E7">
              <w:rPr>
                <w:szCs w:val="24"/>
              </w:rPr>
              <w:t xml:space="preserve"> (AVPfleWoqG) verankerte Weiterbildungen in die Richtlinie zur Vergabe des Meisterbonus und des Meisterpreises der Staatsregierung, besonders mit Blick auf die Schaffung der notwendigen rechtlichen Rahmenbedingungen, wie viele Pflegekräfte mit den entsprechenden Weiterbildungen gibt es im Freistaat Bayern und in welcher Höhe plant die Staatsregierung Haushaltsmittel zur Würdigung dieser Weiterbildungen ein?</w:t>
            </w:r>
          </w:p>
        </w:tc>
      </w:tr>
    </w:tbl>
    <w:p w:rsidR="00230E2B" w:rsidRDefault="00230E2B" w:rsidP="00230E2B">
      <w:pPr>
        <w:pStyle w:val="LTUeberschrAntwortRessort"/>
      </w:pPr>
      <w:r>
        <w:t>Antwort des Staatsministeriums für Gesundheit und Pflege</w:t>
      </w:r>
    </w:p>
    <w:p w:rsidR="00230E2B" w:rsidRDefault="00230E2B" w:rsidP="00230E2B">
      <w:pPr>
        <w:pStyle w:val="LTAntwortRessortText"/>
      </w:pPr>
      <w:r>
        <w:t>In Bayern können erfolgreiche Absolventen der beruflichen Weiterbildung zum Meister oder zu</w:t>
      </w:r>
      <w:r w:rsidR="004B0209">
        <w:t xml:space="preserve"> </w:t>
      </w:r>
      <w:r>
        <w:t>einem gleichwertigen Abschluss den Meisterbonus der Staatsregierung erhalten. Zweck des</w:t>
      </w:r>
      <w:r w:rsidR="004B0209">
        <w:t xml:space="preserve"> </w:t>
      </w:r>
      <w:r>
        <w:t>Meisterbonus ist es, qualifizierte Fachkräfte vor allem im Bereich der beruflichen Bildung zu</w:t>
      </w:r>
      <w:r w:rsidR="004B0209">
        <w:t xml:space="preserve"> </w:t>
      </w:r>
      <w:r>
        <w:t>gewinnen und diese attraktiver zu machen. Zudem soll mit dem Meisterbonus ein Anreiz</w:t>
      </w:r>
      <w:r w:rsidR="004B0209">
        <w:t xml:space="preserve"> </w:t>
      </w:r>
      <w:r>
        <w:t>geschaffen werden, sich beruflich weiterzubilden und die eigene Qualifikation zu stärken.</w:t>
      </w:r>
    </w:p>
    <w:p w:rsidR="00230E2B" w:rsidRDefault="00230E2B" w:rsidP="00230E2B">
      <w:pPr>
        <w:pStyle w:val="LTAntwortRessortText"/>
      </w:pPr>
      <w:r>
        <w:t xml:space="preserve">Das </w:t>
      </w:r>
      <w:r w:rsidR="00FF02D0">
        <w:t>Staatsministerium für Gesundheit und Pflege (</w:t>
      </w:r>
      <w:r>
        <w:t>StMGP</w:t>
      </w:r>
      <w:r w:rsidR="00FF02D0">
        <w:t>)</w:t>
      </w:r>
      <w:r>
        <w:t xml:space="preserve"> strebt den </w:t>
      </w:r>
      <w:r w:rsidR="00490BF0">
        <w:t>„</w:t>
      </w:r>
      <w:r>
        <w:t>Anschluss</w:t>
      </w:r>
      <w:r w:rsidR="00490BF0">
        <w:t>“</w:t>
      </w:r>
      <w:r>
        <w:t xml:space="preserve"> der in der </w:t>
      </w:r>
      <w:r w:rsidR="00C62CAD">
        <w:t>AVPfleWoqG</w:t>
      </w:r>
      <w:r w:rsidR="004B0209">
        <w:t xml:space="preserve"> </w:t>
      </w:r>
      <w:r>
        <w:t xml:space="preserve">geregelten Weiterbildungen zur </w:t>
      </w:r>
      <w:r w:rsidR="00490BF0">
        <w:t>„</w:t>
      </w:r>
      <w:r>
        <w:t>Einrichtungsleitung</w:t>
      </w:r>
      <w:r w:rsidR="00490BF0">
        <w:t>“</w:t>
      </w:r>
      <w:r>
        <w:t xml:space="preserve"> und </w:t>
      </w:r>
      <w:r w:rsidR="00490BF0">
        <w:t>„</w:t>
      </w:r>
      <w:r>
        <w:t>Pflegedienstleitung</w:t>
      </w:r>
      <w:r w:rsidR="00490BF0">
        <w:t>“</w:t>
      </w:r>
      <w:r>
        <w:t xml:space="preserve"> an den</w:t>
      </w:r>
      <w:r w:rsidR="004B0209">
        <w:t xml:space="preserve"> </w:t>
      </w:r>
      <w:r>
        <w:t>Meisterbonus der Staatsregierung an. Derzeit erfolgt eine Prüfung durch das StMGP, inwiefern</w:t>
      </w:r>
      <w:r w:rsidR="004B0209">
        <w:t xml:space="preserve"> </w:t>
      </w:r>
      <w:r>
        <w:t>diese Weiterbildungen an den Meisterbonus angeschlossen werden können, welche rechtlichen</w:t>
      </w:r>
      <w:r w:rsidR="004B0209">
        <w:t xml:space="preserve"> </w:t>
      </w:r>
      <w:r>
        <w:t>Rahmenbedingungen hierfür noch geschaffen werden und in welcher Höhe und in welchem</w:t>
      </w:r>
      <w:r w:rsidR="004B0209">
        <w:t xml:space="preserve"> </w:t>
      </w:r>
      <w:r>
        <w:t>Umfang Haushaltsmittel hierfür zur Verfügung stehen müssten. Die Höhe der benötigten</w:t>
      </w:r>
      <w:r w:rsidR="004B0209">
        <w:t xml:space="preserve"> </w:t>
      </w:r>
      <w:r>
        <w:t>Haushaltsmittel kann dementsprechend noch nicht beziffert werden. Dem StMGP ist nicht bekannt,</w:t>
      </w:r>
      <w:r w:rsidR="004B0209">
        <w:t xml:space="preserve"> </w:t>
      </w:r>
      <w:r>
        <w:t>wie viele Pflegekräfte eine solche Ausbildung abgeschlossen haben.</w:t>
      </w:r>
    </w:p>
    <w:p w:rsidR="00230E2B" w:rsidRDefault="00230E2B">
      <w:bookmarkStart w:id="128" w:name="Frage_Nr_63_Ende"/>
      <w:bookmarkEnd w:id="1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0"/>
        <w:gridCol w:w="5796"/>
      </w:tblGrid>
      <w:tr w:rsidR="00230E2B" w:rsidTr="007B0B33">
        <w:tc>
          <w:tcPr>
            <w:tcW w:w="2050" w:type="dxa"/>
          </w:tcPr>
          <w:p w:rsidR="00230E2B" w:rsidRDefault="00230E2B" w:rsidP="00230E2B">
            <w:pPr>
              <w:pStyle w:val="LTAnfrageInitiator"/>
            </w:pPr>
            <w:r>
              <w:lastRenderedPageBreak/>
              <w:t>Abgeordneter</w:t>
            </w:r>
            <w:r>
              <w:rPr>
                <w:b/>
              </w:rPr>
              <w:br/>
              <w:t>Roland</w:t>
            </w:r>
            <w:r>
              <w:rPr>
                <w:b/>
              </w:rPr>
              <w:br/>
              <w:t>Magerl</w:t>
            </w:r>
            <w:r>
              <w:rPr>
                <w:b/>
              </w:rPr>
              <w:br/>
            </w:r>
            <w:r>
              <w:t>(AfD)</w:t>
            </w:r>
            <w:bookmarkStart w:id="129" w:name="Frage_Nr_64"/>
            <w:bookmarkEnd w:id="129"/>
          </w:p>
        </w:tc>
        <w:tc>
          <w:tcPr>
            <w:tcW w:w="7200" w:type="dxa"/>
          </w:tcPr>
          <w:p w:rsidR="00230E2B" w:rsidRDefault="005830E2" w:rsidP="00230E2B">
            <w:pPr>
              <w:pStyle w:val="LTAnfrageText"/>
            </w:pPr>
            <w:r w:rsidRPr="005830E2">
              <w:rPr>
                <w:szCs w:val="24"/>
              </w:rPr>
              <w:t>Ich frage die Staatsregierung, welche Auswirkungen es auf Bayern hat, dass die CDC (Centers for Disease Control and Prevention) in den USA ihr „CDC 2019-Novel Coronavirus (2019-nCoV) Real-Time RTPCR Diagnostic Panel“ zum Jahreswechsel zurückgerufen hat, wurde dieses Panel in bayerischen Laboren angewandt und welche Alternativen werden nun verwendet?</w:t>
            </w:r>
          </w:p>
        </w:tc>
      </w:tr>
    </w:tbl>
    <w:p w:rsidR="00230E2B" w:rsidRDefault="00230E2B" w:rsidP="00230E2B">
      <w:pPr>
        <w:pStyle w:val="LTUeberschrAntwortRessort"/>
      </w:pPr>
      <w:r>
        <w:t>Antwort des Staatsministeriums für Gesundheit und Pflege</w:t>
      </w:r>
    </w:p>
    <w:p w:rsidR="00230E2B" w:rsidRDefault="00230E2B" w:rsidP="00230E2B">
      <w:pPr>
        <w:pStyle w:val="LTAntwortRessortText"/>
      </w:pPr>
      <w:r>
        <w:t xml:space="preserve">Bei dem </w:t>
      </w:r>
      <w:r w:rsidR="00490BF0">
        <w:t>„</w:t>
      </w:r>
      <w:r>
        <w:t>CDC 2019-Novel Coronavirus (2019-nCoV) Real-Time RTPCR Diagnostic Panel</w:t>
      </w:r>
      <w:r w:rsidR="00490BF0">
        <w:t>“</w:t>
      </w:r>
      <w:r>
        <w:t xml:space="preserve"> handelt</w:t>
      </w:r>
      <w:r w:rsidR="00D44951">
        <w:t xml:space="preserve"> </w:t>
      </w:r>
      <w:r>
        <w:t>es sich um ein RT-PCR-Kit zum Nachweis von SARS-CoV-2, das per Emergency Use</w:t>
      </w:r>
      <w:r w:rsidR="00D44951">
        <w:t xml:space="preserve"> </w:t>
      </w:r>
      <w:r>
        <w:t>Authorization durch die Food and Drug Administration (FDA) in den USA zum Nachweis von</w:t>
      </w:r>
      <w:r w:rsidR="00D44951">
        <w:t xml:space="preserve"> </w:t>
      </w:r>
      <w:r>
        <w:t xml:space="preserve">SARS-CoV-2 zugelassen wurde. Der Rückruf erfolgte nicht aufgrund von Qualitätsmängeln </w:t>
      </w:r>
      <w:r w:rsidR="00D44951">
        <w:t>–</w:t>
      </w:r>
      <w:r>
        <w:t xml:space="preserve"> die</w:t>
      </w:r>
      <w:r w:rsidR="00D44951">
        <w:t xml:space="preserve"> </w:t>
      </w:r>
      <w:r>
        <w:t>Testergebnisse sind ver</w:t>
      </w:r>
      <w:r w:rsidR="001276F4">
        <w:t>lässlich, valide und spezifisch</w:t>
      </w:r>
      <w:r>
        <w:t>, sondern aufgrund der Tatsache, dass</w:t>
      </w:r>
      <w:r w:rsidR="00D44951">
        <w:t xml:space="preserve"> </w:t>
      </w:r>
      <w:r>
        <w:t>mittlerweile hunderte PCR-Testkits eine FDA-Zulassung erlangt haben und daher ein über</w:t>
      </w:r>
      <w:r w:rsidR="00D44951">
        <w:t xml:space="preserve"> </w:t>
      </w:r>
      <w:r>
        <w:t>Emergency Use Authorization zugelassener Einzeltest nicht mehr notwendig ist</w:t>
      </w:r>
      <w:r w:rsidR="001276F4">
        <w:rPr>
          <w:rStyle w:val="Funotenzeichen"/>
        </w:rPr>
        <w:footnoteReference w:id="8"/>
      </w:r>
      <w:r>
        <w:t>. Das CDC-Panel wurde</w:t>
      </w:r>
      <w:r w:rsidR="00D44951">
        <w:t xml:space="preserve"> </w:t>
      </w:r>
      <w:r>
        <w:t>am Landesamt für Gesundheit und Lebensmittelsicherheit nicht in der Routinediagnostik für SARS</w:t>
      </w:r>
      <w:r w:rsidR="00FC3CB7">
        <w:t>-</w:t>
      </w:r>
      <w:r>
        <w:t>CoV-2 verwendet. Inwiefern andere private Laborbetreiber in Bayern das Panel nutzen, ist dem</w:t>
      </w:r>
      <w:r w:rsidR="00D44951">
        <w:t xml:space="preserve"> </w:t>
      </w:r>
      <w:r w:rsidR="00FC3CB7">
        <w:t>Staatsministerium für Gesundheit und Pflege</w:t>
      </w:r>
      <w:r>
        <w:t xml:space="preserve"> nicht bekannt. Eine Einschränkung auf bestimmte verwendbare PoC-NAT</w:t>
      </w:r>
      <w:r w:rsidR="00D44951">
        <w:t>-</w:t>
      </w:r>
      <w:r>
        <w:t>Schnelltestgeräte</w:t>
      </w:r>
      <w:r w:rsidR="00D44951">
        <w:t xml:space="preserve"> </w:t>
      </w:r>
      <w:r>
        <w:t>sieht die Co</w:t>
      </w:r>
      <w:r w:rsidR="00FC3CB7">
        <w:t>ronavirus-Testverordnung</w:t>
      </w:r>
      <w:r>
        <w:t xml:space="preserve"> des Bundes nicht vor.</w:t>
      </w:r>
    </w:p>
    <w:p w:rsidR="00230E2B" w:rsidRDefault="00230E2B">
      <w:bookmarkStart w:id="130" w:name="Frage_Nr_64_Ende"/>
      <w:bookmarkEnd w:id="1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1"/>
        <w:gridCol w:w="5775"/>
      </w:tblGrid>
      <w:tr w:rsidR="00230E2B" w:rsidTr="007B0B33">
        <w:tc>
          <w:tcPr>
            <w:tcW w:w="2050" w:type="dxa"/>
          </w:tcPr>
          <w:p w:rsidR="00230E2B" w:rsidRDefault="00230E2B" w:rsidP="00230E2B">
            <w:pPr>
              <w:pStyle w:val="LTAnfrageInitiator"/>
            </w:pPr>
            <w:r>
              <w:lastRenderedPageBreak/>
              <w:t>Abgeordneter</w:t>
            </w:r>
            <w:r>
              <w:rPr>
                <w:b/>
              </w:rPr>
              <w:br/>
              <w:t>Christoph</w:t>
            </w:r>
            <w:r>
              <w:rPr>
                <w:b/>
              </w:rPr>
              <w:br/>
              <w:t>Maier</w:t>
            </w:r>
            <w:r>
              <w:rPr>
                <w:b/>
              </w:rPr>
              <w:br/>
            </w:r>
            <w:r>
              <w:t>(AfD)</w:t>
            </w:r>
            <w:bookmarkStart w:id="131" w:name="Frage_Nr_65"/>
            <w:bookmarkEnd w:id="131"/>
          </w:p>
        </w:tc>
        <w:tc>
          <w:tcPr>
            <w:tcW w:w="7200" w:type="dxa"/>
          </w:tcPr>
          <w:p w:rsidR="00230E2B" w:rsidRDefault="00A903E1" w:rsidP="00230E2B">
            <w:pPr>
              <w:pStyle w:val="LTAnfrageText"/>
            </w:pPr>
            <w:r w:rsidRPr="00A903E1">
              <w:rPr>
                <w:szCs w:val="24"/>
              </w:rPr>
              <w:t>Ich frage die Staatsregierung, wie viele Ärztinnen und Ärzte, Pfleger und Krankenschwestern standen dem Klinikverbund Allgäu jeweils in den Jahren 2012 bis 2022 zur Verfügung, welche Faktoren waren für etwaige Personalschwankungen maßgeblich verantwortlich und in wie vielen Fällen werden voraussichtlich Ärztinnen und Ärzten, Pflegern und Krankenschwestern des Klinikverbunds Allgäu mit der Einführung der sogenannten einrichtungsbezogenen Impfpflicht ein Tätigkeitverbot ausgesprochen werden?</w:t>
            </w:r>
          </w:p>
        </w:tc>
      </w:tr>
    </w:tbl>
    <w:p w:rsidR="00230E2B" w:rsidRDefault="00230E2B" w:rsidP="00230E2B">
      <w:pPr>
        <w:pStyle w:val="LTUeberschrAntwortRessort"/>
      </w:pPr>
      <w:r>
        <w:t>Antwort des Staatsministeriums für Gesundheit und Pflege</w:t>
      </w:r>
    </w:p>
    <w:p w:rsidR="00230E2B" w:rsidRDefault="00230E2B" w:rsidP="00230E2B">
      <w:pPr>
        <w:pStyle w:val="LTAntwortRessortText"/>
      </w:pPr>
      <w:r>
        <w:t xml:space="preserve">Es gibt keine allgemeine Aufsicht des </w:t>
      </w:r>
      <w:r w:rsidR="008202CB">
        <w:t>Staatsministeriums für Gesundheit und Pflege (</w:t>
      </w:r>
      <w:r>
        <w:t>StMGP</w:t>
      </w:r>
      <w:r w:rsidR="008202CB">
        <w:t>)</w:t>
      </w:r>
      <w:r>
        <w:t xml:space="preserve"> über den Betrieb von Krankenhäusern. Die Anzahl</w:t>
      </w:r>
      <w:r w:rsidR="006404A1">
        <w:t xml:space="preserve"> </w:t>
      </w:r>
      <w:r>
        <w:t>der durch den Klinikverbund Allgäu beschäftigten Ärzte, Pfleger und Krankenschwestern in den</w:t>
      </w:r>
      <w:r w:rsidR="006404A1">
        <w:t xml:space="preserve"> </w:t>
      </w:r>
      <w:r>
        <w:t>Jahren 2012 bis 2022 ist dem StMGP nicht bekannt. Über das Bayerische Landesamt für Statistik</w:t>
      </w:r>
      <w:r w:rsidR="006404A1">
        <w:t xml:space="preserve"> </w:t>
      </w:r>
      <w:r>
        <w:t>kann die Zahl des in bayerischen Krankenhäusern beschäftigten Personals auf Bezirks- und</w:t>
      </w:r>
      <w:r w:rsidR="006404A1">
        <w:t xml:space="preserve"> </w:t>
      </w:r>
      <w:r>
        <w:t>Landesebene abgerufen werden</w:t>
      </w:r>
      <w:r w:rsidR="008202CB">
        <w:rPr>
          <w:rStyle w:val="Funotenzeichen"/>
        </w:rPr>
        <w:footnoteReference w:id="9"/>
      </w:r>
      <w:r>
        <w:t>.</w:t>
      </w:r>
    </w:p>
    <w:p w:rsidR="00230E2B" w:rsidRDefault="00230E2B" w:rsidP="00230E2B">
      <w:pPr>
        <w:pStyle w:val="LTAntwortRessortText"/>
      </w:pPr>
      <w:r>
        <w:t>Zu den möglichen Auswirkungen der erst Mitte März 2022 in Kraft tretenden Impfpflicht sind auch</w:t>
      </w:r>
      <w:r w:rsidR="006404A1">
        <w:t xml:space="preserve"> </w:t>
      </w:r>
      <w:r>
        <w:t>deswegen noch keine zahlenmäßigen Aussagen möglich, da wesentliche Fragen zur Umsetzung</w:t>
      </w:r>
      <w:r w:rsidR="006404A1">
        <w:t xml:space="preserve"> </w:t>
      </w:r>
      <w:r>
        <w:t>der Impfp</w:t>
      </w:r>
      <w:r w:rsidR="00FC3CB7">
        <w:t>f</w:t>
      </w:r>
      <w:r>
        <w:t>licht noch nicht abschließend geklärt, sondern Gegenstand von Beratungen zwischen</w:t>
      </w:r>
      <w:r w:rsidR="006404A1">
        <w:t xml:space="preserve"> </w:t>
      </w:r>
      <w:r>
        <w:t>Bund und Ländern sind. Es wird zudem darauf hingewiesen, dass ein Verstoß gegen die</w:t>
      </w:r>
      <w:r w:rsidR="006404A1">
        <w:t xml:space="preserve"> </w:t>
      </w:r>
      <w:r>
        <w:t>Impfpflicht durch Bestandskräfte kein unmittelbares Beschäftigungs- / Tätigkeitsverbot zur Folge</w:t>
      </w:r>
      <w:r w:rsidR="006404A1">
        <w:t xml:space="preserve"> </w:t>
      </w:r>
      <w:r>
        <w:t>hat. Es ist also nicht davon auszugehen, dass den Einrichtungen ab dem 16.03.2022 ein Teil der</w:t>
      </w:r>
      <w:r w:rsidR="006404A1">
        <w:t xml:space="preserve"> </w:t>
      </w:r>
      <w:r>
        <w:t>Belegschaft fehlt. Dies wurde so auch in mehrfachen Gesprächen mit Pflege-Trägerverbänden</w:t>
      </w:r>
      <w:r w:rsidR="006404A1">
        <w:t xml:space="preserve"> </w:t>
      </w:r>
      <w:r>
        <w:t>kommuniziert. Stattdessen erfolgt ein gestuftes Verwaltungsverfahren, bevor die</w:t>
      </w:r>
      <w:r w:rsidR="006404A1">
        <w:t xml:space="preserve"> </w:t>
      </w:r>
      <w:r>
        <w:t>Gesundheitsämter im Rahmen ihres pflichtgemäßen Ermessens und unter Berücksichtigung aller</w:t>
      </w:r>
      <w:r w:rsidR="006404A1">
        <w:t xml:space="preserve"> </w:t>
      </w:r>
      <w:r>
        <w:t>Umstände des Einzelfalls (insb. der Versorgungssicherheit) Sanktionen verhängen.</w:t>
      </w:r>
    </w:p>
    <w:p w:rsidR="00230E2B" w:rsidRDefault="00230E2B" w:rsidP="00230E2B">
      <w:pPr>
        <w:pStyle w:val="LTAntwortRessortText"/>
      </w:pPr>
      <w:r>
        <w:t xml:space="preserve">Personen, die ab dem 16.03.2022 neu in von § 20a </w:t>
      </w:r>
      <w:r w:rsidR="008202CB">
        <w:t>des Infektionsschutzgesetzes (</w:t>
      </w:r>
      <w:r>
        <w:t>IfSG</w:t>
      </w:r>
      <w:r w:rsidR="008202CB">
        <w:t>)</w:t>
      </w:r>
      <w:r>
        <w:t xml:space="preserve"> erfassten Einrichtungen und</w:t>
      </w:r>
      <w:r w:rsidR="006404A1">
        <w:t xml:space="preserve"> </w:t>
      </w:r>
      <w:r>
        <w:t>Unternehmen tätig werden wollen (Neukräfte), müssen vor Beginn der Tätigkeit entsprechende</w:t>
      </w:r>
      <w:r w:rsidR="006404A1">
        <w:t xml:space="preserve"> </w:t>
      </w:r>
      <w:r>
        <w:t>Nachweise vorlegen. Andernfalls dürfen Neukräfte die Tätigkeit nicht aufnehmen (§ 20a Ab</w:t>
      </w:r>
      <w:r w:rsidR="006404A1">
        <w:t>s.</w:t>
      </w:r>
      <w:r>
        <w:t xml:space="preserve"> 3</w:t>
      </w:r>
      <w:r w:rsidR="006404A1">
        <w:t xml:space="preserve"> </w:t>
      </w:r>
      <w:r>
        <w:t>IfSG). Hier gilt unmittelbar ein gesetzliches Tätigkeits- und Beschäftigungsverbot</w:t>
      </w:r>
      <w:r w:rsidR="008202CB">
        <w:t>.</w:t>
      </w:r>
    </w:p>
    <w:p w:rsidR="00230E2B" w:rsidRDefault="00230E2B">
      <w:bookmarkStart w:id="132" w:name="Frage_Nr_65_Ende"/>
      <w:bookmarkEnd w:id="1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230E2B" w:rsidTr="007B0B33">
        <w:tc>
          <w:tcPr>
            <w:tcW w:w="2050" w:type="dxa"/>
          </w:tcPr>
          <w:p w:rsidR="00230E2B" w:rsidRDefault="00230E2B" w:rsidP="00230E2B">
            <w:pPr>
              <w:pStyle w:val="LTAnfrageInitiator"/>
            </w:pPr>
            <w:r>
              <w:lastRenderedPageBreak/>
              <w:t>Abgeordneter</w:t>
            </w:r>
            <w:r>
              <w:rPr>
                <w:b/>
              </w:rPr>
              <w:br/>
              <w:t>Hep</w:t>
            </w:r>
            <w:r>
              <w:rPr>
                <w:b/>
              </w:rPr>
              <w:br/>
              <w:t>Monatzeder</w:t>
            </w:r>
            <w:r>
              <w:rPr>
                <w:b/>
              </w:rPr>
              <w:br/>
            </w:r>
            <w:r>
              <w:t>(BÜNDNIS 90/DIE GRÜNEN)</w:t>
            </w:r>
            <w:bookmarkStart w:id="133" w:name="Frage_Nr_66"/>
            <w:bookmarkEnd w:id="133"/>
          </w:p>
        </w:tc>
        <w:tc>
          <w:tcPr>
            <w:tcW w:w="7200" w:type="dxa"/>
          </w:tcPr>
          <w:p w:rsidR="00230E2B" w:rsidRDefault="00A903E1" w:rsidP="00230E2B">
            <w:pPr>
              <w:pStyle w:val="LTAnfrageText"/>
            </w:pPr>
            <w:r w:rsidRPr="00A903E1">
              <w:rPr>
                <w:szCs w:val="24"/>
              </w:rPr>
              <w:t>Ich frage die Staatsregierung, wie sie plant den neuen Nuvaxovid-Impfstoff ab dem 21. Februar 2022 in Bayern zu verteilen, wie werden gezielt ungeimpfte Beschäftigte in Einrichtungen angesprochen, für die ab dem 15. März 2022 die einrichtungsbezogene Impfpflicht gilt und wie plant sie die Kommunikation über den Einsatz von Nuvaxovid?</w:t>
            </w:r>
          </w:p>
        </w:tc>
      </w:tr>
    </w:tbl>
    <w:p w:rsidR="00230E2B" w:rsidRDefault="00230E2B" w:rsidP="00230E2B">
      <w:pPr>
        <w:pStyle w:val="LTUeberschrAntwortRessort"/>
      </w:pPr>
      <w:r>
        <w:t>Antwort des Staatsministeriums für Gesundheit und Pflege</w:t>
      </w:r>
    </w:p>
    <w:p w:rsidR="00230E2B" w:rsidRDefault="00230E2B" w:rsidP="00230E2B">
      <w:pPr>
        <w:pStyle w:val="LTAntwortRessortText"/>
      </w:pPr>
      <w:r>
        <w:t xml:space="preserve">Die Gesundheitsministerkonferenz </w:t>
      </w:r>
      <w:r w:rsidR="00FC3CB7">
        <w:t xml:space="preserve">(GMK) </w:t>
      </w:r>
      <w:r>
        <w:t>hat am 22.01.2022 beschlossen, den Impfstoff von Novavax</w:t>
      </w:r>
      <w:r w:rsidR="00D7753F">
        <w:t xml:space="preserve"> </w:t>
      </w:r>
      <w:r>
        <w:t>prioritär an bisher nicht geimpfte Beschäftigte in den von der einrichtungsbezogenen Impfpflicht</w:t>
      </w:r>
      <w:r w:rsidR="00D7753F">
        <w:t xml:space="preserve"> </w:t>
      </w:r>
      <w:r>
        <w:t>betroffenen Einrichtungen bzw. Unternehmen zu verimpfen. Nach dem Beschluss sollen</w:t>
      </w:r>
      <w:r w:rsidR="00D7753F">
        <w:t xml:space="preserve"> </w:t>
      </w:r>
      <w:r>
        <w:t>Beschäftigte, die sich bislang noch nicht für eine COVID-19-Schutzimpfung entscheiden konnten,</w:t>
      </w:r>
      <w:r w:rsidR="00D7753F">
        <w:t xml:space="preserve"> </w:t>
      </w:r>
      <w:r>
        <w:t>die Möglichkeit erhalten, zeitnah noch eine vollständige Impfung mit dem neuen Impfstoff Novavax</w:t>
      </w:r>
      <w:r w:rsidR="00D7753F">
        <w:t xml:space="preserve"> </w:t>
      </w:r>
      <w:r>
        <w:t>zu erlangen, der voraussichtlich ab Ende Februar zur Verfügung steht. Weiter wurde beschlossen,</w:t>
      </w:r>
      <w:r w:rsidR="00D7753F">
        <w:t xml:space="preserve"> </w:t>
      </w:r>
      <w:r>
        <w:t>dass die Beschäftigten, die glaubhaft versichern, sich in absehbarer Zeit vollständig impfen zu</w:t>
      </w:r>
      <w:r w:rsidR="00D7753F">
        <w:t xml:space="preserve"> </w:t>
      </w:r>
      <w:r>
        <w:t>lassen, ausreichend Gelegenheit erhalten, die Impfserie abzuschließen, ohne sofort mit</w:t>
      </w:r>
      <w:r w:rsidR="00D7753F">
        <w:t xml:space="preserve"> </w:t>
      </w:r>
      <w:r>
        <w:t>Sanktionen rechnen zu müssen. Es stehen noch Festlegungen und Informationen des Bundes,</w:t>
      </w:r>
      <w:r w:rsidR="00D7753F">
        <w:t xml:space="preserve"> </w:t>
      </w:r>
      <w:r>
        <w:t>insbesondere zu der zur Verfügung stehenden Menge und zur Verteilung des Impfstoffs auf die</w:t>
      </w:r>
      <w:r w:rsidR="00D7753F">
        <w:t xml:space="preserve"> </w:t>
      </w:r>
      <w:r>
        <w:t>Länder, au</w:t>
      </w:r>
      <w:r w:rsidR="00D7753F">
        <w:t>s</w:t>
      </w:r>
      <w:r>
        <w:t xml:space="preserve"> Auch ist aktuell noch offen, ab wann genau der Impfstoff vom Bund zur Verfügung</w:t>
      </w:r>
      <w:r w:rsidR="00D7753F">
        <w:t xml:space="preserve"> </w:t>
      </w:r>
      <w:r>
        <w:t>gestellt wird.</w:t>
      </w:r>
    </w:p>
    <w:p w:rsidR="00230E2B" w:rsidRDefault="00230E2B" w:rsidP="00230E2B">
      <w:pPr>
        <w:pStyle w:val="LTAntwortRessortText"/>
      </w:pPr>
      <w:r>
        <w:t xml:space="preserve">Ein Konzept zur Umsetzung dieses GMK-Beschlusses wird derzeit vom </w:t>
      </w:r>
      <w:r w:rsidR="00EE7B41">
        <w:t>Staatsministe</w:t>
      </w:r>
      <w:r w:rsidR="00FC3CB7">
        <w:t>rium für Gesundheit und Pflege</w:t>
      </w:r>
      <w:r>
        <w:t xml:space="preserve"> erarbeitet. Dieses</w:t>
      </w:r>
      <w:r w:rsidR="00D7753F">
        <w:t xml:space="preserve"> </w:t>
      </w:r>
      <w:r>
        <w:t>wird auch Informationen zur gezielten Ansprache des primär angesprochenen Personenkreises</w:t>
      </w:r>
      <w:r w:rsidR="00D7753F">
        <w:t xml:space="preserve"> </w:t>
      </w:r>
      <w:r>
        <w:t>beinhalten.</w:t>
      </w:r>
    </w:p>
    <w:p w:rsidR="00230E2B" w:rsidRDefault="00230E2B">
      <w:bookmarkStart w:id="134" w:name="Frage_Nr_66_Ende"/>
      <w:bookmarkEnd w:id="1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230E2B" w:rsidTr="007B0B33">
        <w:tc>
          <w:tcPr>
            <w:tcW w:w="2050" w:type="dxa"/>
          </w:tcPr>
          <w:p w:rsidR="00230E2B" w:rsidRDefault="00230E2B" w:rsidP="00230E2B">
            <w:pPr>
              <w:pStyle w:val="LTAnfrageInitiator"/>
            </w:pPr>
            <w:r>
              <w:lastRenderedPageBreak/>
              <w:t>Abgeordnete</w:t>
            </w:r>
            <w:r>
              <w:rPr>
                <w:b/>
              </w:rPr>
              <w:br/>
              <w:t>Stephanie</w:t>
            </w:r>
            <w:r>
              <w:rPr>
                <w:b/>
              </w:rPr>
              <w:br/>
              <w:t>Schuhknecht</w:t>
            </w:r>
            <w:r>
              <w:rPr>
                <w:b/>
              </w:rPr>
              <w:br/>
            </w:r>
            <w:r>
              <w:t>(BÜNDNIS 90/DIE GRÜNEN)</w:t>
            </w:r>
            <w:bookmarkStart w:id="135" w:name="Frage_Nr_67"/>
            <w:bookmarkEnd w:id="135"/>
          </w:p>
        </w:tc>
        <w:tc>
          <w:tcPr>
            <w:tcW w:w="7200" w:type="dxa"/>
          </w:tcPr>
          <w:p w:rsidR="00230E2B" w:rsidRDefault="00255766" w:rsidP="00FC3CB7">
            <w:pPr>
              <w:pStyle w:val="LTAnfrageText"/>
            </w:pPr>
            <w:r w:rsidRPr="00255766">
              <w:rPr>
                <w:szCs w:val="24"/>
              </w:rPr>
              <w:t>Da Landtagspräsidentin Ilse Aigner mit Schreiben vom 24.01.2022 die Abgeordneten informierte, dass für Corona-Schnelltestungen im Landtag Antigentests eines anderen Anbieters beschafft wurden, die „nach einer Überprüfung durch das Paul-Ehrlich-Institut eine besonders hohe Sensitivität bei Omikron ausweisen“, frage ich die Staatsregierung, liegen der Staatsregierung ebenfalls Erkenntnisse über bei Omikron besonders sensitive Antigenschnelltests, die vom Paul-Ehrlich-Institut (PEI) überprüft wurden, vor (bitte die entsprechenden Tests mit Handelsnamen, Hersteller, Art des Abstrichs und Sensitivität bei</w:t>
            </w:r>
            <w:r w:rsidR="00FC3CB7">
              <w:rPr>
                <w:szCs w:val="24"/>
              </w:rPr>
              <w:t xml:space="preserve"> </w:t>
            </w:r>
            <w:r w:rsidRPr="00255766">
              <w:rPr>
                <w:szCs w:val="24"/>
              </w:rPr>
              <w:t>Omikron auflisten), werden für die weitergehenden Schulen in Bayern, in denen dreimal pro Woche ein Antigenschnelltest durchgeführt wird, diese Erkenntnisse einbezogen und entsprechend den Überprüfungen vom PEI bei Omikron sehr sensitive Schnelltests beschafft und verwendet und da erste Ergebnisse von Überprüfungen der Antigenschnelltest darauf hinweisen, dass bei zusätzlichem Rachenabstrich genauere Ergebnisse erzielt werden, ist geplant, die aktuell an den weiterführenden Schulen verwendeten sog. Nasenpopeltests durch PCR-Pooltests oder zumindest durch sog. Lollitests zu ersetzen?</w:t>
            </w:r>
          </w:p>
        </w:tc>
      </w:tr>
    </w:tbl>
    <w:p w:rsidR="00230E2B" w:rsidRDefault="00230E2B" w:rsidP="00230E2B">
      <w:pPr>
        <w:pStyle w:val="LTUeberschrAntwortRessort"/>
      </w:pPr>
      <w:r>
        <w:t>Antwort des Staatsministeriums für Gesundheit und Pflege</w:t>
      </w:r>
    </w:p>
    <w:p w:rsidR="006C358F" w:rsidRDefault="00230E2B" w:rsidP="00230E2B">
      <w:pPr>
        <w:pStyle w:val="LTAntwortRessortText"/>
      </w:pPr>
      <w:r>
        <w:t xml:space="preserve">Nach Kenntnis des </w:t>
      </w:r>
      <w:r w:rsidR="002A14D5">
        <w:t>Staatsministeriums für Gesundheit und Pflege (</w:t>
      </w:r>
      <w:r>
        <w:t>StMGP</w:t>
      </w:r>
      <w:r w:rsidR="002A14D5">
        <w:t>)</w:t>
      </w:r>
      <w:r>
        <w:t xml:space="preserve"> führt das Paul-Ehrlich-Institut (PEI) aktuell Untersuchungen hinsichtlich</w:t>
      </w:r>
      <w:r w:rsidR="006C358F">
        <w:t xml:space="preserve"> </w:t>
      </w:r>
      <w:r>
        <w:t>der Fähigkeit von Antigen-Schnelltests, die Omikron-Variante zu erkennen, durch. Die</w:t>
      </w:r>
      <w:r w:rsidR="006C358F">
        <w:t xml:space="preserve"> </w:t>
      </w:r>
      <w:r>
        <w:t>Veröffentlichung dieser Ergebnisse ist für Mitte / Ende Februar 2022 angekündigt. Dem StMGP</w:t>
      </w:r>
      <w:r w:rsidR="006C358F">
        <w:t xml:space="preserve"> </w:t>
      </w:r>
      <w:r>
        <w:t xml:space="preserve">liegen noch keine Ergebnisse oder Informationen diesbezüglich vor. Gemäß der </w:t>
      </w:r>
      <w:r w:rsidR="00490BF0">
        <w:t>„</w:t>
      </w:r>
      <w:r>
        <w:t>Vergleichenden</w:t>
      </w:r>
      <w:r w:rsidR="006C358F">
        <w:t xml:space="preserve"> </w:t>
      </w:r>
      <w:r>
        <w:t>Evaluierung der Sensitivität von SARS-CoV-2 Antigenschnelltests</w:t>
      </w:r>
      <w:r w:rsidR="00490BF0">
        <w:t>“</w:t>
      </w:r>
      <w:r>
        <w:t xml:space="preserve"> (Stand: 12.01.2022), die das</w:t>
      </w:r>
      <w:r w:rsidR="006C358F">
        <w:t xml:space="preserve"> </w:t>
      </w:r>
      <w:r>
        <w:t>PEI gemeinsam mit weiteren Laboren durchgeführt hat und deren Ziel es ist zu ermitteln, welche</w:t>
      </w:r>
      <w:r w:rsidR="006C358F">
        <w:t xml:space="preserve"> </w:t>
      </w:r>
      <w:r>
        <w:t>beim Bundesinstitut für Arzneimittel und Medizinprodukte (BfArM) gelisteten Antigenschnelltests</w:t>
      </w:r>
      <w:r w:rsidR="006C358F">
        <w:t xml:space="preserve"> </w:t>
      </w:r>
      <w:r>
        <w:t xml:space="preserve">dem derzeitigen Stand der Technik entsprechen, indem sie eine Mindestsensitivität von 75 </w:t>
      </w:r>
      <w:r w:rsidR="005508E8">
        <w:t>Prozent</w:t>
      </w:r>
      <w:r>
        <w:t xml:space="preserve"> für</w:t>
      </w:r>
      <w:r w:rsidR="006C358F">
        <w:t xml:space="preserve"> </w:t>
      </w:r>
      <w:r>
        <w:t>Pools mit einem Ct =25 aufweisen, sind sämtliche der an den Schulen eingesetzten und im</w:t>
      </w:r>
      <w:r w:rsidR="006C358F">
        <w:t xml:space="preserve"> </w:t>
      </w:r>
      <w:r>
        <w:t>Rahmen der Studie überprüften Selbsttests als auf dem Stand der Technik zu werten.</w:t>
      </w:r>
    </w:p>
    <w:p w:rsidR="00230E2B" w:rsidRDefault="00230E2B" w:rsidP="00230E2B">
      <w:pPr>
        <w:pStyle w:val="LTAntwortRessortText"/>
      </w:pPr>
      <w:r>
        <w:t>Darüber hinaus ist die Ausweitung der seit September 2021 erfolgreich an Grund- und</w:t>
      </w:r>
      <w:r w:rsidR="006C358F">
        <w:t xml:space="preserve"> </w:t>
      </w:r>
      <w:r>
        <w:t>Förderschulen etablierten PCR-Pooltests (</w:t>
      </w:r>
      <w:r w:rsidR="00490BF0">
        <w:t>„</w:t>
      </w:r>
      <w:r>
        <w:t>Lollitests</w:t>
      </w:r>
      <w:r w:rsidR="00490BF0">
        <w:t>“</w:t>
      </w:r>
      <w:r>
        <w:t xml:space="preserve"> im PCR-Verfahren) auf die Jahrgangsstufen</w:t>
      </w:r>
      <w:r w:rsidR="006C358F">
        <w:t xml:space="preserve"> </w:t>
      </w:r>
      <w:r>
        <w:t>5 und 6 der weiterführenden Schulen beschlossen. Über den Zeitpunkt der Einführung ist unter</w:t>
      </w:r>
      <w:r w:rsidR="006C358F">
        <w:t xml:space="preserve"> </w:t>
      </w:r>
      <w:r>
        <w:t>Berücksichtigung der zur Verfügung stehenden Laborkapazitäten und im Lichte der angekündigten</w:t>
      </w:r>
      <w:r w:rsidR="006C358F">
        <w:t xml:space="preserve"> </w:t>
      </w:r>
      <w:r>
        <w:t>nationalen Teststrategie des Bundes zu entscheiden.</w:t>
      </w:r>
    </w:p>
    <w:p w:rsidR="00230E2B" w:rsidRDefault="00230E2B" w:rsidP="00230E2B">
      <w:pPr>
        <w:pStyle w:val="LTAntwortRessortText"/>
      </w:pPr>
      <w:r>
        <w:t>Auch im Hinblick auf die Omikron-Variante bietet Bayern somit ein im Bundesvergleich maximal</w:t>
      </w:r>
      <w:r w:rsidR="006C358F">
        <w:t xml:space="preserve"> </w:t>
      </w:r>
      <w:r>
        <w:t>zuverlässiges Testkonzept an den Schulen an. Wo (noch) nicht mittels PCR-Test gepoolt wird, gibt</w:t>
      </w:r>
      <w:r w:rsidR="006C358F">
        <w:t xml:space="preserve"> </w:t>
      </w:r>
      <w:r>
        <w:t>es eine Auswahl an Selbsttests, mit deren Hilfe bei einem engmaschigen Testrhythmus eine</w:t>
      </w:r>
      <w:r w:rsidR="006C358F">
        <w:t xml:space="preserve"> </w:t>
      </w:r>
      <w:r>
        <w:t>Infektion frühzeitig erkannt werden kann.</w:t>
      </w:r>
    </w:p>
    <w:p w:rsidR="00230E2B" w:rsidRDefault="00230E2B">
      <w:bookmarkStart w:id="136" w:name="Frage_Nr_67_Ende"/>
      <w:bookmarkEnd w:id="1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230E2B" w:rsidTr="007B0B33">
        <w:tc>
          <w:tcPr>
            <w:tcW w:w="2050" w:type="dxa"/>
          </w:tcPr>
          <w:p w:rsidR="00230E2B" w:rsidRDefault="00230E2B" w:rsidP="00230E2B">
            <w:pPr>
              <w:pStyle w:val="LTAnfrageInitiator"/>
            </w:pPr>
            <w:r>
              <w:lastRenderedPageBreak/>
              <w:t>Abgeordneter</w:t>
            </w:r>
            <w:r>
              <w:rPr>
                <w:b/>
              </w:rPr>
              <w:br/>
              <w:t>Dr. Dominik</w:t>
            </w:r>
            <w:r>
              <w:rPr>
                <w:b/>
              </w:rPr>
              <w:br/>
              <w:t>Spitzer</w:t>
            </w:r>
            <w:r>
              <w:rPr>
                <w:b/>
              </w:rPr>
              <w:br/>
            </w:r>
            <w:r>
              <w:t>(FDP)</w:t>
            </w:r>
            <w:bookmarkStart w:id="137" w:name="Frage_Nr_68"/>
            <w:bookmarkEnd w:id="137"/>
          </w:p>
        </w:tc>
        <w:tc>
          <w:tcPr>
            <w:tcW w:w="7200" w:type="dxa"/>
          </w:tcPr>
          <w:p w:rsidR="00230E2B" w:rsidRDefault="00F11070" w:rsidP="00230E2B">
            <w:pPr>
              <w:pStyle w:val="LTAnfrageText"/>
            </w:pPr>
            <w:r w:rsidRPr="00F11070">
              <w:rPr>
                <w:szCs w:val="24"/>
              </w:rPr>
              <w:t>Da der Vereinigung der Pflegenden in Bayern hoheitliche Aufgaben wie die Registrierung der Praxisanleiter, die Anerkennung von Weiterbildungsverbünden und die Durchführung einer Pflichtregistrierung für alle in Bayern tätigen Pflegefachpersonen übertragen wurden, frage ich die Staatsregierung, welche Erkenntnisse zur Ausgestaltung und Durchführung der Pflichtregistrierung bis dato abgestimmt und beschlossen wurden und wann mit der Registrierung begonnen werden soll?</w:t>
            </w:r>
          </w:p>
        </w:tc>
      </w:tr>
    </w:tbl>
    <w:p w:rsidR="00230E2B" w:rsidRDefault="00230E2B" w:rsidP="00230E2B">
      <w:pPr>
        <w:pStyle w:val="LTUeberschrAntwortRessort"/>
      </w:pPr>
      <w:r>
        <w:t>Antwort des Staatsministeriums für Gesundheit und Pflege</w:t>
      </w:r>
    </w:p>
    <w:p w:rsidR="00230E2B" w:rsidRDefault="00230E2B" w:rsidP="00230E2B">
      <w:pPr>
        <w:pStyle w:val="LTAntwortRessortText"/>
      </w:pPr>
      <w:r>
        <w:t>Auf Landesebene gibt es aktuell keine Verpflichtung für in Bayern tätige Pflegefachpersonen, sich</w:t>
      </w:r>
      <w:r w:rsidR="00D66B1D">
        <w:t xml:space="preserve"> </w:t>
      </w:r>
      <w:r>
        <w:t>bei der Vereinigung der Pflegenden in Bayern (VdPB) zu registrieren.</w:t>
      </w:r>
    </w:p>
    <w:p w:rsidR="00230E2B" w:rsidRDefault="00230E2B" w:rsidP="00230E2B">
      <w:pPr>
        <w:pStyle w:val="LTAntwortRessortText"/>
      </w:pPr>
      <w:r>
        <w:t>Es wird jedoch angestrebt, eine solche Registrierungsverpflichtung auf Landesebene gesetzlich zu</w:t>
      </w:r>
      <w:r w:rsidR="00D66B1D">
        <w:t xml:space="preserve"> </w:t>
      </w:r>
      <w:r>
        <w:t>verankern und ein Berufsregister für Pflegefachpersonen bei der VdPB zu schaffen. Derzeit</w:t>
      </w:r>
      <w:r w:rsidR="00D66B1D">
        <w:t xml:space="preserve"> </w:t>
      </w:r>
      <w:r>
        <w:t>befindet sich ein Gesetzentwurf in Vorbereitung.</w:t>
      </w:r>
    </w:p>
    <w:p w:rsidR="00230E2B" w:rsidRDefault="00230E2B">
      <w:bookmarkStart w:id="138" w:name="Frage_Nr_68_Ende"/>
      <w:bookmarkEnd w:id="1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tblGrid>
      <w:tr w:rsidR="00230E2B" w:rsidTr="007B0B33">
        <w:tc>
          <w:tcPr>
            <w:tcW w:w="2050" w:type="dxa"/>
          </w:tcPr>
          <w:p w:rsidR="00230E2B" w:rsidRDefault="00230E2B" w:rsidP="00230E2B">
            <w:pPr>
              <w:pStyle w:val="LTAnfrageInitiator"/>
            </w:pPr>
            <w:r>
              <w:lastRenderedPageBreak/>
              <w:t>Abgeordneter</w:t>
            </w:r>
            <w:r w:rsidR="000C18F1">
              <w:rPr>
                <w:b/>
              </w:rPr>
              <w:br/>
              <w:t>Arif</w:t>
            </w:r>
            <w:r w:rsidR="000C18F1">
              <w:rPr>
                <w:b/>
              </w:rPr>
              <w:br/>
              <w:t>Ta</w:t>
            </w:r>
            <w:r w:rsidR="000C18F1">
              <w:rPr>
                <w:rFonts w:cs="Arial"/>
                <w:b/>
              </w:rPr>
              <w:t>ş</w:t>
            </w:r>
            <w:r>
              <w:rPr>
                <w:b/>
              </w:rPr>
              <w:t>delen</w:t>
            </w:r>
            <w:r>
              <w:rPr>
                <w:b/>
              </w:rPr>
              <w:br/>
            </w:r>
            <w:r>
              <w:t>(SPD)</w:t>
            </w:r>
            <w:bookmarkStart w:id="139" w:name="Frage_Nr_69"/>
            <w:bookmarkEnd w:id="139"/>
          </w:p>
        </w:tc>
        <w:tc>
          <w:tcPr>
            <w:tcW w:w="7200" w:type="dxa"/>
          </w:tcPr>
          <w:p w:rsidR="00230E2B" w:rsidRDefault="004F2451" w:rsidP="00230E2B">
            <w:pPr>
              <w:pStyle w:val="LTAnfrageText"/>
            </w:pPr>
            <w:r w:rsidRPr="004F2451">
              <w:rPr>
                <w:szCs w:val="24"/>
              </w:rPr>
              <w:t>Angesichts der aktuellen Diskussion über die Aussagekraft der vorliegenden Statistiken zu Hospitalisierungen im Zusammenhang mit COVID-19 (insbesondere mit Blick darauf, in welchen Fällen Corona Haupt- oder Nebendiagnose ist), frage ich die Staatsregierung, inwieweit stellen das Landesamt für Gesundheit und Lebensmittelsicherheit und das Staatministerium für Gesundheit und Pflege bislang Daten mit einer entsprechenden Differenzierung der Gründe für den Krankenhausaufenthalt zur Verfügung, lagen bzw. liegen derlei Daten in Bezug auf die Delta-Variante vor und inwieweit ist es nach Einschätzung der Staatsregierung medizinisch möglich bzw. praktisch umsetzbar, eine valide Unterscheidung der Hospitalisierungsfälle in Bayern mit Corona als Haupt- oder Nebendiagnose vorzunehmen (bitte entsprechende Ansatzpunkte aus Sicht der Staatsregierung möglichst konkret benennen)?</w:t>
            </w:r>
          </w:p>
        </w:tc>
      </w:tr>
    </w:tbl>
    <w:p w:rsidR="00230E2B" w:rsidRDefault="00230E2B" w:rsidP="00230E2B">
      <w:pPr>
        <w:pStyle w:val="LTUeberschrAntwortRessort"/>
      </w:pPr>
      <w:r>
        <w:t>Antwort des Staatsministeriums für Gesundheit und Pflege</w:t>
      </w:r>
    </w:p>
    <w:p w:rsidR="00230E2B" w:rsidRDefault="00230E2B" w:rsidP="00230E2B">
      <w:pPr>
        <w:pStyle w:val="LTAntwortRessortText"/>
      </w:pPr>
      <w:r>
        <w:t>Die Meldepflicht nach §§ 6, 8, 9 Infektionsschutzgesetz bildet zusammen mit der Verordnung des</w:t>
      </w:r>
      <w:r w:rsidR="000C18F1">
        <w:t xml:space="preserve"> </w:t>
      </w:r>
      <w:r>
        <w:t>Bundesministeriums der Gesundheit über die Erweiterung der Meldepflicht nach § 6 Absatz 1 Satz</w:t>
      </w:r>
      <w:r w:rsidR="000C18F1">
        <w:t xml:space="preserve"> </w:t>
      </w:r>
      <w:r>
        <w:t>1 Nummer 1 des Infektionsschutzgesetzes auf Hospitalisierungen in Bezug auf die Coronavirus-Krankheit-2019 den rechtlichen Rahmen für die Gewinnung von COVID-19-Hospitalsierungsdaten</w:t>
      </w:r>
      <w:r w:rsidR="000C18F1">
        <w:t xml:space="preserve"> </w:t>
      </w:r>
      <w:r>
        <w:t>und deren mögliche Auswertung. § 1 Ab</w:t>
      </w:r>
      <w:r w:rsidR="000C18F1">
        <w:t>s.</w:t>
      </w:r>
      <w:r>
        <w:t xml:space="preserve"> 1 der Verordnung erweitert die Pflicht zur namentlichen</w:t>
      </w:r>
      <w:r w:rsidR="000C18F1">
        <w:t xml:space="preserve"> </w:t>
      </w:r>
      <w:r>
        <w:t>Meldung auf die Aufnahme einer Person in ein Krankenhaus in Bezug auf eine COVID-19-Erkrankung. Meldepflichtig sind neben dem im Krankenhaus feststellenden Arzt auch der leitende</w:t>
      </w:r>
      <w:r w:rsidR="000C18F1">
        <w:t xml:space="preserve"> </w:t>
      </w:r>
      <w:r>
        <w:t>Arzt des Krankenhauses oder in einem Krankenhaus mit mehreren selbständigen Abteilungen der</w:t>
      </w:r>
      <w:r w:rsidR="000C18F1">
        <w:t xml:space="preserve"> </w:t>
      </w:r>
      <w:r>
        <w:t xml:space="preserve">leitende Abteilungsarzt. Das Robert Koch-Institut (RKI) geht in seinen </w:t>
      </w:r>
      <w:r w:rsidR="00490BF0">
        <w:t>„</w:t>
      </w:r>
      <w:r>
        <w:t>Hinweisen zur Umsetzung</w:t>
      </w:r>
      <w:r w:rsidR="000C18F1">
        <w:t xml:space="preserve"> </w:t>
      </w:r>
      <w:r>
        <w:t>der Meldepflicht bei Aufnahme einer Person in ein Krankenhaus in Bezug auf die Coronavirus-Krankheit-2019</w:t>
      </w:r>
      <w:r w:rsidR="00490BF0">
        <w:t>“</w:t>
      </w:r>
      <w:r>
        <w:t xml:space="preserve"> nicht darauf ein, welche Kriterien hierfür angelegt werden sollen. Die Entscheidung,</w:t>
      </w:r>
      <w:r w:rsidR="000C18F1">
        <w:t xml:space="preserve"> </w:t>
      </w:r>
      <w:r>
        <w:t>warum eine Patientin / ein Patient hospitalisiert wurde, obliegt vielmehr der meldenden Ärztin / dem</w:t>
      </w:r>
      <w:r w:rsidR="000C18F1">
        <w:t xml:space="preserve"> </w:t>
      </w:r>
      <w:r>
        <w:t>meldenden Arzt. Das RKI führt in seinen Hinweisen hierzu weiter aus, dass jede Hospitalisierung in</w:t>
      </w:r>
      <w:r w:rsidR="000C18F1">
        <w:t xml:space="preserve"> </w:t>
      </w:r>
      <w:r>
        <w:t>Bezug auf COVID-19 meldepflichtig ist. Das bedeutet, dass der Grund der Aufnahme in</w:t>
      </w:r>
      <w:r w:rsidR="000C18F1">
        <w:t xml:space="preserve"> </w:t>
      </w:r>
      <w:r>
        <w:t>Zusammenhang mit der COVID-19-Erkrankung steht, aber ein direkter kausaler Zusammenhang</w:t>
      </w:r>
      <w:r w:rsidR="000C18F1">
        <w:t xml:space="preserve"> </w:t>
      </w:r>
      <w:r>
        <w:t>zum Zeitpunkt der Meldung noch nicht hergestellt werden mus</w:t>
      </w:r>
      <w:r w:rsidR="000C18F1">
        <w:t>s</w:t>
      </w:r>
      <w:r>
        <w:t xml:space="preserve"> Dies soll eine niedrigschwellige,</w:t>
      </w:r>
      <w:r w:rsidR="000C18F1">
        <w:t xml:space="preserve"> </w:t>
      </w:r>
      <w:r>
        <w:t>zügige und aufwandsarme Meldung gewährleisten.</w:t>
      </w:r>
    </w:p>
    <w:p w:rsidR="00230E2B" w:rsidRDefault="00230E2B" w:rsidP="00230E2B">
      <w:pPr>
        <w:pStyle w:val="LTAntwortRessortText"/>
      </w:pPr>
      <w:r>
        <w:t>Das RKI verzichtet daher in seinen Auswertungen auf die Unterscheidung des</w:t>
      </w:r>
      <w:r w:rsidR="000C18F1">
        <w:t xml:space="preserve"> </w:t>
      </w:r>
      <w:r>
        <w:t>Hospitalisierungsgrunde</w:t>
      </w:r>
      <w:r w:rsidR="000C18F1">
        <w:t>s</w:t>
      </w:r>
      <w:r>
        <w:t xml:space="preserve"> Bayern hat sich der Vorgehensweise des RKI auf Bundesebene</w:t>
      </w:r>
      <w:r w:rsidR="000C18F1">
        <w:t xml:space="preserve"> </w:t>
      </w:r>
      <w:r>
        <w:t>angeschlossen. Die niederschwelligen Meldeerfordernisse sind wichtig, um den damit für das</w:t>
      </w:r>
      <w:r w:rsidR="000C18F1">
        <w:t xml:space="preserve"> </w:t>
      </w:r>
      <w:r>
        <w:t>ärztliche Klinikpersonal verbundenen Aufwand möglichst gering zu halten. Dies trägt dazu bei,</w:t>
      </w:r>
      <w:r w:rsidR="000C18F1">
        <w:t xml:space="preserve"> </w:t>
      </w:r>
      <w:r>
        <w:t>möglichst viele Kapazitäten für die kernmedizinische Tätigkeit, die Behandlung der</w:t>
      </w:r>
      <w:r w:rsidR="000C18F1">
        <w:t xml:space="preserve"> </w:t>
      </w:r>
      <w:r>
        <w:t>Krankenhauspatienten, nutzen zu können. Diese praktikablen Meldeerfordernisse führen aber auch</w:t>
      </w:r>
      <w:r w:rsidR="000C18F1">
        <w:t xml:space="preserve"> </w:t>
      </w:r>
      <w:r>
        <w:t>dazu, dass die Meldedaten keine aussagekräftige Auswertung der Hospitalisierungen nach Haupt</w:t>
      </w:r>
      <w:r w:rsidR="000C18F1">
        <w:t xml:space="preserve"> </w:t>
      </w:r>
      <w:r>
        <w:t>und</w:t>
      </w:r>
      <w:r w:rsidR="000C18F1">
        <w:t xml:space="preserve"> </w:t>
      </w:r>
      <w:r>
        <w:t>Nebendiagnosen zulassen.</w:t>
      </w:r>
    </w:p>
    <w:p w:rsidR="00230E2B" w:rsidRDefault="00230E2B">
      <w:bookmarkStart w:id="140" w:name="Frage_Nr_69_Ende"/>
      <w:bookmarkEnd w:id="1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230E2B" w:rsidTr="007B0B33">
        <w:tc>
          <w:tcPr>
            <w:tcW w:w="2050" w:type="dxa"/>
          </w:tcPr>
          <w:p w:rsidR="00230E2B" w:rsidRDefault="00230E2B" w:rsidP="00230E2B">
            <w:pPr>
              <w:pStyle w:val="LTAnfrageInitiator"/>
            </w:pPr>
            <w:r>
              <w:lastRenderedPageBreak/>
              <w:t>Abgeordnete</w:t>
            </w:r>
            <w:r>
              <w:rPr>
                <w:b/>
              </w:rPr>
              <w:br/>
              <w:t>Ruth</w:t>
            </w:r>
            <w:r>
              <w:rPr>
                <w:b/>
              </w:rPr>
              <w:br/>
              <w:t>Waldmann</w:t>
            </w:r>
            <w:r>
              <w:rPr>
                <w:b/>
              </w:rPr>
              <w:br/>
            </w:r>
            <w:r>
              <w:t>(SPD)</w:t>
            </w:r>
            <w:bookmarkStart w:id="141" w:name="Frage_Nr_70"/>
            <w:bookmarkEnd w:id="141"/>
          </w:p>
        </w:tc>
        <w:tc>
          <w:tcPr>
            <w:tcW w:w="7200" w:type="dxa"/>
          </w:tcPr>
          <w:p w:rsidR="00230E2B" w:rsidRDefault="004F2451" w:rsidP="00230E2B">
            <w:pPr>
              <w:pStyle w:val="LTAnfrageText"/>
            </w:pPr>
            <w:r w:rsidRPr="004F2451">
              <w:rPr>
                <w:szCs w:val="24"/>
              </w:rPr>
              <w:t>Ich frage die Staatsregierung, sind sich Bayerns Staatsminister für Unterricht und Kultus sowie für Gesundheit und Pflege darüber im Klaren, welche Verwirrung und Verärgerung sie bei Schulkindern, Eltern und Lehrkräften mit einander widersprechenden Vorgaben zu Quarantäneregeln (ob Gesundheitsämter oder Schulleitungen die verantwortliche Entscheidungen zu treffen haben) angerichtet haben, soll Eltern, Schülern, Lehrkräften und Schulleitungen weiterhin unklar bleiben, ob die Staatsregierung bei stark steigenden Ansteckungsrisiken und stetig sinkenden Ressourcen der Gesundheitsämter bei Fallbearbeitung und Kontaktnachverfolgung eine Durchseuchung der Schulen tatsächlich in Kauf nimmt, und droht Eltern, die infolge dieser widersprüchlichen Kommunikation und aus Sorge um die Gesundheit die Kinder nicht in die Schule schicken wollen, ein Bußgeld?</w:t>
            </w:r>
          </w:p>
        </w:tc>
      </w:tr>
    </w:tbl>
    <w:p w:rsidR="00230E2B" w:rsidRDefault="00230E2B" w:rsidP="00BC3464">
      <w:pPr>
        <w:pStyle w:val="LTUeberschrAntwortRessort"/>
      </w:pPr>
      <w:r>
        <w:t>Antwort des Staatsministeriums für Gesundheit und Pflege</w:t>
      </w:r>
      <w:r w:rsidR="00BC3464">
        <w:t xml:space="preserve"> </w:t>
      </w:r>
      <w:r>
        <w:t>unter Beteiligung des</w:t>
      </w:r>
      <w:r w:rsidR="00BC3464">
        <w:t xml:space="preserve"> </w:t>
      </w:r>
      <w:r>
        <w:t>Staatsministeriums für Unterricht und Kultus:</w:t>
      </w:r>
    </w:p>
    <w:p w:rsidR="00230E2B" w:rsidRDefault="00230E2B" w:rsidP="00230E2B">
      <w:pPr>
        <w:pStyle w:val="LTAntwortRessortText"/>
      </w:pPr>
      <w:r>
        <w:t>Entgegen der Ausführungen in der Anfrage bestehen keine sich widersprechenden Vorgaben zu</w:t>
      </w:r>
      <w:r w:rsidR="00BC3464">
        <w:t xml:space="preserve"> </w:t>
      </w:r>
      <w:r>
        <w:t>Quarantäneregeln.</w:t>
      </w:r>
    </w:p>
    <w:p w:rsidR="00230E2B" w:rsidRDefault="00230E2B" w:rsidP="00230E2B">
      <w:pPr>
        <w:pStyle w:val="LTAntwortRessortText"/>
      </w:pPr>
      <w:r>
        <w:t>Schulkinder, die in der Schule p</w:t>
      </w:r>
      <w:r w:rsidR="00584ABB">
        <w:t>ositiv getestet werden, müssen –</w:t>
      </w:r>
      <w:r>
        <w:t xml:space="preserve"> wie schon seit Beginn der</w:t>
      </w:r>
      <w:r w:rsidR="00BC3464">
        <w:t xml:space="preserve"> </w:t>
      </w:r>
      <w:r w:rsidR="00584ABB">
        <w:t>Pandemie –</w:t>
      </w:r>
      <w:r>
        <w:t xml:space="preserve"> nach Benachrichtigung der Eltern das Schulgebäude verlassen bzw. werden von</w:t>
      </w:r>
      <w:r w:rsidR="00BC3464">
        <w:t xml:space="preserve"> </w:t>
      </w:r>
      <w:r>
        <w:t>diesen abgeholt. Die Schule informiert das Gesundheitsamt, die betroffene Schülerin bzw. der</w:t>
      </w:r>
      <w:r w:rsidR="00BC3464">
        <w:t xml:space="preserve"> </w:t>
      </w:r>
      <w:r>
        <w:t>betroffene Schüler muss sich in Isolation begeben.</w:t>
      </w:r>
    </w:p>
    <w:p w:rsidR="00230E2B" w:rsidRDefault="00230E2B" w:rsidP="00230E2B">
      <w:pPr>
        <w:pStyle w:val="LTAntwortRessortText"/>
      </w:pPr>
      <w:r>
        <w:t>Aufgrund des hohen Infektionsschutzniveaus in den Schulen, insbesondere aufgrund der</w:t>
      </w:r>
      <w:r w:rsidR="00BC3464">
        <w:t xml:space="preserve"> </w:t>
      </w:r>
      <w:r>
        <w:t>engmaschigen seriellen Testungen sowie der konsequenten Maskenpflicht und des Einsatzes von</w:t>
      </w:r>
      <w:r w:rsidR="00BC3464">
        <w:t xml:space="preserve"> </w:t>
      </w:r>
      <w:r>
        <w:t>Luftreinigungsgeräten bzw. dem infektionsschutzgerechten Lüften, ist bei Bekanntwerden einer</w:t>
      </w:r>
      <w:r w:rsidR="00BC3464">
        <w:t xml:space="preserve"> </w:t>
      </w:r>
      <w:r>
        <w:t>SARS-CoV-2-Infektion im Regelfall keine Kontaktpersonenermittlung durch das Gesundheitsamt</w:t>
      </w:r>
      <w:r w:rsidR="00BC3464">
        <w:t xml:space="preserve"> </w:t>
      </w:r>
      <w:r>
        <w:t>erforderlich. Die Schülerinnen und Schüler der Klasse bzw. des Kurses, in der ein Indexfall auftritt,</w:t>
      </w:r>
      <w:r w:rsidR="00BC3464">
        <w:t xml:space="preserve"> </w:t>
      </w:r>
      <w:r>
        <w:t>dürfen unter einem intensivierten Testregime weiterhin den Unterricht besuchen. Gemäß § 12 Ab</w:t>
      </w:r>
      <w:r w:rsidR="00BC3464">
        <w:t xml:space="preserve">s. </w:t>
      </w:r>
      <w:r>
        <w:t xml:space="preserve">2 Satz 4 der 15. </w:t>
      </w:r>
      <w:r w:rsidR="00584ABB">
        <w:t>Bayerische Infektionsschutzmaßnahmenverordnung (</w:t>
      </w:r>
      <w:r>
        <w:t>BayIfSMV</w:t>
      </w:r>
      <w:r w:rsidR="00584ABB">
        <w:t>)</w:t>
      </w:r>
      <w:r>
        <w:t xml:space="preserve"> beginnt dieses Testregime am Schultag, der auf die Positivtestung des</w:t>
      </w:r>
      <w:r w:rsidR="00BC3464">
        <w:t xml:space="preserve"> </w:t>
      </w:r>
      <w:r>
        <w:t>Indexfalls folgt, und umfasst insgesamt fünf Schultage.</w:t>
      </w:r>
    </w:p>
    <w:p w:rsidR="00230E2B" w:rsidRDefault="00230E2B" w:rsidP="00230E2B">
      <w:pPr>
        <w:pStyle w:val="LTAntwortRessortText"/>
      </w:pPr>
      <w:r>
        <w:t>Damit wird sichergestellt, dass möglicherweise weitere infizierte Personen rasch entdeckt und</w:t>
      </w:r>
      <w:r w:rsidR="00BC3464">
        <w:t xml:space="preserve"> </w:t>
      </w:r>
      <w:r>
        <w:t>isoliert werden können. Die bisherigen Erfahrungen haben gezeigt, dass der Verzicht auf eine</w:t>
      </w:r>
      <w:r w:rsidR="00BC3464">
        <w:t xml:space="preserve"> </w:t>
      </w:r>
      <w:r>
        <w:t>Kontaktpersonenermittlung und eine Quarantäneanordnung für enge Kontaktpersonen nicht zu</w:t>
      </w:r>
      <w:r w:rsidR="00BC3464">
        <w:t xml:space="preserve"> </w:t>
      </w:r>
      <w:r>
        <w:t>einem explosionsartigen Anstieg von Infektionsfällen in den Schulen führt. Die Schulleitung kan</w:t>
      </w:r>
      <w:r w:rsidR="00BC3464">
        <w:t>n</w:t>
      </w:r>
      <w:r>
        <w:t xml:space="preserve"> bei</w:t>
      </w:r>
      <w:r w:rsidR="00BC3464">
        <w:t xml:space="preserve"> </w:t>
      </w:r>
      <w:r>
        <w:t>einer gravierenden</w:t>
      </w:r>
      <w:r w:rsidR="00FC3CB7">
        <w:t xml:space="preserve"> Häufung von Infektionsfällen (a</w:t>
      </w:r>
      <w:r>
        <w:t>ls Richtwert kann hierfür die Abwesenheit von</w:t>
      </w:r>
      <w:r w:rsidR="00BC3464">
        <w:t xml:space="preserve"> </w:t>
      </w:r>
      <w:r>
        <w:t>etwa der Hälfte der Schülerinne</w:t>
      </w:r>
      <w:r w:rsidR="00FC3CB7">
        <w:t>n und Schüler angenommen werden</w:t>
      </w:r>
      <w:r>
        <w:t>) in Rücksprache mit der</w:t>
      </w:r>
      <w:r w:rsidR="00BC3464">
        <w:t xml:space="preserve"> </w:t>
      </w:r>
      <w:r>
        <w:t>Schul</w:t>
      </w:r>
      <w:r w:rsidR="00FC3CB7">
        <w:t>aufsicht Distanzunterricht für fünf</w:t>
      </w:r>
      <w:r>
        <w:t xml:space="preserve"> Tage anordnen. Ergänzend kann das Gesundheitsamt alle</w:t>
      </w:r>
      <w:r w:rsidR="00BC3464">
        <w:t xml:space="preserve"> </w:t>
      </w:r>
      <w:r>
        <w:t>Schülerinnen und Schüler der betroffenen Klasse als enge Kontaktpersonen einstufen, sodass für</w:t>
      </w:r>
      <w:r w:rsidR="00BC3464">
        <w:t xml:space="preserve"> </w:t>
      </w:r>
      <w:r>
        <w:t>diese nach Nr. 2.1.1.1 der Allgemeinverfügung Quarantäne von Kontaktpersonen und von</w:t>
      </w:r>
      <w:r w:rsidR="00BC3464">
        <w:t xml:space="preserve"> </w:t>
      </w:r>
      <w:r>
        <w:t>Verdachtspersonen, Isolation von positiv auf das Coronavirus SARS-CoV-2 getesteten Personen</w:t>
      </w:r>
      <w:r w:rsidR="00BC3464">
        <w:t xml:space="preserve"> </w:t>
      </w:r>
      <w:r>
        <w:t xml:space="preserve">(AV Isolation) vom </w:t>
      </w:r>
      <w:r>
        <w:lastRenderedPageBreak/>
        <w:t>25.01.2022 vorbehaltlich der Ausnahmeregelungen in Nr. 2.1.1.2 AV Isolation</w:t>
      </w:r>
      <w:r w:rsidR="00BC3464">
        <w:t xml:space="preserve"> </w:t>
      </w:r>
      <w:r>
        <w:t>Quarantänepflicht gilt. Dies dient der Unterbrechung von Infektionsketten. Hierüber wurden die</w:t>
      </w:r>
      <w:r w:rsidR="00BC3464">
        <w:t xml:space="preserve"> </w:t>
      </w:r>
      <w:r>
        <w:t>Schulen und Gesundheitsämter am 01.02.2022 informiert.</w:t>
      </w:r>
    </w:p>
    <w:p w:rsidR="00230E2B" w:rsidRDefault="00230E2B" w:rsidP="00230E2B">
      <w:pPr>
        <w:pStyle w:val="LTAntwortRessortText"/>
      </w:pPr>
      <w:r>
        <w:t>Für Eltern mit Grunderkrankungen bzw. Eltern von Schülerinnen oder Schülern mit</w:t>
      </w:r>
      <w:r w:rsidR="005725B3">
        <w:t xml:space="preserve"> </w:t>
      </w:r>
      <w:r>
        <w:t>Grunderkrankungen, die Sorge vor einer Ansteckung haben, besteht eine schulrechtliche</w:t>
      </w:r>
      <w:r w:rsidR="005725B3">
        <w:t xml:space="preserve"> </w:t>
      </w:r>
      <w:r>
        <w:t>Beurlaubungsmöglichkeit vom Präsenzunterricht für diese Schülerinnen und Schüler. Hinsichtlich</w:t>
      </w:r>
      <w:r w:rsidR="005725B3">
        <w:t xml:space="preserve"> </w:t>
      </w:r>
      <w:r>
        <w:t>der Frage nach möglichen Bußgeldern ist auszuführen, dass die Voraussetzungen zur</w:t>
      </w:r>
      <w:r w:rsidR="005725B3">
        <w:t xml:space="preserve"> </w:t>
      </w:r>
      <w:r>
        <w:t>Verhängung eines möglichen Bußgeldes anhand der jeweiligen Umstände des Einzelfalls vor Ort</w:t>
      </w:r>
      <w:r w:rsidR="005725B3">
        <w:t xml:space="preserve"> </w:t>
      </w:r>
      <w:r>
        <w:t>geprüft werden müssen und daher keine pauschale Einschätzung möglich ist.</w:t>
      </w:r>
    </w:p>
    <w:p w:rsidR="00230E2B" w:rsidRDefault="00230E2B">
      <w:bookmarkStart w:id="142" w:name="Frage_Nr_70_Ende"/>
      <w:bookmarkEnd w:id="1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230E2B" w:rsidTr="007B0B33">
        <w:tc>
          <w:tcPr>
            <w:tcW w:w="2050" w:type="dxa"/>
          </w:tcPr>
          <w:p w:rsidR="00230E2B" w:rsidRDefault="00230E2B" w:rsidP="00230E2B">
            <w:pPr>
              <w:pStyle w:val="LTAnfrageInitiator"/>
            </w:pPr>
            <w:r>
              <w:lastRenderedPageBreak/>
              <w:t>Abgeordneter</w:t>
            </w:r>
            <w:r>
              <w:rPr>
                <w:b/>
              </w:rPr>
              <w:br/>
              <w:t>Andreas</w:t>
            </w:r>
            <w:r>
              <w:rPr>
                <w:b/>
              </w:rPr>
              <w:br/>
              <w:t>Winhart</w:t>
            </w:r>
            <w:r>
              <w:rPr>
                <w:b/>
              </w:rPr>
              <w:br/>
            </w:r>
            <w:r>
              <w:t>(AfD)</w:t>
            </w:r>
            <w:bookmarkStart w:id="143" w:name="Frage_Nr_71"/>
            <w:bookmarkEnd w:id="143"/>
          </w:p>
        </w:tc>
        <w:tc>
          <w:tcPr>
            <w:tcW w:w="7200" w:type="dxa"/>
          </w:tcPr>
          <w:p w:rsidR="00230E2B" w:rsidRDefault="00835077" w:rsidP="00230E2B">
            <w:pPr>
              <w:pStyle w:val="LTAnfrageText"/>
            </w:pPr>
            <w:r w:rsidRPr="00835077">
              <w:rPr>
                <w:szCs w:val="24"/>
              </w:rPr>
              <w:t>Ich frage die Staatsregierung, wer die Weisung erteilte, dass Personen mit unbekannten Corona-Impfstatus zur Gruppe der nachweislich nicht geimpften Personen durch das Bayerische Landesamt für Gesundheit und Lebensmittelsicherheit hinzugerechnet wurden, ab welchem genauen Zeitpunkt war diese Vorgehensweise dem Staatsminister für Gesundheit und Pflege Klaus Holetschek bzw. dem Ministerpräsidenten Dr. Markus Söder bekannt und hat bzw. hatte diese Täuschung der Öffentlichkeit personelle Konsequenzen innerhalb der Staatsregierung bzw. der oberen Verwaltungsebenen des Freistaats Bayern?</w:t>
            </w:r>
          </w:p>
        </w:tc>
      </w:tr>
    </w:tbl>
    <w:p w:rsidR="00230E2B" w:rsidRDefault="00230E2B" w:rsidP="00230E2B">
      <w:pPr>
        <w:pStyle w:val="LTUeberschrAntwortRessort"/>
      </w:pPr>
      <w:r>
        <w:t>Antwort des Staatsministeriums für Gesundheit und Pflege</w:t>
      </w:r>
    </w:p>
    <w:p w:rsidR="00230E2B" w:rsidRDefault="00230E2B" w:rsidP="00230E2B">
      <w:pPr>
        <w:pStyle w:val="LTAntwortRessortText"/>
      </w:pPr>
      <w:r>
        <w:t>Die Entscheidung, die Personen mit unbekanntem Impfstatus den ungeimpften Personen</w:t>
      </w:r>
      <w:r w:rsidR="009D6F8E">
        <w:t xml:space="preserve"> </w:t>
      </w:r>
      <w:r>
        <w:t>zuzurechnen und dieses Verfahren bis zum Dezember 2021 beizubehalten, beruhte allein auf</w:t>
      </w:r>
      <w:r w:rsidR="009D6F8E">
        <w:t xml:space="preserve"> </w:t>
      </w:r>
      <w:r>
        <w:t>fachlichen Erwägungen des für die Ermittlung und Veröffentlichung der Zahlen verantwortlichen</w:t>
      </w:r>
      <w:r w:rsidR="009D6F8E">
        <w:t xml:space="preserve"> </w:t>
      </w:r>
      <w:r>
        <w:t>Landesamts für Gesundheit und Lebensmittelsicherheit (LGL). Eine wie auch immer geartete</w:t>
      </w:r>
      <w:r w:rsidR="009D6F8E">
        <w:t xml:space="preserve"> </w:t>
      </w:r>
      <w:r>
        <w:t>politische Einflussnahme auf diese Entscheidung gab es nicht. Die Zuständigkeiten innerhalb des</w:t>
      </w:r>
      <w:r w:rsidR="009D6F8E">
        <w:t xml:space="preserve"> </w:t>
      </w:r>
      <w:r>
        <w:t>LGL ergeben sich aus dem Organigramm und den Hinweisen zur Aufgabenverteilung, die im</w:t>
      </w:r>
      <w:r w:rsidR="009D6F8E">
        <w:t xml:space="preserve"> </w:t>
      </w:r>
      <w:r w:rsidR="00793279">
        <w:t>Internet einsehbar sind</w:t>
      </w:r>
      <w:r w:rsidR="00793279">
        <w:rPr>
          <w:rStyle w:val="Funotenzeichen"/>
        </w:rPr>
        <w:footnoteReference w:id="10"/>
      </w:r>
      <w:r>
        <w:t>.</w:t>
      </w:r>
    </w:p>
    <w:p w:rsidR="00230E2B" w:rsidRDefault="00FC3CB7" w:rsidP="00230E2B">
      <w:pPr>
        <w:pStyle w:val="LTAntwortRessortText"/>
      </w:pPr>
      <w:r>
        <w:t xml:space="preserve">Das </w:t>
      </w:r>
      <w:r w:rsidR="00230E2B">
        <w:t>LGL hat am 07.01.2022 die Rohdaten über die Inzidenzberechnungen der geimpften Personen</w:t>
      </w:r>
      <w:r w:rsidR="009D6F8E">
        <w:t xml:space="preserve"> </w:t>
      </w:r>
      <w:r w:rsidR="00230E2B">
        <w:t>und der ungeimpften Personen veröffentlicht und zugleich nochmals erläutert, aus welchen</w:t>
      </w:r>
      <w:r w:rsidR="009D6F8E">
        <w:t xml:space="preserve"> </w:t>
      </w:r>
      <w:r w:rsidR="00230E2B">
        <w:t>fachlichen Gründen die Personen mit unbekanntem Impfstatus in der Inzidenz den ungeimpften</w:t>
      </w:r>
      <w:r w:rsidR="009D6F8E">
        <w:t xml:space="preserve"> </w:t>
      </w:r>
      <w:r w:rsidR="00230E2B">
        <w:t>Personen zugerechnet wurden und warum diese Inzidenzen seit Anfang Dezember 2021 nicht</w:t>
      </w:r>
      <w:r w:rsidR="009D6F8E">
        <w:t xml:space="preserve"> </w:t>
      </w:r>
      <w:r w:rsidR="00230E2B">
        <w:t>mehr bekannt gegeben werden. Auf diese Internet-Veröffentlichung des LGL wird verwiesen</w:t>
      </w:r>
      <w:r w:rsidR="00793279">
        <w:rPr>
          <w:rStyle w:val="Funotenzeichen"/>
        </w:rPr>
        <w:footnoteReference w:id="11"/>
      </w:r>
      <w:r w:rsidR="00230E2B">
        <w:t xml:space="preserve">. Eine </w:t>
      </w:r>
      <w:r w:rsidR="00490BF0">
        <w:t>„</w:t>
      </w:r>
      <w:r w:rsidR="00230E2B">
        <w:t>Fälschung der Coronazahlen</w:t>
      </w:r>
      <w:r w:rsidR="00490BF0">
        <w:t>“</w:t>
      </w:r>
      <w:r w:rsidR="00230E2B">
        <w:t xml:space="preserve"> bzw. eine</w:t>
      </w:r>
      <w:r w:rsidR="009D6F8E">
        <w:t xml:space="preserve"> </w:t>
      </w:r>
      <w:r w:rsidR="00490BF0">
        <w:t>„</w:t>
      </w:r>
      <w:r w:rsidR="00230E2B">
        <w:t>Täuschung der Öffentlichkeit</w:t>
      </w:r>
      <w:r w:rsidR="00490BF0">
        <w:t>“</w:t>
      </w:r>
      <w:r w:rsidR="00230E2B">
        <w:t xml:space="preserve"> war somit zu keinem Zeitpunkt gegeben</w:t>
      </w:r>
      <w:bookmarkStart w:id="144" w:name="Frage_Nr_71_Ende"/>
      <w:bookmarkEnd w:id="144"/>
      <w:r w:rsidR="009D6F8E">
        <w:t>.</w:t>
      </w:r>
    </w:p>
    <w:p w:rsidR="009D6F8E" w:rsidRDefault="009D6F8E" w:rsidP="00230E2B">
      <w:pPr>
        <w:pStyle w:val="LTAntwortRessortText"/>
      </w:pPr>
    </w:p>
    <w:sectPr w:rsidR="009D6F8E" w:rsidSect="00F00864">
      <w:headerReference w:type="even" r:id="rId17"/>
      <w:headerReference w:type="default" r:id="rId18"/>
      <w:footerReference w:type="default" r:id="rId19"/>
      <w:footnotePr>
        <w:numRestart w:val="eachPage"/>
      </w:footnotePr>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0E2" w:rsidRDefault="005830E2">
      <w:r>
        <w:separator/>
      </w:r>
    </w:p>
  </w:endnote>
  <w:endnote w:type="continuationSeparator" w:id="0">
    <w:p w:rsidR="005830E2" w:rsidRDefault="0058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0E2" w:rsidRDefault="005830E2"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0E2" w:rsidRPr="009C32BE" w:rsidRDefault="005830E2"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0E2" w:rsidRPr="00311533" w:rsidRDefault="005830E2"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0E2" w:rsidRDefault="005830E2">
      <w:r>
        <w:separator/>
      </w:r>
    </w:p>
  </w:footnote>
  <w:footnote w:type="continuationSeparator" w:id="0">
    <w:p w:rsidR="005830E2" w:rsidRDefault="005830E2">
      <w:r>
        <w:continuationSeparator/>
      </w:r>
    </w:p>
  </w:footnote>
  <w:footnote w:id="1">
    <w:p w:rsidR="005830E2" w:rsidRPr="00F27634" w:rsidRDefault="005830E2" w:rsidP="00F27634">
      <w:pPr>
        <w:pStyle w:val="Funotentext"/>
        <w:ind w:left="340" w:hanging="340"/>
        <w:rPr>
          <w:rStyle w:val="LTHyperlinkZchn"/>
          <w:b w:val="0"/>
          <w:sz w:val="16"/>
        </w:rPr>
      </w:pPr>
      <w:r>
        <w:rPr>
          <w:rStyle w:val="Funotenzeichen"/>
        </w:rPr>
        <w:footnoteRef/>
      </w:r>
      <w:r>
        <w:tab/>
      </w:r>
      <w:hyperlink r:id="rId1" w:history="1">
        <w:r w:rsidRPr="00F27634">
          <w:rPr>
            <w:rStyle w:val="LTHyperlinkZchn"/>
            <w:b w:val="0"/>
            <w:sz w:val="16"/>
          </w:rPr>
          <w:t>https://www.nds-fluerat.org/wp-content/uploads/2022/01/Hinweis_Chancen-Aufenthaltsrecht.pdf</w:t>
        </w:r>
      </w:hyperlink>
    </w:p>
  </w:footnote>
  <w:footnote w:id="2">
    <w:p w:rsidR="005830E2" w:rsidRDefault="005830E2" w:rsidP="00C2558D">
      <w:pPr>
        <w:pStyle w:val="Funotentext"/>
        <w:ind w:left="340" w:hanging="340"/>
      </w:pPr>
      <w:r>
        <w:rPr>
          <w:rStyle w:val="Funotenzeichen"/>
        </w:rPr>
        <w:footnoteRef/>
      </w:r>
      <w:r>
        <w:tab/>
      </w:r>
      <w:hyperlink r:id="rId2" w:history="1">
        <w:r w:rsidRPr="00FF654B">
          <w:rPr>
            <w:rStyle w:val="LTHyperlinkZchn"/>
            <w:b w:val="0"/>
            <w:sz w:val="16"/>
          </w:rPr>
          <w:t>https://www.bbsr.bund.de/BBSR/DE/veroeffentlichungen/sonderveroeffentlichungen/2014/HinweiseErstellungMietspiegel-neu.html</w:t>
        </w:r>
      </w:hyperlink>
    </w:p>
  </w:footnote>
  <w:footnote w:id="3">
    <w:p w:rsidR="00255766" w:rsidRPr="00A1555A" w:rsidRDefault="00255766" w:rsidP="00255766">
      <w:pPr>
        <w:pStyle w:val="Funotentext"/>
        <w:rPr>
          <w:rStyle w:val="LTHyperlinkZchn"/>
          <w:b w:val="0"/>
          <w:sz w:val="16"/>
        </w:rPr>
      </w:pPr>
      <w:r>
        <w:rPr>
          <w:rStyle w:val="Funotenzeichen"/>
        </w:rPr>
        <w:footnoteRef/>
      </w:r>
      <w:r>
        <w:tab/>
      </w:r>
      <w:hyperlink r:id="rId3" w:history="1">
        <w:r w:rsidRPr="00A1555A">
          <w:rPr>
            <w:rStyle w:val="LTHyperlinkZchn"/>
            <w:b w:val="0"/>
            <w:sz w:val="16"/>
          </w:rPr>
          <w:t>https://www.wissenschafftfreiheit.com/</w:t>
        </w:r>
      </w:hyperlink>
    </w:p>
  </w:footnote>
  <w:footnote w:id="4">
    <w:p w:rsidR="005830E2" w:rsidRDefault="005830E2" w:rsidP="0080793E">
      <w:pPr>
        <w:pStyle w:val="Funotentext"/>
        <w:ind w:left="340" w:hanging="340"/>
      </w:pPr>
      <w:r>
        <w:rPr>
          <w:rStyle w:val="Funotenzeichen"/>
        </w:rPr>
        <w:footnoteRef/>
      </w:r>
      <w:r>
        <w:tab/>
      </w:r>
      <w:hyperlink r:id="rId4" w:history="1">
        <w:r w:rsidRPr="00596A82">
          <w:rPr>
            <w:rStyle w:val="LTHyperlinkZchn"/>
            <w:b w:val="0"/>
            <w:sz w:val="16"/>
          </w:rPr>
          <w:t>https://www.bundesrat.de/SharedDocs/drucksachen/2020/0601-0700/630-20.pdf?__blob=publicationFile&amp;v=1</w:t>
        </w:r>
      </w:hyperlink>
    </w:p>
  </w:footnote>
  <w:footnote w:id="5">
    <w:p w:rsidR="005830E2" w:rsidRDefault="005830E2" w:rsidP="0080793E">
      <w:pPr>
        <w:pStyle w:val="Funotentext"/>
        <w:ind w:left="340" w:hanging="340"/>
      </w:pPr>
      <w:r>
        <w:rPr>
          <w:rStyle w:val="Funotenzeichen"/>
        </w:rPr>
        <w:footnoteRef/>
      </w:r>
      <w:r>
        <w:tab/>
      </w:r>
      <w:hyperlink r:id="rId5" w:history="1">
        <w:r w:rsidRPr="00596A82">
          <w:rPr>
            <w:rStyle w:val="LTHyperlinkZchn"/>
            <w:b w:val="0"/>
            <w:sz w:val="16"/>
          </w:rPr>
          <w:t>https://www.bdew.de/media/documents/Stn_20210126_EU-Methanstrategie.pdf</w:t>
        </w:r>
      </w:hyperlink>
    </w:p>
  </w:footnote>
  <w:footnote w:id="6">
    <w:p w:rsidR="005830E2" w:rsidRDefault="005830E2" w:rsidP="0080793E">
      <w:pPr>
        <w:pStyle w:val="Funotentext"/>
        <w:ind w:left="340" w:hanging="340"/>
      </w:pPr>
      <w:r>
        <w:rPr>
          <w:rStyle w:val="Funotenzeichen"/>
        </w:rPr>
        <w:footnoteRef/>
      </w:r>
      <w:r>
        <w:tab/>
      </w:r>
      <w:hyperlink r:id="rId6" w:history="1">
        <w:r w:rsidRPr="00596A82">
          <w:rPr>
            <w:rStyle w:val="LTHyperlinkZchn"/>
            <w:b w:val="0"/>
            <w:sz w:val="16"/>
          </w:rPr>
          <w:t>https://eur-lex.europa.eu/resource.html?uri=cellar:06d0c90a-5d91-11ec-9c6c-01aa75ed71a1.0001.02/DOC_1&amp;format=PDF</w:t>
        </w:r>
      </w:hyperlink>
    </w:p>
  </w:footnote>
  <w:footnote w:id="7">
    <w:p w:rsidR="005830E2" w:rsidRDefault="005830E2" w:rsidP="00323F97">
      <w:pPr>
        <w:pStyle w:val="Funotentext"/>
        <w:ind w:left="340" w:hanging="340"/>
      </w:pPr>
      <w:r>
        <w:rPr>
          <w:rStyle w:val="Funotenzeichen"/>
        </w:rPr>
        <w:footnoteRef/>
      </w:r>
      <w:r>
        <w:tab/>
      </w:r>
      <w:hyperlink r:id="rId7" w:history="1">
        <w:r w:rsidRPr="00067DDB">
          <w:rPr>
            <w:rStyle w:val="LTHyperlinkZchn"/>
            <w:b w:val="0"/>
            <w:sz w:val="16"/>
          </w:rPr>
          <w:t>https://www.rki.de/DE/Content/InfAZ/N/Neuartiges_Coronavirus/Situationsberichte/Wochenbericht/Wochenbericht_2022-01-27.pdf?__blob=publicationFile</w:t>
        </w:r>
      </w:hyperlink>
    </w:p>
  </w:footnote>
  <w:footnote w:id="8">
    <w:p w:rsidR="005830E2" w:rsidRDefault="005830E2" w:rsidP="00FC3CB7">
      <w:pPr>
        <w:pStyle w:val="Funotentext"/>
        <w:ind w:left="340" w:hanging="340"/>
      </w:pPr>
      <w:r>
        <w:rPr>
          <w:rStyle w:val="Funotenzeichen"/>
        </w:rPr>
        <w:footnoteRef/>
      </w:r>
      <w:r>
        <w:tab/>
      </w:r>
      <w:hyperlink r:id="rId8" w:history="1">
        <w:r w:rsidRPr="001276F4">
          <w:rPr>
            <w:rStyle w:val="LTHyperlinkZchn"/>
            <w:b w:val="0"/>
            <w:sz w:val="16"/>
          </w:rPr>
          <w:t>https://www.cdc.gov/csels/dls/locs/2021/08-02-2021-lab-alert-Clarifications_about_Retirement_CDC_2019_Novel_Coronavirus_1.html</w:t>
        </w:r>
      </w:hyperlink>
    </w:p>
  </w:footnote>
  <w:footnote w:id="9">
    <w:p w:rsidR="005830E2" w:rsidRDefault="005830E2">
      <w:pPr>
        <w:pStyle w:val="Funotentext"/>
      </w:pPr>
      <w:r>
        <w:rPr>
          <w:rStyle w:val="Funotenzeichen"/>
        </w:rPr>
        <w:footnoteRef/>
      </w:r>
      <w:r>
        <w:tab/>
      </w:r>
      <w:hyperlink r:id="rId9" w:anchor="link_1" w:history="1">
        <w:r w:rsidRPr="008202CB">
          <w:rPr>
            <w:rStyle w:val="LTHyperlinkZchn"/>
            <w:b w:val="0"/>
            <w:sz w:val="16"/>
          </w:rPr>
          <w:t>https://www.statistik.bayern.de/statistik/bildung_soziales/gesundheitswesen/index.html#link_1</w:t>
        </w:r>
      </w:hyperlink>
    </w:p>
  </w:footnote>
  <w:footnote w:id="10">
    <w:p w:rsidR="005830E2" w:rsidRDefault="005830E2" w:rsidP="00FC3CB7">
      <w:pPr>
        <w:pStyle w:val="Funotentext"/>
        <w:ind w:left="340" w:hanging="340"/>
      </w:pPr>
      <w:r>
        <w:rPr>
          <w:rStyle w:val="Funotenzeichen"/>
        </w:rPr>
        <w:footnoteRef/>
      </w:r>
      <w:r>
        <w:tab/>
      </w:r>
      <w:hyperlink r:id="rId10" w:history="1">
        <w:r w:rsidRPr="00793279">
          <w:rPr>
            <w:rStyle w:val="LTHyperlinkZchn"/>
            <w:b w:val="0"/>
            <w:sz w:val="16"/>
          </w:rPr>
          <w:t>https://www.lgl.bayern.de/das_lgl/organisation/index.htm</w:t>
        </w:r>
      </w:hyperlink>
    </w:p>
  </w:footnote>
  <w:footnote w:id="11">
    <w:p w:rsidR="005830E2" w:rsidRPr="00793279" w:rsidRDefault="005830E2" w:rsidP="00FC3CB7">
      <w:pPr>
        <w:pStyle w:val="Funotentext"/>
        <w:ind w:left="340" w:hanging="340"/>
        <w:rPr>
          <w:rStyle w:val="LTHyperlinkZchn"/>
          <w:b w:val="0"/>
          <w:sz w:val="16"/>
        </w:rPr>
      </w:pPr>
      <w:r>
        <w:rPr>
          <w:rStyle w:val="Funotenzeichen"/>
        </w:rPr>
        <w:footnoteRef/>
      </w:r>
      <w:r>
        <w:tab/>
      </w:r>
      <w:hyperlink r:id="rId11" w:history="1">
        <w:r w:rsidRPr="00793279">
          <w:rPr>
            <w:rStyle w:val="LTHyperlinkZchn"/>
            <w:b w:val="0"/>
            <w:sz w:val="16"/>
          </w:rPr>
          <w:t>https://www.lgl.bayern.de/gesundheit/infektionsschutz/infektionskrankheiten_a_z/coronavirus/ausweisung_7_tage_inzidenz_impfstatus.htm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0E2" w:rsidRDefault="005830E2"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BA3081">
        <w:t>18</w:t>
      </w:r>
    </w:fldSimple>
    <w:r w:rsidRPr="00CA6785">
      <w:t>/</w:t>
    </w:r>
    <w:r>
      <w:rPr>
        <w:b/>
      </w:rPr>
      <w:fldChar w:fldCharType="begin"/>
    </w:r>
    <w:r>
      <w:rPr>
        <w:b/>
      </w:rPr>
      <w:instrText xml:space="preserve"> DOCVARIABLE  "Drsnr" \* MERGEFORMAT </w:instrText>
    </w:r>
    <w:r>
      <w:rPr>
        <w:b/>
      </w:rPr>
      <w:fldChar w:fldCharType="separate"/>
    </w:r>
    <w:r w:rsidR="00BA3081">
      <w:rPr>
        <w:b/>
      </w:rPr>
      <w:t>20125</w:t>
    </w:r>
    <w:r>
      <w:rPr>
        <w:b/>
      </w:rPr>
      <w:fldChar w:fldCharType="end"/>
    </w:r>
    <w:r>
      <w:tab/>
    </w:r>
    <w:r>
      <w:tab/>
    </w:r>
    <w:r w:rsidRPr="009A2D8C">
      <w:t>Bayerischer Landtag</w:t>
    </w:r>
    <w:r>
      <w:t xml:space="preserve"> -</w:t>
    </w:r>
    <w:fldSimple w:instr=" DOCVARIABLE  &quot;Wp&quot; \* MERGEFORMAT ">
      <w:r w:rsidR="00BA3081">
        <w:t>18</w:t>
      </w:r>
    </w:fldSimple>
    <w:r>
      <w:t>. Wahlperiode</w:t>
    </w:r>
  </w:p>
  <w:p w:rsidR="005830E2" w:rsidRDefault="005830E2"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0E2" w:rsidRDefault="005830E2"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BA3081">
        <w:t>18</w:t>
      </w:r>
    </w:fldSimple>
    <w:r>
      <w:t>. Wahlperiode</w:t>
    </w:r>
    <w:r>
      <w:tab/>
    </w:r>
    <w:r>
      <w:tab/>
    </w:r>
    <w:r w:rsidRPr="009A2D8C">
      <w:rPr>
        <w:b/>
      </w:rPr>
      <w:t>Drucksache</w:t>
    </w:r>
    <w:r>
      <w:rPr>
        <w:b/>
      </w:rPr>
      <w:t xml:space="preserve"> </w:t>
    </w:r>
    <w:fldSimple w:instr=" DOCVARIABLE  &quot;Wp&quot; \* MERGEFORMAT ">
      <w:r w:rsidR="00BA3081">
        <w:t>18</w:t>
      </w:r>
    </w:fldSimple>
    <w:r w:rsidRPr="00CA6785">
      <w:t>/</w:t>
    </w:r>
    <w:r>
      <w:rPr>
        <w:b/>
      </w:rPr>
      <w:fldChar w:fldCharType="begin"/>
    </w:r>
    <w:r>
      <w:rPr>
        <w:b/>
      </w:rPr>
      <w:instrText xml:space="preserve"> DOCVARIABLE  "Drsnr" \* MERGEFORMAT </w:instrText>
    </w:r>
    <w:r>
      <w:rPr>
        <w:b/>
      </w:rPr>
      <w:fldChar w:fldCharType="separate"/>
    </w:r>
    <w:r w:rsidR="00BA3081">
      <w:rPr>
        <w:b/>
      </w:rPr>
      <w:t>20125</w:t>
    </w:r>
    <w:r>
      <w:rPr>
        <w:b/>
      </w:rPr>
      <w:fldChar w:fldCharType="end"/>
    </w:r>
  </w:p>
  <w:p w:rsidR="005830E2" w:rsidRPr="00C127DA" w:rsidRDefault="005830E2"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0E2" w:rsidRDefault="005830E2"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757244" w:rsidRPr="00757244">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757244">
      <w:rPr>
        <w:sz w:val="22"/>
        <w:szCs w:val="22"/>
      </w:rPr>
      <w:t>31.01.2022</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757244" w:rsidRPr="00757244">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757244" w:rsidRPr="00757244">
      <w:rPr>
        <w:b/>
        <w:bCs/>
        <w:sz w:val="42"/>
        <w:szCs w:val="42"/>
      </w:rPr>
      <w:t>20125</w:t>
    </w:r>
    <w:r w:rsidRPr="00853926">
      <w:rPr>
        <w:b/>
        <w:sz w:val="42"/>
        <w:szCs w:val="42"/>
      </w:rPr>
      <w:fldChar w:fldCharType="end"/>
    </w:r>
  </w:p>
  <w:p w:rsidR="005830E2" w:rsidRPr="004453BF" w:rsidRDefault="005830E2"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0E2" w:rsidRPr="00A44F63" w:rsidRDefault="005830E2"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BA3081">
      <w:rPr>
        <w:rStyle w:val="Seitenzahl"/>
        <w:noProof/>
        <w:szCs w:val="20"/>
      </w:rPr>
      <w:t>101</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BA3081">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BA3081">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BA3081">
      <w:rPr>
        <w:b/>
        <w:szCs w:val="20"/>
      </w:rPr>
      <w:t>20125</w:t>
    </w:r>
    <w:r w:rsidRPr="00A44F63">
      <w:rPr>
        <w:b/>
        <w:szCs w:val="20"/>
      </w:rPr>
      <w:fldChar w:fldCharType="end"/>
    </w:r>
  </w:p>
  <w:p w:rsidR="005830E2" w:rsidRPr="00861320" w:rsidRDefault="005830E2"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0E2" w:rsidRPr="00DE5B17" w:rsidRDefault="005830E2"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BA3081">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BA3081">
      <w:rPr>
        <w:b/>
        <w:szCs w:val="20"/>
      </w:rPr>
      <w:t>20125</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BA3081">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BA3081">
      <w:rPr>
        <w:rStyle w:val="Seitenzahl"/>
        <w:noProof/>
        <w:szCs w:val="20"/>
      </w:rPr>
      <w:t>101</w:t>
    </w:r>
    <w:r w:rsidRPr="00DE5B17">
      <w:rPr>
        <w:rStyle w:val="Seitenzahl"/>
        <w:szCs w:val="20"/>
      </w:rPr>
      <w:fldChar w:fldCharType="end"/>
    </w:r>
  </w:p>
  <w:p w:rsidR="005830E2" w:rsidRPr="00601929" w:rsidRDefault="005830E2"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E3733"/>
    <w:multiLevelType w:val="hybridMultilevel"/>
    <w:tmpl w:val="CB0AE46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0A213EA9"/>
    <w:multiLevelType w:val="hybridMultilevel"/>
    <w:tmpl w:val="58B8EE5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17AA084B"/>
    <w:multiLevelType w:val="hybridMultilevel"/>
    <w:tmpl w:val="C80E714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520E6D"/>
    <w:multiLevelType w:val="hybridMultilevel"/>
    <w:tmpl w:val="2538541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5"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32E4538"/>
    <w:multiLevelType w:val="hybridMultilevel"/>
    <w:tmpl w:val="84149098"/>
    <w:lvl w:ilvl="0" w:tplc="C6CCF41A">
      <w:start w:val="1"/>
      <w:numFmt w:val="bullet"/>
      <w:lvlText w:val=""/>
      <w:lvlJc w:val="left"/>
      <w:pPr>
        <w:ind w:left="1400" w:hanging="360"/>
      </w:pPr>
      <w:rPr>
        <w:rFonts w:ascii="Symbol" w:hAnsi="Symbol" w:hint="default"/>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18"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C865E20"/>
    <w:multiLevelType w:val="hybridMultilevel"/>
    <w:tmpl w:val="90E62C4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15:restartNumberingAfterBreak="0">
    <w:nsid w:val="2E1F0903"/>
    <w:multiLevelType w:val="hybridMultilevel"/>
    <w:tmpl w:val="89B8FD6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2" w15:restartNumberingAfterBreak="0">
    <w:nsid w:val="385A084B"/>
    <w:multiLevelType w:val="hybridMultilevel"/>
    <w:tmpl w:val="DD48A426"/>
    <w:lvl w:ilvl="0" w:tplc="23827CC4">
      <w:start w:val="1"/>
      <w:numFmt w:val="decimal"/>
      <w:lvlText w:val="%1."/>
      <w:lvlJc w:val="left"/>
      <w:pPr>
        <w:ind w:left="1040" w:hanging="360"/>
      </w:pPr>
      <w:rPr>
        <w:rFonts w:hint="default"/>
      </w:rPr>
    </w:lvl>
    <w:lvl w:ilvl="1" w:tplc="04070019" w:tentative="1">
      <w:start w:val="1"/>
      <w:numFmt w:val="lowerLetter"/>
      <w:lvlText w:val="%2."/>
      <w:lvlJc w:val="left"/>
      <w:pPr>
        <w:ind w:left="1760" w:hanging="360"/>
      </w:pPr>
    </w:lvl>
    <w:lvl w:ilvl="2" w:tplc="0407001B" w:tentative="1">
      <w:start w:val="1"/>
      <w:numFmt w:val="lowerRoman"/>
      <w:lvlText w:val="%3."/>
      <w:lvlJc w:val="right"/>
      <w:pPr>
        <w:ind w:left="2480" w:hanging="180"/>
      </w:pPr>
    </w:lvl>
    <w:lvl w:ilvl="3" w:tplc="0407000F" w:tentative="1">
      <w:start w:val="1"/>
      <w:numFmt w:val="decimal"/>
      <w:lvlText w:val="%4."/>
      <w:lvlJc w:val="left"/>
      <w:pPr>
        <w:ind w:left="3200" w:hanging="360"/>
      </w:pPr>
    </w:lvl>
    <w:lvl w:ilvl="4" w:tplc="04070019" w:tentative="1">
      <w:start w:val="1"/>
      <w:numFmt w:val="lowerLetter"/>
      <w:lvlText w:val="%5."/>
      <w:lvlJc w:val="left"/>
      <w:pPr>
        <w:ind w:left="3920" w:hanging="360"/>
      </w:pPr>
    </w:lvl>
    <w:lvl w:ilvl="5" w:tplc="0407001B" w:tentative="1">
      <w:start w:val="1"/>
      <w:numFmt w:val="lowerRoman"/>
      <w:lvlText w:val="%6."/>
      <w:lvlJc w:val="right"/>
      <w:pPr>
        <w:ind w:left="4640" w:hanging="180"/>
      </w:pPr>
    </w:lvl>
    <w:lvl w:ilvl="6" w:tplc="0407000F" w:tentative="1">
      <w:start w:val="1"/>
      <w:numFmt w:val="decimal"/>
      <w:lvlText w:val="%7."/>
      <w:lvlJc w:val="left"/>
      <w:pPr>
        <w:ind w:left="5360" w:hanging="360"/>
      </w:pPr>
    </w:lvl>
    <w:lvl w:ilvl="7" w:tplc="04070019" w:tentative="1">
      <w:start w:val="1"/>
      <w:numFmt w:val="lowerLetter"/>
      <w:lvlText w:val="%8."/>
      <w:lvlJc w:val="left"/>
      <w:pPr>
        <w:ind w:left="6080" w:hanging="360"/>
      </w:pPr>
    </w:lvl>
    <w:lvl w:ilvl="8" w:tplc="0407001B" w:tentative="1">
      <w:start w:val="1"/>
      <w:numFmt w:val="lowerRoman"/>
      <w:lvlText w:val="%9."/>
      <w:lvlJc w:val="right"/>
      <w:pPr>
        <w:ind w:left="6800" w:hanging="180"/>
      </w:pPr>
    </w:lvl>
  </w:abstractNum>
  <w:abstractNum w:abstractNumId="23" w15:restartNumberingAfterBreak="0">
    <w:nsid w:val="39006FEB"/>
    <w:multiLevelType w:val="hybridMultilevel"/>
    <w:tmpl w:val="BDBA0A2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4" w15:restartNumberingAfterBreak="0">
    <w:nsid w:val="3E4C1B9C"/>
    <w:multiLevelType w:val="hybridMultilevel"/>
    <w:tmpl w:val="D4126446"/>
    <w:lvl w:ilvl="0" w:tplc="0B6202F6">
      <w:start w:val="2"/>
      <w:numFmt w:val="bullet"/>
      <w:lvlText w:val="-"/>
      <w:lvlJc w:val="left"/>
      <w:pPr>
        <w:ind w:left="1040" w:hanging="360"/>
      </w:pPr>
      <w:rPr>
        <w:rFonts w:ascii="Arial" w:eastAsia="Times New Roman" w:hAnsi="Arial" w:cs="Arial" w:hint="default"/>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25"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7C740AD"/>
    <w:multiLevelType w:val="hybridMultilevel"/>
    <w:tmpl w:val="F0825CBE"/>
    <w:lvl w:ilvl="0" w:tplc="0407000F">
      <w:start w:val="1"/>
      <w:numFmt w:val="decimal"/>
      <w:lvlText w:val="%1."/>
      <w:lvlJc w:val="left"/>
      <w:pPr>
        <w:ind w:left="1400" w:hanging="360"/>
      </w:pPr>
    </w:lvl>
    <w:lvl w:ilvl="1" w:tplc="04070019" w:tentative="1">
      <w:start w:val="1"/>
      <w:numFmt w:val="lowerLetter"/>
      <w:lvlText w:val="%2."/>
      <w:lvlJc w:val="left"/>
      <w:pPr>
        <w:ind w:left="2120" w:hanging="360"/>
      </w:pPr>
    </w:lvl>
    <w:lvl w:ilvl="2" w:tplc="0407001B" w:tentative="1">
      <w:start w:val="1"/>
      <w:numFmt w:val="lowerRoman"/>
      <w:lvlText w:val="%3."/>
      <w:lvlJc w:val="right"/>
      <w:pPr>
        <w:ind w:left="2840" w:hanging="180"/>
      </w:pPr>
    </w:lvl>
    <w:lvl w:ilvl="3" w:tplc="0407000F" w:tentative="1">
      <w:start w:val="1"/>
      <w:numFmt w:val="decimal"/>
      <w:lvlText w:val="%4."/>
      <w:lvlJc w:val="left"/>
      <w:pPr>
        <w:ind w:left="3560" w:hanging="360"/>
      </w:pPr>
    </w:lvl>
    <w:lvl w:ilvl="4" w:tplc="04070019" w:tentative="1">
      <w:start w:val="1"/>
      <w:numFmt w:val="lowerLetter"/>
      <w:lvlText w:val="%5."/>
      <w:lvlJc w:val="left"/>
      <w:pPr>
        <w:ind w:left="4280" w:hanging="360"/>
      </w:pPr>
    </w:lvl>
    <w:lvl w:ilvl="5" w:tplc="0407001B" w:tentative="1">
      <w:start w:val="1"/>
      <w:numFmt w:val="lowerRoman"/>
      <w:lvlText w:val="%6."/>
      <w:lvlJc w:val="right"/>
      <w:pPr>
        <w:ind w:left="5000" w:hanging="180"/>
      </w:pPr>
    </w:lvl>
    <w:lvl w:ilvl="6" w:tplc="0407000F" w:tentative="1">
      <w:start w:val="1"/>
      <w:numFmt w:val="decimal"/>
      <w:lvlText w:val="%7."/>
      <w:lvlJc w:val="left"/>
      <w:pPr>
        <w:ind w:left="5720" w:hanging="360"/>
      </w:pPr>
    </w:lvl>
    <w:lvl w:ilvl="7" w:tplc="04070019" w:tentative="1">
      <w:start w:val="1"/>
      <w:numFmt w:val="lowerLetter"/>
      <w:lvlText w:val="%8."/>
      <w:lvlJc w:val="left"/>
      <w:pPr>
        <w:ind w:left="6440" w:hanging="360"/>
      </w:pPr>
    </w:lvl>
    <w:lvl w:ilvl="8" w:tplc="0407001B" w:tentative="1">
      <w:start w:val="1"/>
      <w:numFmt w:val="lowerRoman"/>
      <w:lvlText w:val="%9."/>
      <w:lvlJc w:val="right"/>
      <w:pPr>
        <w:ind w:left="7160" w:hanging="180"/>
      </w:pPr>
    </w:lvl>
  </w:abstractNum>
  <w:abstractNum w:abstractNumId="28"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2"/>
  </w:num>
  <w:num w:numId="2">
    <w:abstractNumId w:val="16"/>
  </w:num>
  <w:num w:numId="3">
    <w:abstractNumId w:val="28"/>
  </w:num>
  <w:num w:numId="4">
    <w:abstractNumId w:val="30"/>
  </w:num>
  <w:num w:numId="5">
    <w:abstractNumId w:val="29"/>
  </w:num>
  <w:num w:numId="6">
    <w:abstractNumId w:val="26"/>
  </w:num>
  <w:num w:numId="7">
    <w:abstractNumId w:val="13"/>
  </w:num>
  <w:num w:numId="8">
    <w:abstractNumId w:val="15"/>
  </w:num>
  <w:num w:numId="9">
    <w:abstractNumId w:val="31"/>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0"/>
  </w:num>
  <w:num w:numId="26">
    <w:abstractNumId w:val="12"/>
  </w:num>
  <w:num w:numId="27">
    <w:abstractNumId w:val="23"/>
  </w:num>
  <w:num w:numId="28">
    <w:abstractNumId w:val="11"/>
  </w:num>
  <w:num w:numId="29">
    <w:abstractNumId w:val="14"/>
  </w:num>
  <w:num w:numId="30">
    <w:abstractNumId w:val="10"/>
  </w:num>
  <w:num w:numId="31">
    <w:abstractNumId w:val="21"/>
  </w:num>
  <w:num w:numId="32">
    <w:abstractNumId w:val="27"/>
  </w:num>
  <w:num w:numId="33">
    <w:abstractNumId w:val="22"/>
  </w:num>
  <w:num w:numId="34">
    <w:abstractNumId w:val="1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3XL8fgEhDBIkS5NNGWgFdzm+Z7nwQ0HvvxpWEYEWFWgyg/TZtEjn/ZNMSEWv7vc7aU4GHkPOOQw2dqazuf8ouw==" w:salt="OtA0MVBQolmHROn9SwvEGg=="/>
  <w:defaultTabStop w:val="709"/>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02.02.2022"/>
    <w:docVar w:name="Drsnr" w:val="20125"/>
    <w:docVar w:name="Eingangsdatum" w:val="31.01.2022"/>
    <w:docVar w:name="Wochendatum" w:val="31. Januar 2022"/>
    <w:docVar w:name="Wp" w:val="18"/>
  </w:docVars>
  <w:rsids>
    <w:rsidRoot w:val="00230E2B"/>
    <w:rsid w:val="00002517"/>
    <w:rsid w:val="00006292"/>
    <w:rsid w:val="000179A4"/>
    <w:rsid w:val="00030619"/>
    <w:rsid w:val="00034333"/>
    <w:rsid w:val="000371B5"/>
    <w:rsid w:val="00043B70"/>
    <w:rsid w:val="000614E0"/>
    <w:rsid w:val="00061EB3"/>
    <w:rsid w:val="00062A75"/>
    <w:rsid w:val="00067DDB"/>
    <w:rsid w:val="000727F1"/>
    <w:rsid w:val="00076FBC"/>
    <w:rsid w:val="000779F7"/>
    <w:rsid w:val="00080E30"/>
    <w:rsid w:val="00083D54"/>
    <w:rsid w:val="00085D2A"/>
    <w:rsid w:val="0008617E"/>
    <w:rsid w:val="00097682"/>
    <w:rsid w:val="00097C79"/>
    <w:rsid w:val="000B2152"/>
    <w:rsid w:val="000B2A68"/>
    <w:rsid w:val="000B56B1"/>
    <w:rsid w:val="000B764D"/>
    <w:rsid w:val="000C18F1"/>
    <w:rsid w:val="000C480A"/>
    <w:rsid w:val="000C71A5"/>
    <w:rsid w:val="000C72A9"/>
    <w:rsid w:val="000C7D5A"/>
    <w:rsid w:val="000C7F00"/>
    <w:rsid w:val="000D013C"/>
    <w:rsid w:val="000D4D79"/>
    <w:rsid w:val="000E21D9"/>
    <w:rsid w:val="000E73CC"/>
    <w:rsid w:val="000F109F"/>
    <w:rsid w:val="000F3417"/>
    <w:rsid w:val="000F5738"/>
    <w:rsid w:val="00114B66"/>
    <w:rsid w:val="00116CF4"/>
    <w:rsid w:val="00117453"/>
    <w:rsid w:val="0012007F"/>
    <w:rsid w:val="00124964"/>
    <w:rsid w:val="001276F4"/>
    <w:rsid w:val="001356F0"/>
    <w:rsid w:val="00135D97"/>
    <w:rsid w:val="00136D38"/>
    <w:rsid w:val="001376A1"/>
    <w:rsid w:val="00141C03"/>
    <w:rsid w:val="00152CC6"/>
    <w:rsid w:val="00154F5F"/>
    <w:rsid w:val="00156D48"/>
    <w:rsid w:val="001576CA"/>
    <w:rsid w:val="001579D6"/>
    <w:rsid w:val="00162EB5"/>
    <w:rsid w:val="00163927"/>
    <w:rsid w:val="00165D18"/>
    <w:rsid w:val="001676F2"/>
    <w:rsid w:val="00171CDA"/>
    <w:rsid w:val="00176399"/>
    <w:rsid w:val="00193AB7"/>
    <w:rsid w:val="0019516B"/>
    <w:rsid w:val="001C6140"/>
    <w:rsid w:val="001D073A"/>
    <w:rsid w:val="001D1CE9"/>
    <w:rsid w:val="001D67DF"/>
    <w:rsid w:val="001E298D"/>
    <w:rsid w:val="001E3461"/>
    <w:rsid w:val="001E41D1"/>
    <w:rsid w:val="001F240A"/>
    <w:rsid w:val="001F3CDA"/>
    <w:rsid w:val="00215CAA"/>
    <w:rsid w:val="0021647D"/>
    <w:rsid w:val="00223CCA"/>
    <w:rsid w:val="00226E30"/>
    <w:rsid w:val="00227E77"/>
    <w:rsid w:val="002302DA"/>
    <w:rsid w:val="00230E2B"/>
    <w:rsid w:val="00231278"/>
    <w:rsid w:val="0023365B"/>
    <w:rsid w:val="0023457B"/>
    <w:rsid w:val="00235942"/>
    <w:rsid w:val="002375B2"/>
    <w:rsid w:val="00241E12"/>
    <w:rsid w:val="00246DE7"/>
    <w:rsid w:val="00255766"/>
    <w:rsid w:val="00263C2B"/>
    <w:rsid w:val="00277DD9"/>
    <w:rsid w:val="002822CD"/>
    <w:rsid w:val="00283D88"/>
    <w:rsid w:val="0028470E"/>
    <w:rsid w:val="00284AA1"/>
    <w:rsid w:val="002860B5"/>
    <w:rsid w:val="002921A0"/>
    <w:rsid w:val="00293F06"/>
    <w:rsid w:val="002A14D5"/>
    <w:rsid w:val="002A33F5"/>
    <w:rsid w:val="002A354F"/>
    <w:rsid w:val="002B27E5"/>
    <w:rsid w:val="002C7F8E"/>
    <w:rsid w:val="002D2A91"/>
    <w:rsid w:val="002D3BFE"/>
    <w:rsid w:val="002D53C0"/>
    <w:rsid w:val="002D5E77"/>
    <w:rsid w:val="002E3B73"/>
    <w:rsid w:val="002F15F3"/>
    <w:rsid w:val="003078E2"/>
    <w:rsid w:val="00310A7B"/>
    <w:rsid w:val="00311533"/>
    <w:rsid w:val="0031185F"/>
    <w:rsid w:val="00315B5B"/>
    <w:rsid w:val="003220C1"/>
    <w:rsid w:val="00323F97"/>
    <w:rsid w:val="00330AC4"/>
    <w:rsid w:val="003317ED"/>
    <w:rsid w:val="003343E3"/>
    <w:rsid w:val="00354E4E"/>
    <w:rsid w:val="003571B7"/>
    <w:rsid w:val="0036081C"/>
    <w:rsid w:val="00361E2E"/>
    <w:rsid w:val="0036453D"/>
    <w:rsid w:val="00367FF8"/>
    <w:rsid w:val="0038161E"/>
    <w:rsid w:val="00384BCC"/>
    <w:rsid w:val="003865DE"/>
    <w:rsid w:val="00390643"/>
    <w:rsid w:val="00390B65"/>
    <w:rsid w:val="003A080E"/>
    <w:rsid w:val="003A0B46"/>
    <w:rsid w:val="003A6DDF"/>
    <w:rsid w:val="003B09EA"/>
    <w:rsid w:val="003B10EA"/>
    <w:rsid w:val="003B21D3"/>
    <w:rsid w:val="003B4646"/>
    <w:rsid w:val="003B7D59"/>
    <w:rsid w:val="003C3519"/>
    <w:rsid w:val="003C38A5"/>
    <w:rsid w:val="003C4151"/>
    <w:rsid w:val="003E082D"/>
    <w:rsid w:val="003E107C"/>
    <w:rsid w:val="003E2DEE"/>
    <w:rsid w:val="003E36C6"/>
    <w:rsid w:val="003E4991"/>
    <w:rsid w:val="003E7E4B"/>
    <w:rsid w:val="003F467B"/>
    <w:rsid w:val="00401950"/>
    <w:rsid w:val="004104B6"/>
    <w:rsid w:val="004148C6"/>
    <w:rsid w:val="004258D5"/>
    <w:rsid w:val="00431F16"/>
    <w:rsid w:val="00442E9B"/>
    <w:rsid w:val="004453BF"/>
    <w:rsid w:val="0045241A"/>
    <w:rsid w:val="0045402F"/>
    <w:rsid w:val="00465F83"/>
    <w:rsid w:val="00473C10"/>
    <w:rsid w:val="00476B56"/>
    <w:rsid w:val="00490BF0"/>
    <w:rsid w:val="00496299"/>
    <w:rsid w:val="004A0B31"/>
    <w:rsid w:val="004A141C"/>
    <w:rsid w:val="004B0209"/>
    <w:rsid w:val="004B0E4F"/>
    <w:rsid w:val="004B184E"/>
    <w:rsid w:val="004B5A87"/>
    <w:rsid w:val="004B6A13"/>
    <w:rsid w:val="004C1BA3"/>
    <w:rsid w:val="004C3433"/>
    <w:rsid w:val="004D4829"/>
    <w:rsid w:val="004D7B2E"/>
    <w:rsid w:val="004E1031"/>
    <w:rsid w:val="004F2451"/>
    <w:rsid w:val="004F2494"/>
    <w:rsid w:val="004F5584"/>
    <w:rsid w:val="00502FBE"/>
    <w:rsid w:val="0050356A"/>
    <w:rsid w:val="00503F3C"/>
    <w:rsid w:val="005040C2"/>
    <w:rsid w:val="00504106"/>
    <w:rsid w:val="00511864"/>
    <w:rsid w:val="0052104F"/>
    <w:rsid w:val="005321C0"/>
    <w:rsid w:val="005327AE"/>
    <w:rsid w:val="0053309B"/>
    <w:rsid w:val="00534594"/>
    <w:rsid w:val="00544156"/>
    <w:rsid w:val="00545FD3"/>
    <w:rsid w:val="005508E8"/>
    <w:rsid w:val="005517B2"/>
    <w:rsid w:val="00552DB6"/>
    <w:rsid w:val="00562614"/>
    <w:rsid w:val="00567084"/>
    <w:rsid w:val="0057046C"/>
    <w:rsid w:val="0057191B"/>
    <w:rsid w:val="00572482"/>
    <w:rsid w:val="005725B3"/>
    <w:rsid w:val="0057373A"/>
    <w:rsid w:val="00577757"/>
    <w:rsid w:val="005830E2"/>
    <w:rsid w:val="005831BE"/>
    <w:rsid w:val="005833DD"/>
    <w:rsid w:val="005834A1"/>
    <w:rsid w:val="00584ABB"/>
    <w:rsid w:val="005878CA"/>
    <w:rsid w:val="00593818"/>
    <w:rsid w:val="00596A82"/>
    <w:rsid w:val="005A0EEC"/>
    <w:rsid w:val="005A17C3"/>
    <w:rsid w:val="005A2831"/>
    <w:rsid w:val="005A79EC"/>
    <w:rsid w:val="005B6943"/>
    <w:rsid w:val="005C0849"/>
    <w:rsid w:val="005C55DD"/>
    <w:rsid w:val="005C5701"/>
    <w:rsid w:val="005D0F29"/>
    <w:rsid w:val="005D3C42"/>
    <w:rsid w:val="005F371F"/>
    <w:rsid w:val="005F6675"/>
    <w:rsid w:val="00601929"/>
    <w:rsid w:val="006047D8"/>
    <w:rsid w:val="00605C4C"/>
    <w:rsid w:val="00606488"/>
    <w:rsid w:val="006076A5"/>
    <w:rsid w:val="00610EFD"/>
    <w:rsid w:val="00611FE7"/>
    <w:rsid w:val="0062036D"/>
    <w:rsid w:val="00620B1D"/>
    <w:rsid w:val="006231DF"/>
    <w:rsid w:val="00630F9D"/>
    <w:rsid w:val="0063254D"/>
    <w:rsid w:val="006361BA"/>
    <w:rsid w:val="006404A1"/>
    <w:rsid w:val="0065047D"/>
    <w:rsid w:val="00651968"/>
    <w:rsid w:val="00653E6D"/>
    <w:rsid w:val="006613E7"/>
    <w:rsid w:val="00661F4C"/>
    <w:rsid w:val="00675AED"/>
    <w:rsid w:val="0068306E"/>
    <w:rsid w:val="00693D28"/>
    <w:rsid w:val="006B0212"/>
    <w:rsid w:val="006B1709"/>
    <w:rsid w:val="006C358F"/>
    <w:rsid w:val="006C3758"/>
    <w:rsid w:val="006C4DB6"/>
    <w:rsid w:val="006C5C31"/>
    <w:rsid w:val="006D0FD8"/>
    <w:rsid w:val="006D2E83"/>
    <w:rsid w:val="006D4F42"/>
    <w:rsid w:val="006E0274"/>
    <w:rsid w:val="006E35C3"/>
    <w:rsid w:val="006E5B9D"/>
    <w:rsid w:val="006F0AB3"/>
    <w:rsid w:val="006F7368"/>
    <w:rsid w:val="007061D4"/>
    <w:rsid w:val="0071436E"/>
    <w:rsid w:val="00714C18"/>
    <w:rsid w:val="00717184"/>
    <w:rsid w:val="00720946"/>
    <w:rsid w:val="0075012C"/>
    <w:rsid w:val="0075716F"/>
    <w:rsid w:val="00757244"/>
    <w:rsid w:val="0075769E"/>
    <w:rsid w:val="00760A53"/>
    <w:rsid w:val="00761779"/>
    <w:rsid w:val="007649D6"/>
    <w:rsid w:val="00764C64"/>
    <w:rsid w:val="0077709E"/>
    <w:rsid w:val="00781527"/>
    <w:rsid w:val="00781FB1"/>
    <w:rsid w:val="00783AC0"/>
    <w:rsid w:val="00784959"/>
    <w:rsid w:val="00784E92"/>
    <w:rsid w:val="007868AE"/>
    <w:rsid w:val="00787923"/>
    <w:rsid w:val="00793279"/>
    <w:rsid w:val="007946D8"/>
    <w:rsid w:val="007965B5"/>
    <w:rsid w:val="00797183"/>
    <w:rsid w:val="007A3E3D"/>
    <w:rsid w:val="007B0B33"/>
    <w:rsid w:val="007D5900"/>
    <w:rsid w:val="00804B7A"/>
    <w:rsid w:val="00805E8A"/>
    <w:rsid w:val="008062A0"/>
    <w:rsid w:val="0080793E"/>
    <w:rsid w:val="00811EF8"/>
    <w:rsid w:val="00816C6F"/>
    <w:rsid w:val="008202CB"/>
    <w:rsid w:val="00825C50"/>
    <w:rsid w:val="0082784C"/>
    <w:rsid w:val="00835077"/>
    <w:rsid w:val="00844005"/>
    <w:rsid w:val="00846D02"/>
    <w:rsid w:val="008540E3"/>
    <w:rsid w:val="008606C1"/>
    <w:rsid w:val="00863A28"/>
    <w:rsid w:val="00863D7F"/>
    <w:rsid w:val="00880170"/>
    <w:rsid w:val="008803A9"/>
    <w:rsid w:val="00881163"/>
    <w:rsid w:val="00891967"/>
    <w:rsid w:val="008930C0"/>
    <w:rsid w:val="00893D5F"/>
    <w:rsid w:val="008954A7"/>
    <w:rsid w:val="00895E1E"/>
    <w:rsid w:val="008961F4"/>
    <w:rsid w:val="00897172"/>
    <w:rsid w:val="00897480"/>
    <w:rsid w:val="008A671A"/>
    <w:rsid w:val="008C1F1D"/>
    <w:rsid w:val="008C3EAF"/>
    <w:rsid w:val="008C6176"/>
    <w:rsid w:val="008D2301"/>
    <w:rsid w:val="008D4D58"/>
    <w:rsid w:val="008E2258"/>
    <w:rsid w:val="008E3C99"/>
    <w:rsid w:val="008E41C5"/>
    <w:rsid w:val="008E61A6"/>
    <w:rsid w:val="008E7B3B"/>
    <w:rsid w:val="008F47CA"/>
    <w:rsid w:val="00904A8C"/>
    <w:rsid w:val="00905B9D"/>
    <w:rsid w:val="009078C4"/>
    <w:rsid w:val="0091136E"/>
    <w:rsid w:val="00911F24"/>
    <w:rsid w:val="009149D4"/>
    <w:rsid w:val="00916304"/>
    <w:rsid w:val="009229F8"/>
    <w:rsid w:val="009234BF"/>
    <w:rsid w:val="0092602C"/>
    <w:rsid w:val="00927168"/>
    <w:rsid w:val="009310B8"/>
    <w:rsid w:val="00932D27"/>
    <w:rsid w:val="00933C7E"/>
    <w:rsid w:val="00945EE7"/>
    <w:rsid w:val="0095379B"/>
    <w:rsid w:val="00962732"/>
    <w:rsid w:val="00966E35"/>
    <w:rsid w:val="00977682"/>
    <w:rsid w:val="009837B0"/>
    <w:rsid w:val="009908FB"/>
    <w:rsid w:val="009924CE"/>
    <w:rsid w:val="00995D8F"/>
    <w:rsid w:val="00996F9C"/>
    <w:rsid w:val="009A2D8C"/>
    <w:rsid w:val="009A5A06"/>
    <w:rsid w:val="009B3BDC"/>
    <w:rsid w:val="009B3DA8"/>
    <w:rsid w:val="009B6B5E"/>
    <w:rsid w:val="009B71B7"/>
    <w:rsid w:val="009B7205"/>
    <w:rsid w:val="009C1AC7"/>
    <w:rsid w:val="009C32BE"/>
    <w:rsid w:val="009D5962"/>
    <w:rsid w:val="009D6F8E"/>
    <w:rsid w:val="009E25A3"/>
    <w:rsid w:val="009E41B6"/>
    <w:rsid w:val="009E6DDB"/>
    <w:rsid w:val="009F365F"/>
    <w:rsid w:val="009F6B94"/>
    <w:rsid w:val="00A058CB"/>
    <w:rsid w:val="00A1555A"/>
    <w:rsid w:val="00A169AA"/>
    <w:rsid w:val="00A16CF2"/>
    <w:rsid w:val="00A17038"/>
    <w:rsid w:val="00A2276D"/>
    <w:rsid w:val="00A253DA"/>
    <w:rsid w:val="00A25D7C"/>
    <w:rsid w:val="00A265DC"/>
    <w:rsid w:val="00A27016"/>
    <w:rsid w:val="00A3195E"/>
    <w:rsid w:val="00A3336A"/>
    <w:rsid w:val="00A42EAA"/>
    <w:rsid w:val="00A44F63"/>
    <w:rsid w:val="00A47020"/>
    <w:rsid w:val="00A546A2"/>
    <w:rsid w:val="00A5482B"/>
    <w:rsid w:val="00A57EA5"/>
    <w:rsid w:val="00A603C5"/>
    <w:rsid w:val="00A615E7"/>
    <w:rsid w:val="00A76D72"/>
    <w:rsid w:val="00A84172"/>
    <w:rsid w:val="00A903E1"/>
    <w:rsid w:val="00A96B48"/>
    <w:rsid w:val="00AA3478"/>
    <w:rsid w:val="00AA7233"/>
    <w:rsid w:val="00AB01D0"/>
    <w:rsid w:val="00AC41E9"/>
    <w:rsid w:val="00AC4FC6"/>
    <w:rsid w:val="00AD1C35"/>
    <w:rsid w:val="00AD768C"/>
    <w:rsid w:val="00AD7E0F"/>
    <w:rsid w:val="00AE1029"/>
    <w:rsid w:val="00B05D0D"/>
    <w:rsid w:val="00B246BA"/>
    <w:rsid w:val="00B3698E"/>
    <w:rsid w:val="00B44A2A"/>
    <w:rsid w:val="00B45132"/>
    <w:rsid w:val="00B537AA"/>
    <w:rsid w:val="00B55C2E"/>
    <w:rsid w:val="00B57DE6"/>
    <w:rsid w:val="00B67052"/>
    <w:rsid w:val="00B71613"/>
    <w:rsid w:val="00B753A4"/>
    <w:rsid w:val="00B77EFA"/>
    <w:rsid w:val="00B8046D"/>
    <w:rsid w:val="00B80E69"/>
    <w:rsid w:val="00B82BE0"/>
    <w:rsid w:val="00B85638"/>
    <w:rsid w:val="00B902FE"/>
    <w:rsid w:val="00B91015"/>
    <w:rsid w:val="00B9456C"/>
    <w:rsid w:val="00BA2A70"/>
    <w:rsid w:val="00BA3081"/>
    <w:rsid w:val="00BA7AAC"/>
    <w:rsid w:val="00BB117A"/>
    <w:rsid w:val="00BB3E7A"/>
    <w:rsid w:val="00BB6019"/>
    <w:rsid w:val="00BB63D8"/>
    <w:rsid w:val="00BC1C8F"/>
    <w:rsid w:val="00BC3464"/>
    <w:rsid w:val="00BC4D4B"/>
    <w:rsid w:val="00BC5DAC"/>
    <w:rsid w:val="00BD7DB0"/>
    <w:rsid w:val="00BE0A75"/>
    <w:rsid w:val="00BF187D"/>
    <w:rsid w:val="00C034C9"/>
    <w:rsid w:val="00C05BD0"/>
    <w:rsid w:val="00C10EBA"/>
    <w:rsid w:val="00C11892"/>
    <w:rsid w:val="00C127DA"/>
    <w:rsid w:val="00C20D25"/>
    <w:rsid w:val="00C251A8"/>
    <w:rsid w:val="00C2558D"/>
    <w:rsid w:val="00C31000"/>
    <w:rsid w:val="00C44B54"/>
    <w:rsid w:val="00C4558C"/>
    <w:rsid w:val="00C54C38"/>
    <w:rsid w:val="00C62CAD"/>
    <w:rsid w:val="00C64946"/>
    <w:rsid w:val="00C65EA9"/>
    <w:rsid w:val="00C67283"/>
    <w:rsid w:val="00C674B5"/>
    <w:rsid w:val="00C743BB"/>
    <w:rsid w:val="00C765F5"/>
    <w:rsid w:val="00C81A40"/>
    <w:rsid w:val="00C8227D"/>
    <w:rsid w:val="00C83A7D"/>
    <w:rsid w:val="00C841E1"/>
    <w:rsid w:val="00C84F6F"/>
    <w:rsid w:val="00C8769A"/>
    <w:rsid w:val="00C91429"/>
    <w:rsid w:val="00C95F05"/>
    <w:rsid w:val="00CA2940"/>
    <w:rsid w:val="00CA46E4"/>
    <w:rsid w:val="00CB1499"/>
    <w:rsid w:val="00CB2C78"/>
    <w:rsid w:val="00CC20C5"/>
    <w:rsid w:val="00CC43A0"/>
    <w:rsid w:val="00CC450B"/>
    <w:rsid w:val="00CC5F28"/>
    <w:rsid w:val="00CC6B36"/>
    <w:rsid w:val="00CC77D8"/>
    <w:rsid w:val="00CC7D0D"/>
    <w:rsid w:val="00CD3414"/>
    <w:rsid w:val="00CD3A76"/>
    <w:rsid w:val="00CD604F"/>
    <w:rsid w:val="00CD631D"/>
    <w:rsid w:val="00CD6B4E"/>
    <w:rsid w:val="00CD6F57"/>
    <w:rsid w:val="00CE2154"/>
    <w:rsid w:val="00CE5E4F"/>
    <w:rsid w:val="00CF5AA4"/>
    <w:rsid w:val="00CF68FD"/>
    <w:rsid w:val="00CF77F6"/>
    <w:rsid w:val="00D00E3F"/>
    <w:rsid w:val="00D04DC6"/>
    <w:rsid w:val="00D0623A"/>
    <w:rsid w:val="00D070E2"/>
    <w:rsid w:val="00D07F06"/>
    <w:rsid w:val="00D13D8F"/>
    <w:rsid w:val="00D17172"/>
    <w:rsid w:val="00D32A7D"/>
    <w:rsid w:val="00D33D48"/>
    <w:rsid w:val="00D3404D"/>
    <w:rsid w:val="00D44951"/>
    <w:rsid w:val="00D45EB8"/>
    <w:rsid w:val="00D46E54"/>
    <w:rsid w:val="00D47CB5"/>
    <w:rsid w:val="00D51302"/>
    <w:rsid w:val="00D520DB"/>
    <w:rsid w:val="00D5247F"/>
    <w:rsid w:val="00D53BCC"/>
    <w:rsid w:val="00D6088E"/>
    <w:rsid w:val="00D6160D"/>
    <w:rsid w:val="00D63E18"/>
    <w:rsid w:val="00D66B1D"/>
    <w:rsid w:val="00D71A55"/>
    <w:rsid w:val="00D7753F"/>
    <w:rsid w:val="00D82366"/>
    <w:rsid w:val="00D83DC5"/>
    <w:rsid w:val="00D849CD"/>
    <w:rsid w:val="00DA1063"/>
    <w:rsid w:val="00DA2424"/>
    <w:rsid w:val="00DA74F1"/>
    <w:rsid w:val="00DB29C5"/>
    <w:rsid w:val="00DB337B"/>
    <w:rsid w:val="00DC0E42"/>
    <w:rsid w:val="00DC5A7F"/>
    <w:rsid w:val="00DC6F57"/>
    <w:rsid w:val="00DD0908"/>
    <w:rsid w:val="00DD48D5"/>
    <w:rsid w:val="00DE5B17"/>
    <w:rsid w:val="00DF1862"/>
    <w:rsid w:val="00DF1CCD"/>
    <w:rsid w:val="00DF7A33"/>
    <w:rsid w:val="00E0072F"/>
    <w:rsid w:val="00E00D06"/>
    <w:rsid w:val="00E06311"/>
    <w:rsid w:val="00E175A9"/>
    <w:rsid w:val="00E2431C"/>
    <w:rsid w:val="00E27583"/>
    <w:rsid w:val="00E3270E"/>
    <w:rsid w:val="00E3417F"/>
    <w:rsid w:val="00E45A54"/>
    <w:rsid w:val="00E54DB2"/>
    <w:rsid w:val="00E60A30"/>
    <w:rsid w:val="00E6572C"/>
    <w:rsid w:val="00E72D19"/>
    <w:rsid w:val="00E7333F"/>
    <w:rsid w:val="00E73E5A"/>
    <w:rsid w:val="00E7475C"/>
    <w:rsid w:val="00E77AC9"/>
    <w:rsid w:val="00E821D6"/>
    <w:rsid w:val="00E82F12"/>
    <w:rsid w:val="00E95646"/>
    <w:rsid w:val="00E960B7"/>
    <w:rsid w:val="00EB1EB0"/>
    <w:rsid w:val="00EB6C16"/>
    <w:rsid w:val="00EB78B6"/>
    <w:rsid w:val="00EC2C1B"/>
    <w:rsid w:val="00EC75D6"/>
    <w:rsid w:val="00ED10C3"/>
    <w:rsid w:val="00ED4839"/>
    <w:rsid w:val="00ED7023"/>
    <w:rsid w:val="00EE1BA9"/>
    <w:rsid w:val="00EE64E7"/>
    <w:rsid w:val="00EE6603"/>
    <w:rsid w:val="00EE7B41"/>
    <w:rsid w:val="00EF116E"/>
    <w:rsid w:val="00EF398E"/>
    <w:rsid w:val="00EF5BE5"/>
    <w:rsid w:val="00EF67A7"/>
    <w:rsid w:val="00F000DF"/>
    <w:rsid w:val="00F0047B"/>
    <w:rsid w:val="00F00864"/>
    <w:rsid w:val="00F11070"/>
    <w:rsid w:val="00F23429"/>
    <w:rsid w:val="00F27634"/>
    <w:rsid w:val="00F44D16"/>
    <w:rsid w:val="00F46169"/>
    <w:rsid w:val="00F547BA"/>
    <w:rsid w:val="00F56E6B"/>
    <w:rsid w:val="00F64726"/>
    <w:rsid w:val="00F664AC"/>
    <w:rsid w:val="00F701C0"/>
    <w:rsid w:val="00F73B72"/>
    <w:rsid w:val="00F74938"/>
    <w:rsid w:val="00F769C0"/>
    <w:rsid w:val="00F76B51"/>
    <w:rsid w:val="00F827A4"/>
    <w:rsid w:val="00F9220E"/>
    <w:rsid w:val="00F9374C"/>
    <w:rsid w:val="00FA2EF7"/>
    <w:rsid w:val="00FA64C1"/>
    <w:rsid w:val="00FB269D"/>
    <w:rsid w:val="00FB64A8"/>
    <w:rsid w:val="00FC1839"/>
    <w:rsid w:val="00FC3CB7"/>
    <w:rsid w:val="00FD2CB9"/>
    <w:rsid w:val="00FD6DB0"/>
    <w:rsid w:val="00FE0BE9"/>
    <w:rsid w:val="00FE1A91"/>
    <w:rsid w:val="00FF02D0"/>
    <w:rsid w:val="00FF58EA"/>
    <w:rsid w:val="00FF65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7DD6CC0-CF5E-49D7-BB9A-9636AD3C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paragraph" w:styleId="berschrift1">
    <w:name w:val="heading 1"/>
    <w:basedOn w:val="Standard"/>
    <w:link w:val="berschrift1Zchn"/>
    <w:uiPriority w:val="1"/>
    <w:qFormat/>
    <w:rsid w:val="00AC41E9"/>
    <w:pPr>
      <w:widowControl w:val="0"/>
      <w:autoSpaceDE w:val="0"/>
      <w:autoSpaceDN w:val="0"/>
      <w:spacing w:before="3"/>
      <w:ind w:left="100"/>
      <w:outlineLvl w:val="0"/>
    </w:pPr>
    <w:rPr>
      <w:rFonts w:eastAsia="Arial" w:cs="Arial"/>
      <w:b/>
      <w:bCs/>
      <w:sz w:val="28"/>
      <w:szCs w:val="28"/>
      <w:u w:val="single" w:color="00000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693D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693D28"/>
    <w:pPr>
      <w:widowControl w:val="0"/>
      <w:autoSpaceDE w:val="0"/>
      <w:autoSpaceDN w:val="0"/>
      <w:spacing w:before="124"/>
      <w:ind w:left="69"/>
    </w:pPr>
    <w:rPr>
      <w:rFonts w:eastAsia="Arial" w:cs="Arial"/>
      <w:sz w:val="22"/>
      <w:szCs w:val="22"/>
      <w:lang w:bidi="de-DE"/>
    </w:rPr>
  </w:style>
  <w:style w:type="table" w:customStyle="1" w:styleId="TableNormal1">
    <w:name w:val="Table Normal1"/>
    <w:uiPriority w:val="2"/>
    <w:semiHidden/>
    <w:unhideWhenUsed/>
    <w:qFormat/>
    <w:rsid w:val="00AD1C3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D1C3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D1C3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D1C3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AC41E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1"/>
    <w:rsid w:val="00AC41E9"/>
    <w:rPr>
      <w:rFonts w:ascii="Arial" w:eastAsia="Arial" w:hAnsi="Arial" w:cs="Arial"/>
      <w:b/>
      <w:bCs/>
      <w:sz w:val="28"/>
      <w:szCs w:val="28"/>
      <w:u w:val="single" w:color="000000"/>
      <w:lang w:val="en-US" w:eastAsia="en-US"/>
    </w:rPr>
  </w:style>
  <w:style w:type="paragraph" w:styleId="Funotentext">
    <w:name w:val="footnote text"/>
    <w:basedOn w:val="Standard"/>
    <w:link w:val="FunotentextZchn"/>
    <w:uiPriority w:val="99"/>
    <w:semiHidden/>
    <w:unhideWhenUsed/>
    <w:rsid w:val="00FF654B"/>
    <w:rPr>
      <w:szCs w:val="20"/>
    </w:rPr>
  </w:style>
  <w:style w:type="character" w:customStyle="1" w:styleId="FunotentextZchn">
    <w:name w:val="Fußnotentext Zchn"/>
    <w:basedOn w:val="Absatz-Standardschriftart"/>
    <w:link w:val="Funotentext"/>
    <w:uiPriority w:val="99"/>
    <w:semiHidden/>
    <w:rsid w:val="00FF654B"/>
    <w:rPr>
      <w:rFonts w:ascii="Arial" w:hAnsi="Arial"/>
    </w:rPr>
  </w:style>
  <w:style w:type="character" w:styleId="Funotenzeichen">
    <w:name w:val="footnote reference"/>
    <w:basedOn w:val="Absatz-Standardschriftart"/>
    <w:uiPriority w:val="99"/>
    <w:semiHidden/>
    <w:unhideWhenUsed/>
    <w:rsid w:val="00FF65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u-fanshop.de"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bayern.landtag.de/www/ElanTextAblage_WP18/Drucksachen/Basisdrucksachen/0000012500/0000012682_Markwort_ANL%20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bayern.landtag.de/www/ElanTextAblage_WP18/Drucksachen/Basisdrucksachen/0000012500/0000012682_Markwort_ANL%201.pdf"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ortal.schulen.bayern.d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dc.gov/csels/dls/locs/2021/08-02-2021-lab-alert-Clarifications_about_Retirement_CDC_2019_Novel_Coronavirus_1.html" TargetMode="External"/><Relationship Id="rId3" Type="http://schemas.openxmlformats.org/officeDocument/2006/relationships/hyperlink" Target="https://www.wissenschafftfreiheit.com/" TargetMode="External"/><Relationship Id="rId7" Type="http://schemas.openxmlformats.org/officeDocument/2006/relationships/hyperlink" Target="https://www.rki.de/DE/Content/InfAZ/N/Neuartiges_Coronavirus/Situationsberichte/Wochenbericht/Wochenbericht_2022-01-27.pdf?__blob=publicationFile" TargetMode="External"/><Relationship Id="rId2" Type="http://schemas.openxmlformats.org/officeDocument/2006/relationships/hyperlink" Target="https://www.bbsr.bund.de/BBSR/DE/veroeffentlichungen/sonderveroeffentlichungen/2014/HinweiseErstellungMietspiegel-neu.html" TargetMode="External"/><Relationship Id="rId1" Type="http://schemas.openxmlformats.org/officeDocument/2006/relationships/hyperlink" Target="https://www.nds-fluerat.org/wp-content/uploads/2022/01/Hinweis_Chancen-Aufenthaltsrecht.pdf" TargetMode="External"/><Relationship Id="rId6" Type="http://schemas.openxmlformats.org/officeDocument/2006/relationships/hyperlink" Target="https://eur-lex.europa.eu/resource.html?uri=cellar:06d0c90a-5d91-11ec-9c6c-01aa75ed71a1.0001.02/DOC_1&amp;format=PDF" TargetMode="External"/><Relationship Id="rId11" Type="http://schemas.openxmlformats.org/officeDocument/2006/relationships/hyperlink" Target="https://www.lgl.bayern.de/gesundheit/infektionsschutz/infektionskrankheiten_a_z/coronavirus/ausweisung_7_tage_inzidenz_impfstatus.htm" TargetMode="External"/><Relationship Id="rId5" Type="http://schemas.openxmlformats.org/officeDocument/2006/relationships/hyperlink" Target="https://www.bdew.de/media/documents/Stn_20210126_EU-Methanstrategie.pdf" TargetMode="External"/><Relationship Id="rId10" Type="http://schemas.openxmlformats.org/officeDocument/2006/relationships/hyperlink" Target="https://www.lgl.bayern.de/das_lgl/organisation/index.htm" TargetMode="External"/><Relationship Id="rId4" Type="http://schemas.openxmlformats.org/officeDocument/2006/relationships/hyperlink" Target="https://www.bundesrat.de/SharedDocs/drucksachen/2020/0601-0700/630-20.pdf?__blob=publicationFile&amp;v=1" TargetMode="External"/><Relationship Id="rId9" Type="http://schemas.openxmlformats.org/officeDocument/2006/relationships/hyperlink" Target="https://www.statistik.bayern.de/statistik/bildung_soziales/gesundheitswesen/index.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917F0-54DD-4416-BF1F-A28B117D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25801</Words>
  <Characters>177583</Characters>
  <Application>Microsoft Office Word</Application>
  <DocSecurity>8</DocSecurity>
  <Lines>3875</Lines>
  <Paragraphs>1102</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202390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18/20125</dc:title>
  <dc:creator>Schneider, Devin (Bay. Landtag)</dc:creator>
  <cp:lastModifiedBy>Geier, Stephanie (Bay. Landtag)</cp:lastModifiedBy>
  <cp:revision>4</cp:revision>
  <cp:lastPrinted>2006-11-23T10:15:00Z</cp:lastPrinted>
  <dcterms:created xsi:type="dcterms:W3CDTF">2022-02-11T13:00:00Z</dcterms:created>
  <dcterms:modified xsi:type="dcterms:W3CDTF">2022-02-11T13:00:00Z</dcterms:modified>
</cp:coreProperties>
</file>